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E0ACA" w14:textId="204EFC41" w:rsidR="00B369CC" w:rsidRPr="002A3170" w:rsidRDefault="00190A33" w:rsidP="00190A33">
      <w:pPr>
        <w:pStyle w:val="Pagedecouverture"/>
        <w:rPr>
          <w:noProof/>
          <w:lang w:val="en-GB"/>
        </w:rPr>
      </w:pPr>
      <w:bookmarkStart w:id="0" w:name="LW_BM_COVERPAGE"/>
      <w:r>
        <w:rPr>
          <w:noProof/>
          <w:lang w:val="en-GB"/>
        </w:rPr>
        <w:pict w14:anchorId="262F3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357BD12-0662-41D8-95D2-154F6F9D8680" style="width:455.15pt;height:411.85pt">
            <v:imagedata r:id="rId11" o:title=""/>
          </v:shape>
        </w:pict>
      </w:r>
    </w:p>
    <w:bookmarkEnd w:id="0"/>
    <w:p w14:paraId="501345AB" w14:textId="77777777" w:rsidR="00B369CC" w:rsidRPr="002A3170" w:rsidRDefault="00B369CC" w:rsidP="00B369CC">
      <w:pPr>
        <w:pStyle w:val="TOCHeading"/>
        <w:spacing w:before="0" w:after="100"/>
        <w:rPr>
          <w:noProof/>
          <w:lang w:val="en-GB"/>
        </w:rPr>
        <w:sectPr w:rsidR="00B369CC" w:rsidRPr="002A3170" w:rsidSect="00190A3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0E649AA9" w14:textId="77777777" w:rsidR="00B369CC" w:rsidRPr="002A3170" w:rsidRDefault="00B369CC" w:rsidP="00B369CC">
      <w:pPr>
        <w:pStyle w:val="TOCHeading"/>
        <w:spacing w:before="0" w:after="100"/>
        <w:rPr>
          <w:noProof/>
          <w:sz w:val="28"/>
          <w:szCs w:val="28"/>
          <w:lang w:val="en-GB"/>
        </w:rPr>
      </w:pPr>
      <w:bookmarkStart w:id="1" w:name="_GoBack"/>
      <w:bookmarkEnd w:id="1"/>
      <w:r w:rsidRPr="002A3170">
        <w:rPr>
          <w:noProof/>
          <w:sz w:val="28"/>
          <w:szCs w:val="28"/>
          <w:lang w:val="en-GB"/>
        </w:rPr>
        <w:lastRenderedPageBreak/>
        <w:t>Table of contents</w:t>
      </w:r>
    </w:p>
    <w:p w14:paraId="305A47B7" w14:textId="6F816B73" w:rsidR="00C451D4" w:rsidRDefault="00067DF9">
      <w:pPr>
        <w:pStyle w:val="TOC1"/>
        <w:tabs>
          <w:tab w:val="right" w:leader="dot" w:pos="9628"/>
        </w:tabs>
        <w:rPr>
          <w:rFonts w:eastAsiaTheme="minorEastAsia" w:cstheme="minorBidi"/>
          <w:b w:val="0"/>
          <w:bCs w:val="0"/>
          <w:caps w:val="0"/>
          <w:noProof/>
          <w:sz w:val="22"/>
          <w:szCs w:val="22"/>
          <w:lang w:val="en-GB" w:eastAsia="en-GB"/>
        </w:rPr>
      </w:pPr>
      <w:r>
        <w:rPr>
          <w:b w:val="0"/>
          <w:bCs w:val="0"/>
          <w:caps w:val="0"/>
          <w:noProof/>
          <w:lang w:val="en-GB"/>
        </w:rPr>
        <w:fldChar w:fldCharType="begin"/>
      </w:r>
      <w:r>
        <w:rPr>
          <w:b w:val="0"/>
          <w:bCs w:val="0"/>
          <w:caps w:val="0"/>
          <w:noProof/>
          <w:lang w:val="en-GB"/>
        </w:rPr>
        <w:instrText xml:space="preserve"> TOC \o "1-3" \h \z \t "Annex Title;1" </w:instrText>
      </w:r>
      <w:r>
        <w:rPr>
          <w:b w:val="0"/>
          <w:bCs w:val="0"/>
          <w:caps w:val="0"/>
          <w:noProof/>
          <w:lang w:val="en-GB"/>
        </w:rPr>
        <w:fldChar w:fldCharType="separate"/>
      </w:r>
      <w:hyperlink w:anchor="_Toc83801006" w:history="1">
        <w:r w:rsidR="00C451D4" w:rsidRPr="00EB2E1D">
          <w:rPr>
            <w:rStyle w:val="Hyperlink"/>
            <w:noProof/>
          </w:rPr>
          <w:t>Glossary</w:t>
        </w:r>
        <w:r w:rsidR="00C451D4">
          <w:rPr>
            <w:noProof/>
            <w:webHidden/>
          </w:rPr>
          <w:tab/>
        </w:r>
        <w:r w:rsidR="00C451D4">
          <w:rPr>
            <w:noProof/>
            <w:webHidden/>
          </w:rPr>
          <w:fldChar w:fldCharType="begin"/>
        </w:r>
        <w:r w:rsidR="00C451D4">
          <w:rPr>
            <w:noProof/>
            <w:webHidden/>
          </w:rPr>
          <w:instrText xml:space="preserve"> PAGEREF _Toc83801006 \h </w:instrText>
        </w:r>
        <w:r w:rsidR="00C451D4">
          <w:rPr>
            <w:noProof/>
            <w:webHidden/>
          </w:rPr>
        </w:r>
        <w:r w:rsidR="00C451D4">
          <w:rPr>
            <w:noProof/>
            <w:webHidden/>
          </w:rPr>
          <w:fldChar w:fldCharType="separate"/>
        </w:r>
        <w:r w:rsidR="00A4414A">
          <w:rPr>
            <w:noProof/>
            <w:webHidden/>
          </w:rPr>
          <w:t>3</w:t>
        </w:r>
        <w:r w:rsidR="00C451D4">
          <w:rPr>
            <w:noProof/>
            <w:webHidden/>
          </w:rPr>
          <w:fldChar w:fldCharType="end"/>
        </w:r>
      </w:hyperlink>
    </w:p>
    <w:p w14:paraId="127E167E" w14:textId="14BD5F40"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07" w:history="1">
        <w:r w:rsidR="00C451D4" w:rsidRPr="00EB2E1D">
          <w:rPr>
            <w:rStyle w:val="Hyperlink"/>
            <w:noProof/>
          </w:rPr>
          <w:t>1.</w:t>
        </w:r>
        <w:r w:rsidR="00C451D4">
          <w:rPr>
            <w:rFonts w:eastAsiaTheme="minorEastAsia" w:cstheme="minorBidi"/>
            <w:b w:val="0"/>
            <w:bCs w:val="0"/>
            <w:caps w:val="0"/>
            <w:noProof/>
            <w:sz w:val="22"/>
            <w:szCs w:val="22"/>
            <w:lang w:val="en-GB" w:eastAsia="en-GB"/>
          </w:rPr>
          <w:tab/>
        </w:r>
        <w:r w:rsidR="00C451D4" w:rsidRPr="00EB2E1D">
          <w:rPr>
            <w:rStyle w:val="Hyperlink"/>
            <w:noProof/>
          </w:rPr>
          <w:t>Introduction: Political and legal context</w:t>
        </w:r>
        <w:r w:rsidR="00C451D4">
          <w:rPr>
            <w:noProof/>
            <w:webHidden/>
          </w:rPr>
          <w:tab/>
        </w:r>
        <w:r w:rsidR="00C451D4">
          <w:rPr>
            <w:noProof/>
            <w:webHidden/>
          </w:rPr>
          <w:fldChar w:fldCharType="begin"/>
        </w:r>
        <w:r w:rsidR="00C451D4">
          <w:rPr>
            <w:noProof/>
            <w:webHidden/>
          </w:rPr>
          <w:instrText xml:space="preserve"> PAGEREF _Toc83801007 \h </w:instrText>
        </w:r>
        <w:r w:rsidR="00C451D4">
          <w:rPr>
            <w:noProof/>
            <w:webHidden/>
          </w:rPr>
        </w:r>
        <w:r w:rsidR="00C451D4">
          <w:rPr>
            <w:noProof/>
            <w:webHidden/>
          </w:rPr>
          <w:fldChar w:fldCharType="separate"/>
        </w:r>
        <w:r w:rsidR="00A4414A">
          <w:rPr>
            <w:noProof/>
            <w:webHidden/>
          </w:rPr>
          <w:t>4</w:t>
        </w:r>
        <w:r w:rsidR="00C451D4">
          <w:rPr>
            <w:noProof/>
            <w:webHidden/>
          </w:rPr>
          <w:fldChar w:fldCharType="end"/>
        </w:r>
      </w:hyperlink>
    </w:p>
    <w:p w14:paraId="0A319F8B" w14:textId="4C582712"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08" w:history="1">
        <w:r w:rsidR="00C451D4" w:rsidRPr="00EB2E1D">
          <w:rPr>
            <w:rStyle w:val="Hyperlink"/>
            <w:noProof/>
          </w:rPr>
          <w:t>1.1.</w:t>
        </w:r>
        <w:r w:rsidR="00C451D4">
          <w:rPr>
            <w:rFonts w:eastAsiaTheme="minorEastAsia" w:cstheme="minorBidi"/>
            <w:smallCaps w:val="0"/>
            <w:noProof/>
            <w:sz w:val="22"/>
            <w:szCs w:val="22"/>
            <w:lang w:val="en-GB" w:eastAsia="en-GB"/>
          </w:rPr>
          <w:tab/>
        </w:r>
        <w:r w:rsidR="00C451D4" w:rsidRPr="00EB2E1D">
          <w:rPr>
            <w:rStyle w:val="Hyperlink"/>
            <w:noProof/>
          </w:rPr>
          <w:t>Background</w:t>
        </w:r>
        <w:r w:rsidR="00C451D4">
          <w:rPr>
            <w:noProof/>
            <w:webHidden/>
          </w:rPr>
          <w:tab/>
        </w:r>
        <w:r w:rsidR="00C451D4">
          <w:rPr>
            <w:noProof/>
            <w:webHidden/>
          </w:rPr>
          <w:fldChar w:fldCharType="begin"/>
        </w:r>
        <w:r w:rsidR="00C451D4">
          <w:rPr>
            <w:noProof/>
            <w:webHidden/>
          </w:rPr>
          <w:instrText xml:space="preserve"> PAGEREF _Toc83801008 \h </w:instrText>
        </w:r>
        <w:r w:rsidR="00C451D4">
          <w:rPr>
            <w:noProof/>
            <w:webHidden/>
          </w:rPr>
        </w:r>
        <w:r w:rsidR="00C451D4">
          <w:rPr>
            <w:noProof/>
            <w:webHidden/>
          </w:rPr>
          <w:fldChar w:fldCharType="separate"/>
        </w:r>
        <w:r w:rsidR="00A4414A">
          <w:rPr>
            <w:noProof/>
            <w:webHidden/>
          </w:rPr>
          <w:t>4</w:t>
        </w:r>
        <w:r w:rsidR="00C451D4">
          <w:rPr>
            <w:noProof/>
            <w:webHidden/>
          </w:rPr>
          <w:fldChar w:fldCharType="end"/>
        </w:r>
      </w:hyperlink>
    </w:p>
    <w:p w14:paraId="2CC23AB7" w14:textId="6D5CCDD7"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09" w:history="1">
        <w:r w:rsidR="00C451D4" w:rsidRPr="00EB2E1D">
          <w:rPr>
            <w:rStyle w:val="Hyperlink"/>
            <w:noProof/>
          </w:rPr>
          <w:t>1.2.</w:t>
        </w:r>
        <w:r w:rsidR="00C451D4">
          <w:rPr>
            <w:rFonts w:eastAsiaTheme="minorEastAsia" w:cstheme="minorBidi"/>
            <w:smallCaps w:val="0"/>
            <w:noProof/>
            <w:sz w:val="22"/>
            <w:szCs w:val="22"/>
            <w:lang w:val="en-GB" w:eastAsia="en-GB"/>
          </w:rPr>
          <w:tab/>
        </w:r>
        <w:r w:rsidR="00C451D4" w:rsidRPr="00EB2E1D">
          <w:rPr>
            <w:rStyle w:val="Hyperlink"/>
            <w:noProof/>
          </w:rPr>
          <w:t>Recent developments</w:t>
        </w:r>
        <w:r w:rsidR="00C451D4">
          <w:rPr>
            <w:noProof/>
            <w:webHidden/>
          </w:rPr>
          <w:tab/>
        </w:r>
        <w:r w:rsidR="00C451D4">
          <w:rPr>
            <w:noProof/>
            <w:webHidden/>
          </w:rPr>
          <w:fldChar w:fldCharType="begin"/>
        </w:r>
        <w:r w:rsidR="00C451D4">
          <w:rPr>
            <w:noProof/>
            <w:webHidden/>
          </w:rPr>
          <w:instrText xml:space="preserve"> PAGEREF _Toc83801009 \h </w:instrText>
        </w:r>
        <w:r w:rsidR="00C451D4">
          <w:rPr>
            <w:noProof/>
            <w:webHidden/>
          </w:rPr>
        </w:r>
        <w:r w:rsidR="00C451D4">
          <w:rPr>
            <w:noProof/>
            <w:webHidden/>
          </w:rPr>
          <w:fldChar w:fldCharType="separate"/>
        </w:r>
        <w:r w:rsidR="00A4414A">
          <w:rPr>
            <w:noProof/>
            <w:webHidden/>
          </w:rPr>
          <w:t>5</w:t>
        </w:r>
        <w:r w:rsidR="00C451D4">
          <w:rPr>
            <w:noProof/>
            <w:webHidden/>
          </w:rPr>
          <w:fldChar w:fldCharType="end"/>
        </w:r>
      </w:hyperlink>
    </w:p>
    <w:p w14:paraId="32534032" w14:textId="2961BD59"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10" w:history="1">
        <w:r w:rsidR="00C451D4" w:rsidRPr="00EB2E1D">
          <w:rPr>
            <w:rStyle w:val="Hyperlink"/>
            <w:noProof/>
          </w:rPr>
          <w:t>1.3.</w:t>
        </w:r>
        <w:r w:rsidR="00C451D4">
          <w:rPr>
            <w:rFonts w:eastAsiaTheme="minorEastAsia" w:cstheme="minorBidi"/>
            <w:smallCaps w:val="0"/>
            <w:noProof/>
            <w:sz w:val="22"/>
            <w:szCs w:val="22"/>
            <w:lang w:val="en-GB" w:eastAsia="en-GB"/>
          </w:rPr>
          <w:tab/>
        </w:r>
        <w:r w:rsidR="00C451D4" w:rsidRPr="00EB2E1D">
          <w:rPr>
            <w:rStyle w:val="Hyperlink"/>
            <w:noProof/>
          </w:rPr>
          <w:t>The Police Cooperation Code</w:t>
        </w:r>
        <w:r w:rsidR="00C451D4">
          <w:rPr>
            <w:noProof/>
            <w:webHidden/>
          </w:rPr>
          <w:tab/>
        </w:r>
        <w:r w:rsidR="00C451D4">
          <w:rPr>
            <w:noProof/>
            <w:webHidden/>
          </w:rPr>
          <w:fldChar w:fldCharType="begin"/>
        </w:r>
        <w:r w:rsidR="00C451D4">
          <w:rPr>
            <w:noProof/>
            <w:webHidden/>
          </w:rPr>
          <w:instrText xml:space="preserve"> PAGEREF _Toc83801010 \h </w:instrText>
        </w:r>
        <w:r w:rsidR="00C451D4">
          <w:rPr>
            <w:noProof/>
            <w:webHidden/>
          </w:rPr>
        </w:r>
        <w:r w:rsidR="00C451D4">
          <w:rPr>
            <w:noProof/>
            <w:webHidden/>
          </w:rPr>
          <w:fldChar w:fldCharType="separate"/>
        </w:r>
        <w:r w:rsidR="00A4414A">
          <w:rPr>
            <w:noProof/>
            <w:webHidden/>
          </w:rPr>
          <w:t>6</w:t>
        </w:r>
        <w:r w:rsidR="00C451D4">
          <w:rPr>
            <w:noProof/>
            <w:webHidden/>
          </w:rPr>
          <w:fldChar w:fldCharType="end"/>
        </w:r>
      </w:hyperlink>
    </w:p>
    <w:p w14:paraId="3ED27D1B" w14:textId="46A4B7EF"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11" w:history="1">
        <w:r w:rsidR="00C451D4" w:rsidRPr="00EB2E1D">
          <w:rPr>
            <w:rStyle w:val="Hyperlink"/>
            <w:noProof/>
          </w:rPr>
          <w:t>2.</w:t>
        </w:r>
        <w:r w:rsidR="00C451D4">
          <w:rPr>
            <w:rFonts w:eastAsiaTheme="minorEastAsia" w:cstheme="minorBidi"/>
            <w:b w:val="0"/>
            <w:bCs w:val="0"/>
            <w:caps w:val="0"/>
            <w:noProof/>
            <w:sz w:val="22"/>
            <w:szCs w:val="22"/>
            <w:lang w:val="en-GB" w:eastAsia="en-GB"/>
          </w:rPr>
          <w:tab/>
        </w:r>
        <w:r w:rsidR="00C451D4" w:rsidRPr="00EB2E1D">
          <w:rPr>
            <w:rStyle w:val="Hyperlink"/>
            <w:noProof/>
          </w:rPr>
          <w:t>Problem definition</w:t>
        </w:r>
        <w:r w:rsidR="00C451D4">
          <w:rPr>
            <w:noProof/>
            <w:webHidden/>
          </w:rPr>
          <w:tab/>
        </w:r>
        <w:r w:rsidR="00C451D4">
          <w:rPr>
            <w:noProof/>
            <w:webHidden/>
          </w:rPr>
          <w:fldChar w:fldCharType="begin"/>
        </w:r>
        <w:r w:rsidR="00C451D4">
          <w:rPr>
            <w:noProof/>
            <w:webHidden/>
          </w:rPr>
          <w:instrText xml:space="preserve"> PAGEREF _Toc83801011 \h </w:instrText>
        </w:r>
        <w:r w:rsidR="00C451D4">
          <w:rPr>
            <w:noProof/>
            <w:webHidden/>
          </w:rPr>
        </w:r>
        <w:r w:rsidR="00C451D4">
          <w:rPr>
            <w:noProof/>
            <w:webHidden/>
          </w:rPr>
          <w:fldChar w:fldCharType="separate"/>
        </w:r>
        <w:r w:rsidR="00A4414A">
          <w:rPr>
            <w:noProof/>
            <w:webHidden/>
          </w:rPr>
          <w:t>10</w:t>
        </w:r>
        <w:r w:rsidR="00C451D4">
          <w:rPr>
            <w:noProof/>
            <w:webHidden/>
          </w:rPr>
          <w:fldChar w:fldCharType="end"/>
        </w:r>
      </w:hyperlink>
    </w:p>
    <w:p w14:paraId="2C163E77" w14:textId="64102CFA"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12" w:history="1">
        <w:r w:rsidR="00C451D4" w:rsidRPr="00EB2E1D">
          <w:rPr>
            <w:rStyle w:val="Hyperlink"/>
            <w:noProof/>
          </w:rPr>
          <w:t>2.1.</w:t>
        </w:r>
        <w:r w:rsidR="00C451D4">
          <w:rPr>
            <w:rFonts w:eastAsiaTheme="minorEastAsia" w:cstheme="minorBidi"/>
            <w:smallCaps w:val="0"/>
            <w:noProof/>
            <w:sz w:val="22"/>
            <w:szCs w:val="22"/>
            <w:lang w:val="en-GB" w:eastAsia="en-GB"/>
          </w:rPr>
          <w:tab/>
        </w:r>
        <w:r w:rsidR="00C451D4" w:rsidRPr="00EB2E1D">
          <w:rPr>
            <w:rStyle w:val="Hyperlink"/>
            <w:noProof/>
          </w:rPr>
          <w:t>Problem 1: Rules at national level impede the effective and efficient flow of information</w:t>
        </w:r>
        <w:r w:rsidR="00C451D4">
          <w:rPr>
            <w:noProof/>
            <w:webHidden/>
          </w:rPr>
          <w:tab/>
        </w:r>
        <w:r w:rsidR="00C451D4">
          <w:rPr>
            <w:noProof/>
            <w:webHidden/>
          </w:rPr>
          <w:fldChar w:fldCharType="begin"/>
        </w:r>
        <w:r w:rsidR="00C451D4">
          <w:rPr>
            <w:noProof/>
            <w:webHidden/>
          </w:rPr>
          <w:instrText xml:space="preserve"> PAGEREF _Toc83801012 \h </w:instrText>
        </w:r>
        <w:r w:rsidR="00C451D4">
          <w:rPr>
            <w:noProof/>
            <w:webHidden/>
          </w:rPr>
        </w:r>
        <w:r w:rsidR="00C451D4">
          <w:rPr>
            <w:noProof/>
            <w:webHidden/>
          </w:rPr>
          <w:fldChar w:fldCharType="separate"/>
        </w:r>
        <w:r w:rsidR="00A4414A">
          <w:rPr>
            <w:noProof/>
            <w:webHidden/>
          </w:rPr>
          <w:t>10</w:t>
        </w:r>
        <w:r w:rsidR="00C451D4">
          <w:rPr>
            <w:noProof/>
            <w:webHidden/>
          </w:rPr>
          <w:fldChar w:fldCharType="end"/>
        </w:r>
      </w:hyperlink>
    </w:p>
    <w:p w14:paraId="6C6723E9" w14:textId="0E0B1FA6"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13" w:history="1">
        <w:r w:rsidR="00C451D4" w:rsidRPr="00EB2E1D">
          <w:rPr>
            <w:rStyle w:val="Hyperlink"/>
            <w:noProof/>
          </w:rPr>
          <w:t>2.1.1.</w:t>
        </w:r>
        <w:r w:rsidR="00C451D4">
          <w:rPr>
            <w:rFonts w:eastAsiaTheme="minorEastAsia" w:cstheme="minorBidi"/>
            <w:i w:val="0"/>
            <w:iCs w:val="0"/>
            <w:noProof/>
            <w:sz w:val="22"/>
            <w:szCs w:val="22"/>
            <w:lang w:val="en-GB" w:eastAsia="en-GB"/>
          </w:rPr>
          <w:tab/>
        </w:r>
        <w:r w:rsidR="00C451D4" w:rsidRPr="00EB2E1D">
          <w:rPr>
            <w:rStyle w:val="Hyperlink"/>
            <w:noProof/>
          </w:rPr>
          <w:t>What is the problem?</w:t>
        </w:r>
        <w:r w:rsidR="00C451D4">
          <w:rPr>
            <w:noProof/>
            <w:webHidden/>
          </w:rPr>
          <w:tab/>
        </w:r>
        <w:r w:rsidR="00C451D4">
          <w:rPr>
            <w:noProof/>
            <w:webHidden/>
          </w:rPr>
          <w:fldChar w:fldCharType="begin"/>
        </w:r>
        <w:r w:rsidR="00C451D4">
          <w:rPr>
            <w:noProof/>
            <w:webHidden/>
          </w:rPr>
          <w:instrText xml:space="preserve"> PAGEREF _Toc83801013 \h </w:instrText>
        </w:r>
        <w:r w:rsidR="00C451D4">
          <w:rPr>
            <w:noProof/>
            <w:webHidden/>
          </w:rPr>
        </w:r>
        <w:r w:rsidR="00C451D4">
          <w:rPr>
            <w:noProof/>
            <w:webHidden/>
          </w:rPr>
          <w:fldChar w:fldCharType="separate"/>
        </w:r>
        <w:r w:rsidR="00A4414A">
          <w:rPr>
            <w:noProof/>
            <w:webHidden/>
          </w:rPr>
          <w:t>10</w:t>
        </w:r>
        <w:r w:rsidR="00C451D4">
          <w:rPr>
            <w:noProof/>
            <w:webHidden/>
          </w:rPr>
          <w:fldChar w:fldCharType="end"/>
        </w:r>
      </w:hyperlink>
    </w:p>
    <w:p w14:paraId="4BD982D3" w14:textId="3958CC41"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14" w:history="1">
        <w:r w:rsidR="00C451D4" w:rsidRPr="00EB2E1D">
          <w:rPr>
            <w:rStyle w:val="Hyperlink"/>
            <w:noProof/>
          </w:rPr>
          <w:t>2.1.2.</w:t>
        </w:r>
        <w:r w:rsidR="00C451D4">
          <w:rPr>
            <w:rFonts w:eastAsiaTheme="minorEastAsia" w:cstheme="minorBidi"/>
            <w:i w:val="0"/>
            <w:iCs w:val="0"/>
            <w:noProof/>
            <w:sz w:val="22"/>
            <w:szCs w:val="22"/>
            <w:lang w:val="en-GB" w:eastAsia="en-GB"/>
          </w:rPr>
          <w:tab/>
        </w:r>
        <w:r w:rsidR="00C451D4" w:rsidRPr="00EB2E1D">
          <w:rPr>
            <w:rStyle w:val="Hyperlink"/>
            <w:noProof/>
          </w:rPr>
          <w:t>What are the problem drivers?</w:t>
        </w:r>
        <w:r w:rsidR="00C451D4">
          <w:rPr>
            <w:noProof/>
            <w:webHidden/>
          </w:rPr>
          <w:tab/>
        </w:r>
        <w:r w:rsidR="00C451D4">
          <w:rPr>
            <w:noProof/>
            <w:webHidden/>
          </w:rPr>
          <w:fldChar w:fldCharType="begin"/>
        </w:r>
        <w:r w:rsidR="00C451D4">
          <w:rPr>
            <w:noProof/>
            <w:webHidden/>
          </w:rPr>
          <w:instrText xml:space="preserve"> PAGEREF _Toc83801014 \h </w:instrText>
        </w:r>
        <w:r w:rsidR="00C451D4">
          <w:rPr>
            <w:noProof/>
            <w:webHidden/>
          </w:rPr>
        </w:r>
        <w:r w:rsidR="00C451D4">
          <w:rPr>
            <w:noProof/>
            <w:webHidden/>
          </w:rPr>
          <w:fldChar w:fldCharType="separate"/>
        </w:r>
        <w:r w:rsidR="00A4414A">
          <w:rPr>
            <w:noProof/>
            <w:webHidden/>
          </w:rPr>
          <w:t>11</w:t>
        </w:r>
        <w:r w:rsidR="00C451D4">
          <w:rPr>
            <w:noProof/>
            <w:webHidden/>
          </w:rPr>
          <w:fldChar w:fldCharType="end"/>
        </w:r>
      </w:hyperlink>
    </w:p>
    <w:p w14:paraId="727CC91E" w14:textId="20D8F79D"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15" w:history="1">
        <w:r w:rsidR="00C451D4" w:rsidRPr="00EB2E1D">
          <w:rPr>
            <w:rStyle w:val="Hyperlink"/>
            <w:noProof/>
          </w:rPr>
          <w:t>2.1.3.</w:t>
        </w:r>
        <w:r w:rsidR="00C451D4">
          <w:rPr>
            <w:rFonts w:eastAsiaTheme="minorEastAsia" w:cstheme="minorBidi"/>
            <w:i w:val="0"/>
            <w:iCs w:val="0"/>
            <w:noProof/>
            <w:sz w:val="22"/>
            <w:szCs w:val="22"/>
            <w:lang w:val="en-GB" w:eastAsia="en-GB"/>
          </w:rPr>
          <w:tab/>
        </w:r>
        <w:r w:rsidR="00C451D4" w:rsidRPr="00EB2E1D">
          <w:rPr>
            <w:rStyle w:val="Hyperlink"/>
            <w:noProof/>
          </w:rPr>
          <w:t>How will the problem evolve without intervention?</w:t>
        </w:r>
        <w:r w:rsidR="00C451D4">
          <w:rPr>
            <w:noProof/>
            <w:webHidden/>
          </w:rPr>
          <w:tab/>
        </w:r>
        <w:r w:rsidR="00C451D4">
          <w:rPr>
            <w:noProof/>
            <w:webHidden/>
          </w:rPr>
          <w:fldChar w:fldCharType="begin"/>
        </w:r>
        <w:r w:rsidR="00C451D4">
          <w:rPr>
            <w:noProof/>
            <w:webHidden/>
          </w:rPr>
          <w:instrText xml:space="preserve"> PAGEREF _Toc83801015 \h </w:instrText>
        </w:r>
        <w:r w:rsidR="00C451D4">
          <w:rPr>
            <w:noProof/>
            <w:webHidden/>
          </w:rPr>
        </w:r>
        <w:r w:rsidR="00C451D4">
          <w:rPr>
            <w:noProof/>
            <w:webHidden/>
          </w:rPr>
          <w:fldChar w:fldCharType="separate"/>
        </w:r>
        <w:r w:rsidR="00A4414A">
          <w:rPr>
            <w:noProof/>
            <w:webHidden/>
          </w:rPr>
          <w:t>13</w:t>
        </w:r>
        <w:r w:rsidR="00C451D4">
          <w:rPr>
            <w:noProof/>
            <w:webHidden/>
          </w:rPr>
          <w:fldChar w:fldCharType="end"/>
        </w:r>
      </w:hyperlink>
    </w:p>
    <w:p w14:paraId="383C7664" w14:textId="02226E0F"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16" w:history="1">
        <w:r w:rsidR="00C451D4" w:rsidRPr="00EB2E1D">
          <w:rPr>
            <w:rStyle w:val="Hyperlink"/>
            <w:noProof/>
          </w:rPr>
          <w:t>2.2.</w:t>
        </w:r>
        <w:r w:rsidR="00C451D4">
          <w:rPr>
            <w:rFonts w:eastAsiaTheme="minorEastAsia" w:cstheme="minorBidi"/>
            <w:smallCaps w:val="0"/>
            <w:noProof/>
            <w:sz w:val="22"/>
            <w:szCs w:val="22"/>
            <w:lang w:val="en-GB" w:eastAsia="en-GB"/>
          </w:rPr>
          <w:tab/>
        </w:r>
        <w:r w:rsidR="00C451D4" w:rsidRPr="00EB2E1D">
          <w:rPr>
            <w:rStyle w:val="Hyperlink"/>
            <w:noProof/>
          </w:rPr>
          <w:t>Problem 2: Structures at national level are not set up and equipped in a sufficiently efficient and effective manner</w:t>
        </w:r>
        <w:r w:rsidR="00C451D4">
          <w:rPr>
            <w:noProof/>
            <w:webHidden/>
          </w:rPr>
          <w:tab/>
        </w:r>
        <w:r w:rsidR="00C451D4">
          <w:rPr>
            <w:noProof/>
            <w:webHidden/>
          </w:rPr>
          <w:fldChar w:fldCharType="begin"/>
        </w:r>
        <w:r w:rsidR="00C451D4">
          <w:rPr>
            <w:noProof/>
            <w:webHidden/>
          </w:rPr>
          <w:instrText xml:space="preserve"> PAGEREF _Toc83801016 \h </w:instrText>
        </w:r>
        <w:r w:rsidR="00C451D4">
          <w:rPr>
            <w:noProof/>
            <w:webHidden/>
          </w:rPr>
        </w:r>
        <w:r w:rsidR="00C451D4">
          <w:rPr>
            <w:noProof/>
            <w:webHidden/>
          </w:rPr>
          <w:fldChar w:fldCharType="separate"/>
        </w:r>
        <w:r w:rsidR="00A4414A">
          <w:rPr>
            <w:noProof/>
            <w:webHidden/>
          </w:rPr>
          <w:t>13</w:t>
        </w:r>
        <w:r w:rsidR="00C451D4">
          <w:rPr>
            <w:noProof/>
            <w:webHidden/>
          </w:rPr>
          <w:fldChar w:fldCharType="end"/>
        </w:r>
      </w:hyperlink>
    </w:p>
    <w:p w14:paraId="0296A2CA" w14:textId="0CD10979"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17" w:history="1">
        <w:r w:rsidR="00C451D4" w:rsidRPr="00EB2E1D">
          <w:rPr>
            <w:rStyle w:val="Hyperlink"/>
            <w:noProof/>
          </w:rPr>
          <w:t>2.2.1.</w:t>
        </w:r>
        <w:r w:rsidR="00C451D4">
          <w:rPr>
            <w:rFonts w:eastAsiaTheme="minorEastAsia" w:cstheme="minorBidi"/>
            <w:i w:val="0"/>
            <w:iCs w:val="0"/>
            <w:noProof/>
            <w:sz w:val="22"/>
            <w:szCs w:val="22"/>
            <w:lang w:val="en-GB" w:eastAsia="en-GB"/>
          </w:rPr>
          <w:tab/>
        </w:r>
        <w:r w:rsidR="00C451D4" w:rsidRPr="00EB2E1D">
          <w:rPr>
            <w:rStyle w:val="Hyperlink"/>
            <w:noProof/>
          </w:rPr>
          <w:t>What is the problem?</w:t>
        </w:r>
        <w:r w:rsidR="00C451D4">
          <w:rPr>
            <w:noProof/>
            <w:webHidden/>
          </w:rPr>
          <w:tab/>
        </w:r>
        <w:r w:rsidR="00C451D4">
          <w:rPr>
            <w:noProof/>
            <w:webHidden/>
          </w:rPr>
          <w:fldChar w:fldCharType="begin"/>
        </w:r>
        <w:r w:rsidR="00C451D4">
          <w:rPr>
            <w:noProof/>
            <w:webHidden/>
          </w:rPr>
          <w:instrText xml:space="preserve"> PAGEREF _Toc83801017 \h </w:instrText>
        </w:r>
        <w:r w:rsidR="00C451D4">
          <w:rPr>
            <w:noProof/>
            <w:webHidden/>
          </w:rPr>
        </w:r>
        <w:r w:rsidR="00C451D4">
          <w:rPr>
            <w:noProof/>
            <w:webHidden/>
          </w:rPr>
          <w:fldChar w:fldCharType="separate"/>
        </w:r>
        <w:r w:rsidR="00A4414A">
          <w:rPr>
            <w:noProof/>
            <w:webHidden/>
          </w:rPr>
          <w:t>13</w:t>
        </w:r>
        <w:r w:rsidR="00C451D4">
          <w:rPr>
            <w:noProof/>
            <w:webHidden/>
          </w:rPr>
          <w:fldChar w:fldCharType="end"/>
        </w:r>
      </w:hyperlink>
    </w:p>
    <w:p w14:paraId="67EFC54B" w14:textId="439E5BCB"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18" w:history="1">
        <w:r w:rsidR="00C451D4" w:rsidRPr="00EB2E1D">
          <w:rPr>
            <w:rStyle w:val="Hyperlink"/>
            <w:noProof/>
          </w:rPr>
          <w:t>2.2.2.</w:t>
        </w:r>
        <w:r w:rsidR="00C451D4">
          <w:rPr>
            <w:rFonts w:eastAsiaTheme="minorEastAsia" w:cstheme="minorBidi"/>
            <w:i w:val="0"/>
            <w:iCs w:val="0"/>
            <w:noProof/>
            <w:sz w:val="22"/>
            <w:szCs w:val="22"/>
            <w:lang w:val="en-GB" w:eastAsia="en-GB"/>
          </w:rPr>
          <w:tab/>
        </w:r>
        <w:r w:rsidR="00C451D4" w:rsidRPr="00EB2E1D">
          <w:rPr>
            <w:rStyle w:val="Hyperlink"/>
            <w:noProof/>
          </w:rPr>
          <w:t>What are the problems drivers?</w:t>
        </w:r>
        <w:r w:rsidR="00C451D4">
          <w:rPr>
            <w:noProof/>
            <w:webHidden/>
          </w:rPr>
          <w:tab/>
        </w:r>
        <w:r w:rsidR="00C451D4">
          <w:rPr>
            <w:noProof/>
            <w:webHidden/>
          </w:rPr>
          <w:fldChar w:fldCharType="begin"/>
        </w:r>
        <w:r w:rsidR="00C451D4">
          <w:rPr>
            <w:noProof/>
            <w:webHidden/>
          </w:rPr>
          <w:instrText xml:space="preserve"> PAGEREF _Toc83801018 \h </w:instrText>
        </w:r>
        <w:r w:rsidR="00C451D4">
          <w:rPr>
            <w:noProof/>
            <w:webHidden/>
          </w:rPr>
        </w:r>
        <w:r w:rsidR="00C451D4">
          <w:rPr>
            <w:noProof/>
            <w:webHidden/>
          </w:rPr>
          <w:fldChar w:fldCharType="separate"/>
        </w:r>
        <w:r w:rsidR="00A4414A">
          <w:rPr>
            <w:noProof/>
            <w:webHidden/>
          </w:rPr>
          <w:t>14</w:t>
        </w:r>
        <w:r w:rsidR="00C451D4">
          <w:rPr>
            <w:noProof/>
            <w:webHidden/>
          </w:rPr>
          <w:fldChar w:fldCharType="end"/>
        </w:r>
      </w:hyperlink>
    </w:p>
    <w:p w14:paraId="7470CB00" w14:textId="28051D6C"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19" w:history="1">
        <w:r w:rsidR="00C451D4" w:rsidRPr="00EB2E1D">
          <w:rPr>
            <w:rStyle w:val="Hyperlink"/>
            <w:noProof/>
          </w:rPr>
          <w:t>2.2.3.</w:t>
        </w:r>
        <w:r w:rsidR="00C451D4">
          <w:rPr>
            <w:rFonts w:eastAsiaTheme="minorEastAsia" w:cstheme="minorBidi"/>
            <w:i w:val="0"/>
            <w:iCs w:val="0"/>
            <w:noProof/>
            <w:sz w:val="22"/>
            <w:szCs w:val="22"/>
            <w:lang w:val="en-GB" w:eastAsia="en-GB"/>
          </w:rPr>
          <w:tab/>
        </w:r>
        <w:r w:rsidR="00C451D4" w:rsidRPr="00EB2E1D">
          <w:rPr>
            <w:rStyle w:val="Hyperlink"/>
            <w:noProof/>
          </w:rPr>
          <w:t>How will the problem evolve without intervention?</w:t>
        </w:r>
        <w:r w:rsidR="00C451D4">
          <w:rPr>
            <w:noProof/>
            <w:webHidden/>
          </w:rPr>
          <w:tab/>
        </w:r>
        <w:r w:rsidR="00C451D4">
          <w:rPr>
            <w:noProof/>
            <w:webHidden/>
          </w:rPr>
          <w:fldChar w:fldCharType="begin"/>
        </w:r>
        <w:r w:rsidR="00C451D4">
          <w:rPr>
            <w:noProof/>
            <w:webHidden/>
          </w:rPr>
          <w:instrText xml:space="preserve"> PAGEREF _Toc83801019 \h </w:instrText>
        </w:r>
        <w:r w:rsidR="00C451D4">
          <w:rPr>
            <w:noProof/>
            <w:webHidden/>
          </w:rPr>
        </w:r>
        <w:r w:rsidR="00C451D4">
          <w:rPr>
            <w:noProof/>
            <w:webHidden/>
          </w:rPr>
          <w:fldChar w:fldCharType="separate"/>
        </w:r>
        <w:r w:rsidR="00A4414A">
          <w:rPr>
            <w:noProof/>
            <w:webHidden/>
          </w:rPr>
          <w:t>19</w:t>
        </w:r>
        <w:r w:rsidR="00C451D4">
          <w:rPr>
            <w:noProof/>
            <w:webHidden/>
          </w:rPr>
          <w:fldChar w:fldCharType="end"/>
        </w:r>
      </w:hyperlink>
    </w:p>
    <w:p w14:paraId="2628C067" w14:textId="7CFAC3A5"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20" w:history="1">
        <w:r w:rsidR="00C451D4" w:rsidRPr="00EB2E1D">
          <w:rPr>
            <w:rStyle w:val="Hyperlink"/>
            <w:noProof/>
          </w:rPr>
          <w:t>2.3.</w:t>
        </w:r>
        <w:r w:rsidR="00C451D4">
          <w:rPr>
            <w:rFonts w:eastAsiaTheme="minorEastAsia" w:cstheme="minorBidi"/>
            <w:smallCaps w:val="0"/>
            <w:noProof/>
            <w:sz w:val="22"/>
            <w:szCs w:val="22"/>
            <w:lang w:val="en-GB" w:eastAsia="en-GB"/>
          </w:rPr>
          <w:tab/>
        </w:r>
        <w:r w:rsidR="00C451D4" w:rsidRPr="00EB2E1D">
          <w:rPr>
            <w:rStyle w:val="Hyperlink"/>
            <w:noProof/>
          </w:rPr>
          <w:t>Problem 3: The free choice of communication channel(s) between Member States causes recurrent duplication of requests</w:t>
        </w:r>
        <w:r w:rsidR="00C451D4">
          <w:rPr>
            <w:noProof/>
            <w:webHidden/>
          </w:rPr>
          <w:tab/>
        </w:r>
        <w:r w:rsidR="00C451D4">
          <w:rPr>
            <w:noProof/>
            <w:webHidden/>
          </w:rPr>
          <w:fldChar w:fldCharType="begin"/>
        </w:r>
        <w:r w:rsidR="00C451D4">
          <w:rPr>
            <w:noProof/>
            <w:webHidden/>
          </w:rPr>
          <w:instrText xml:space="preserve"> PAGEREF _Toc83801020 \h </w:instrText>
        </w:r>
        <w:r w:rsidR="00C451D4">
          <w:rPr>
            <w:noProof/>
            <w:webHidden/>
          </w:rPr>
        </w:r>
        <w:r w:rsidR="00C451D4">
          <w:rPr>
            <w:noProof/>
            <w:webHidden/>
          </w:rPr>
          <w:fldChar w:fldCharType="separate"/>
        </w:r>
        <w:r w:rsidR="00A4414A">
          <w:rPr>
            <w:noProof/>
            <w:webHidden/>
          </w:rPr>
          <w:t>19</w:t>
        </w:r>
        <w:r w:rsidR="00C451D4">
          <w:rPr>
            <w:noProof/>
            <w:webHidden/>
          </w:rPr>
          <w:fldChar w:fldCharType="end"/>
        </w:r>
      </w:hyperlink>
    </w:p>
    <w:p w14:paraId="0469FD92" w14:textId="0088D90C"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21" w:history="1">
        <w:r w:rsidR="00C451D4" w:rsidRPr="00EB2E1D">
          <w:rPr>
            <w:rStyle w:val="Hyperlink"/>
            <w:noProof/>
          </w:rPr>
          <w:t>2.3.1.</w:t>
        </w:r>
        <w:r w:rsidR="00C451D4">
          <w:rPr>
            <w:rFonts w:eastAsiaTheme="minorEastAsia" w:cstheme="minorBidi"/>
            <w:i w:val="0"/>
            <w:iCs w:val="0"/>
            <w:noProof/>
            <w:sz w:val="22"/>
            <w:szCs w:val="22"/>
            <w:lang w:val="en-GB" w:eastAsia="en-GB"/>
          </w:rPr>
          <w:tab/>
        </w:r>
        <w:r w:rsidR="00C451D4" w:rsidRPr="00EB2E1D">
          <w:rPr>
            <w:rStyle w:val="Hyperlink"/>
            <w:noProof/>
          </w:rPr>
          <w:t>What is the problem?</w:t>
        </w:r>
        <w:r w:rsidR="00C451D4">
          <w:rPr>
            <w:noProof/>
            <w:webHidden/>
          </w:rPr>
          <w:tab/>
        </w:r>
        <w:r w:rsidR="00C451D4">
          <w:rPr>
            <w:noProof/>
            <w:webHidden/>
          </w:rPr>
          <w:fldChar w:fldCharType="begin"/>
        </w:r>
        <w:r w:rsidR="00C451D4">
          <w:rPr>
            <w:noProof/>
            <w:webHidden/>
          </w:rPr>
          <w:instrText xml:space="preserve"> PAGEREF _Toc83801021 \h </w:instrText>
        </w:r>
        <w:r w:rsidR="00C451D4">
          <w:rPr>
            <w:noProof/>
            <w:webHidden/>
          </w:rPr>
        </w:r>
        <w:r w:rsidR="00C451D4">
          <w:rPr>
            <w:noProof/>
            <w:webHidden/>
          </w:rPr>
          <w:fldChar w:fldCharType="separate"/>
        </w:r>
        <w:r w:rsidR="00A4414A">
          <w:rPr>
            <w:noProof/>
            <w:webHidden/>
          </w:rPr>
          <w:t>19</w:t>
        </w:r>
        <w:r w:rsidR="00C451D4">
          <w:rPr>
            <w:noProof/>
            <w:webHidden/>
          </w:rPr>
          <w:fldChar w:fldCharType="end"/>
        </w:r>
      </w:hyperlink>
    </w:p>
    <w:p w14:paraId="71318ED2" w14:textId="5383D79E"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22" w:history="1">
        <w:r w:rsidR="00C451D4" w:rsidRPr="00EB2E1D">
          <w:rPr>
            <w:rStyle w:val="Hyperlink"/>
            <w:noProof/>
          </w:rPr>
          <w:t>2.3.2.</w:t>
        </w:r>
        <w:r w:rsidR="00C451D4">
          <w:rPr>
            <w:rFonts w:eastAsiaTheme="minorEastAsia" w:cstheme="minorBidi"/>
            <w:i w:val="0"/>
            <w:iCs w:val="0"/>
            <w:noProof/>
            <w:sz w:val="22"/>
            <w:szCs w:val="22"/>
            <w:lang w:val="en-GB" w:eastAsia="en-GB"/>
          </w:rPr>
          <w:tab/>
        </w:r>
        <w:r w:rsidR="00C451D4" w:rsidRPr="00EB2E1D">
          <w:rPr>
            <w:rStyle w:val="Hyperlink"/>
            <w:noProof/>
          </w:rPr>
          <w:t>What are the drivers?</w:t>
        </w:r>
        <w:r w:rsidR="00C451D4">
          <w:rPr>
            <w:noProof/>
            <w:webHidden/>
          </w:rPr>
          <w:tab/>
        </w:r>
        <w:r w:rsidR="00C451D4">
          <w:rPr>
            <w:noProof/>
            <w:webHidden/>
          </w:rPr>
          <w:fldChar w:fldCharType="begin"/>
        </w:r>
        <w:r w:rsidR="00C451D4">
          <w:rPr>
            <w:noProof/>
            <w:webHidden/>
          </w:rPr>
          <w:instrText xml:space="preserve"> PAGEREF _Toc83801022 \h </w:instrText>
        </w:r>
        <w:r w:rsidR="00C451D4">
          <w:rPr>
            <w:noProof/>
            <w:webHidden/>
          </w:rPr>
        </w:r>
        <w:r w:rsidR="00C451D4">
          <w:rPr>
            <w:noProof/>
            <w:webHidden/>
          </w:rPr>
          <w:fldChar w:fldCharType="separate"/>
        </w:r>
        <w:r w:rsidR="00A4414A">
          <w:rPr>
            <w:noProof/>
            <w:webHidden/>
          </w:rPr>
          <w:t>21</w:t>
        </w:r>
        <w:r w:rsidR="00C451D4">
          <w:rPr>
            <w:noProof/>
            <w:webHidden/>
          </w:rPr>
          <w:fldChar w:fldCharType="end"/>
        </w:r>
      </w:hyperlink>
    </w:p>
    <w:p w14:paraId="154104C1" w14:textId="2C3A9149"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23" w:history="1">
        <w:r w:rsidR="00C451D4" w:rsidRPr="00EB2E1D">
          <w:rPr>
            <w:rStyle w:val="Hyperlink"/>
            <w:noProof/>
          </w:rPr>
          <w:t>2.3.3.</w:t>
        </w:r>
        <w:r w:rsidR="00C451D4">
          <w:rPr>
            <w:rFonts w:eastAsiaTheme="minorEastAsia" w:cstheme="minorBidi"/>
            <w:i w:val="0"/>
            <w:iCs w:val="0"/>
            <w:noProof/>
            <w:sz w:val="22"/>
            <w:szCs w:val="22"/>
            <w:lang w:val="en-GB" w:eastAsia="en-GB"/>
          </w:rPr>
          <w:tab/>
        </w:r>
        <w:r w:rsidR="00C451D4" w:rsidRPr="00EB2E1D">
          <w:rPr>
            <w:rStyle w:val="Hyperlink"/>
            <w:noProof/>
          </w:rPr>
          <w:t>How will the problem evolve without intervention?</w:t>
        </w:r>
        <w:r w:rsidR="00C451D4">
          <w:rPr>
            <w:noProof/>
            <w:webHidden/>
          </w:rPr>
          <w:tab/>
        </w:r>
        <w:r w:rsidR="00C451D4">
          <w:rPr>
            <w:noProof/>
            <w:webHidden/>
          </w:rPr>
          <w:fldChar w:fldCharType="begin"/>
        </w:r>
        <w:r w:rsidR="00C451D4">
          <w:rPr>
            <w:noProof/>
            <w:webHidden/>
          </w:rPr>
          <w:instrText xml:space="preserve"> PAGEREF _Toc83801023 \h </w:instrText>
        </w:r>
        <w:r w:rsidR="00C451D4">
          <w:rPr>
            <w:noProof/>
            <w:webHidden/>
          </w:rPr>
        </w:r>
        <w:r w:rsidR="00C451D4">
          <w:rPr>
            <w:noProof/>
            <w:webHidden/>
          </w:rPr>
          <w:fldChar w:fldCharType="separate"/>
        </w:r>
        <w:r w:rsidR="00A4414A">
          <w:rPr>
            <w:noProof/>
            <w:webHidden/>
          </w:rPr>
          <w:t>22</w:t>
        </w:r>
        <w:r w:rsidR="00C451D4">
          <w:rPr>
            <w:noProof/>
            <w:webHidden/>
          </w:rPr>
          <w:fldChar w:fldCharType="end"/>
        </w:r>
      </w:hyperlink>
    </w:p>
    <w:p w14:paraId="7A601A54" w14:textId="401FF28B"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24" w:history="1">
        <w:r w:rsidR="00C451D4" w:rsidRPr="00EB2E1D">
          <w:rPr>
            <w:rStyle w:val="Hyperlink"/>
            <w:noProof/>
          </w:rPr>
          <w:t>3.</w:t>
        </w:r>
        <w:r w:rsidR="00C451D4">
          <w:rPr>
            <w:rFonts w:eastAsiaTheme="minorEastAsia" w:cstheme="minorBidi"/>
            <w:b w:val="0"/>
            <w:bCs w:val="0"/>
            <w:caps w:val="0"/>
            <w:noProof/>
            <w:sz w:val="22"/>
            <w:szCs w:val="22"/>
            <w:lang w:val="en-GB" w:eastAsia="en-GB"/>
          </w:rPr>
          <w:tab/>
        </w:r>
        <w:r w:rsidR="00C451D4" w:rsidRPr="00EB2E1D">
          <w:rPr>
            <w:rStyle w:val="Hyperlink"/>
            <w:noProof/>
            <w:shd w:val="clear" w:color="auto" w:fill="FFFFFF"/>
          </w:rPr>
          <w:t>Why should the EU act?</w:t>
        </w:r>
        <w:r w:rsidR="00C451D4">
          <w:rPr>
            <w:noProof/>
            <w:webHidden/>
          </w:rPr>
          <w:tab/>
        </w:r>
        <w:r w:rsidR="00C451D4">
          <w:rPr>
            <w:noProof/>
            <w:webHidden/>
          </w:rPr>
          <w:fldChar w:fldCharType="begin"/>
        </w:r>
        <w:r w:rsidR="00C451D4">
          <w:rPr>
            <w:noProof/>
            <w:webHidden/>
          </w:rPr>
          <w:instrText xml:space="preserve"> PAGEREF _Toc83801024 \h </w:instrText>
        </w:r>
        <w:r w:rsidR="00C451D4">
          <w:rPr>
            <w:noProof/>
            <w:webHidden/>
          </w:rPr>
        </w:r>
        <w:r w:rsidR="00C451D4">
          <w:rPr>
            <w:noProof/>
            <w:webHidden/>
          </w:rPr>
          <w:fldChar w:fldCharType="separate"/>
        </w:r>
        <w:r w:rsidR="00A4414A">
          <w:rPr>
            <w:noProof/>
            <w:webHidden/>
          </w:rPr>
          <w:t>22</w:t>
        </w:r>
        <w:r w:rsidR="00C451D4">
          <w:rPr>
            <w:noProof/>
            <w:webHidden/>
          </w:rPr>
          <w:fldChar w:fldCharType="end"/>
        </w:r>
      </w:hyperlink>
    </w:p>
    <w:p w14:paraId="53DF0DE3" w14:textId="45183DA0"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25" w:history="1">
        <w:r w:rsidR="00C451D4" w:rsidRPr="00EB2E1D">
          <w:rPr>
            <w:rStyle w:val="Hyperlink"/>
            <w:noProof/>
          </w:rPr>
          <w:t>3.1.</w:t>
        </w:r>
        <w:r w:rsidR="00C451D4">
          <w:rPr>
            <w:rFonts w:eastAsiaTheme="minorEastAsia" w:cstheme="minorBidi"/>
            <w:smallCaps w:val="0"/>
            <w:noProof/>
            <w:sz w:val="22"/>
            <w:szCs w:val="22"/>
            <w:lang w:val="en-GB" w:eastAsia="en-GB"/>
          </w:rPr>
          <w:tab/>
        </w:r>
        <w:r w:rsidR="00C451D4" w:rsidRPr="00EB2E1D">
          <w:rPr>
            <w:rStyle w:val="Hyperlink"/>
            <w:noProof/>
          </w:rPr>
          <w:t>Legal basis</w:t>
        </w:r>
        <w:r w:rsidR="00C451D4">
          <w:rPr>
            <w:noProof/>
            <w:webHidden/>
          </w:rPr>
          <w:tab/>
        </w:r>
        <w:r w:rsidR="00C451D4">
          <w:rPr>
            <w:noProof/>
            <w:webHidden/>
          </w:rPr>
          <w:fldChar w:fldCharType="begin"/>
        </w:r>
        <w:r w:rsidR="00C451D4">
          <w:rPr>
            <w:noProof/>
            <w:webHidden/>
          </w:rPr>
          <w:instrText xml:space="preserve"> PAGEREF _Toc83801025 \h </w:instrText>
        </w:r>
        <w:r w:rsidR="00C451D4">
          <w:rPr>
            <w:noProof/>
            <w:webHidden/>
          </w:rPr>
        </w:r>
        <w:r w:rsidR="00C451D4">
          <w:rPr>
            <w:noProof/>
            <w:webHidden/>
          </w:rPr>
          <w:fldChar w:fldCharType="separate"/>
        </w:r>
        <w:r w:rsidR="00A4414A">
          <w:rPr>
            <w:noProof/>
            <w:webHidden/>
          </w:rPr>
          <w:t>22</w:t>
        </w:r>
        <w:r w:rsidR="00C451D4">
          <w:rPr>
            <w:noProof/>
            <w:webHidden/>
          </w:rPr>
          <w:fldChar w:fldCharType="end"/>
        </w:r>
      </w:hyperlink>
    </w:p>
    <w:p w14:paraId="2F24A398" w14:textId="27F036BD"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26" w:history="1">
        <w:r w:rsidR="00C451D4" w:rsidRPr="00EB2E1D">
          <w:rPr>
            <w:rStyle w:val="Hyperlink"/>
            <w:noProof/>
          </w:rPr>
          <w:t>3.2.</w:t>
        </w:r>
        <w:r w:rsidR="00C451D4">
          <w:rPr>
            <w:rFonts w:eastAsiaTheme="minorEastAsia" w:cstheme="minorBidi"/>
            <w:smallCaps w:val="0"/>
            <w:noProof/>
            <w:sz w:val="22"/>
            <w:szCs w:val="22"/>
            <w:lang w:val="en-GB" w:eastAsia="en-GB"/>
          </w:rPr>
          <w:tab/>
        </w:r>
        <w:r w:rsidR="00C451D4" w:rsidRPr="00EB2E1D">
          <w:rPr>
            <w:rStyle w:val="Hyperlink"/>
            <w:noProof/>
          </w:rPr>
          <w:t>Subsidiarity: Necessity of EU action</w:t>
        </w:r>
        <w:r w:rsidR="00C451D4">
          <w:rPr>
            <w:noProof/>
            <w:webHidden/>
          </w:rPr>
          <w:tab/>
        </w:r>
        <w:r w:rsidR="00C451D4">
          <w:rPr>
            <w:noProof/>
            <w:webHidden/>
          </w:rPr>
          <w:fldChar w:fldCharType="begin"/>
        </w:r>
        <w:r w:rsidR="00C451D4">
          <w:rPr>
            <w:noProof/>
            <w:webHidden/>
          </w:rPr>
          <w:instrText xml:space="preserve"> PAGEREF _Toc83801026 \h </w:instrText>
        </w:r>
        <w:r w:rsidR="00C451D4">
          <w:rPr>
            <w:noProof/>
            <w:webHidden/>
          </w:rPr>
        </w:r>
        <w:r w:rsidR="00C451D4">
          <w:rPr>
            <w:noProof/>
            <w:webHidden/>
          </w:rPr>
          <w:fldChar w:fldCharType="separate"/>
        </w:r>
        <w:r w:rsidR="00A4414A">
          <w:rPr>
            <w:noProof/>
            <w:webHidden/>
          </w:rPr>
          <w:t>22</w:t>
        </w:r>
        <w:r w:rsidR="00C451D4">
          <w:rPr>
            <w:noProof/>
            <w:webHidden/>
          </w:rPr>
          <w:fldChar w:fldCharType="end"/>
        </w:r>
      </w:hyperlink>
    </w:p>
    <w:p w14:paraId="2BA4C7CD" w14:textId="79D9F300"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27" w:history="1">
        <w:r w:rsidR="00C451D4" w:rsidRPr="00EB2E1D">
          <w:rPr>
            <w:rStyle w:val="Hyperlink"/>
            <w:noProof/>
          </w:rPr>
          <w:t>3.3.</w:t>
        </w:r>
        <w:r w:rsidR="00C451D4">
          <w:rPr>
            <w:rFonts w:eastAsiaTheme="minorEastAsia" w:cstheme="minorBidi"/>
            <w:smallCaps w:val="0"/>
            <w:noProof/>
            <w:sz w:val="22"/>
            <w:szCs w:val="22"/>
            <w:lang w:val="en-GB" w:eastAsia="en-GB"/>
          </w:rPr>
          <w:tab/>
        </w:r>
        <w:r w:rsidR="00C451D4" w:rsidRPr="00EB2E1D">
          <w:rPr>
            <w:rStyle w:val="Hyperlink"/>
            <w:noProof/>
          </w:rPr>
          <w:t>Subsidiarity: Added value of EU action</w:t>
        </w:r>
        <w:r w:rsidR="00C451D4">
          <w:rPr>
            <w:noProof/>
            <w:webHidden/>
          </w:rPr>
          <w:tab/>
        </w:r>
        <w:r w:rsidR="00C451D4">
          <w:rPr>
            <w:noProof/>
            <w:webHidden/>
          </w:rPr>
          <w:fldChar w:fldCharType="begin"/>
        </w:r>
        <w:r w:rsidR="00C451D4">
          <w:rPr>
            <w:noProof/>
            <w:webHidden/>
          </w:rPr>
          <w:instrText xml:space="preserve"> PAGEREF _Toc83801027 \h </w:instrText>
        </w:r>
        <w:r w:rsidR="00C451D4">
          <w:rPr>
            <w:noProof/>
            <w:webHidden/>
          </w:rPr>
        </w:r>
        <w:r w:rsidR="00C451D4">
          <w:rPr>
            <w:noProof/>
            <w:webHidden/>
          </w:rPr>
          <w:fldChar w:fldCharType="separate"/>
        </w:r>
        <w:r w:rsidR="00A4414A">
          <w:rPr>
            <w:noProof/>
            <w:webHidden/>
          </w:rPr>
          <w:t>23</w:t>
        </w:r>
        <w:r w:rsidR="00C451D4">
          <w:rPr>
            <w:noProof/>
            <w:webHidden/>
          </w:rPr>
          <w:fldChar w:fldCharType="end"/>
        </w:r>
      </w:hyperlink>
    </w:p>
    <w:p w14:paraId="6B91C52F" w14:textId="7A3F79BA"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28" w:history="1">
        <w:r w:rsidR="00C451D4" w:rsidRPr="00EB2E1D">
          <w:rPr>
            <w:rStyle w:val="Hyperlink"/>
            <w:noProof/>
          </w:rPr>
          <w:t>4.</w:t>
        </w:r>
        <w:r w:rsidR="00C451D4">
          <w:rPr>
            <w:rFonts w:eastAsiaTheme="minorEastAsia" w:cstheme="minorBidi"/>
            <w:b w:val="0"/>
            <w:bCs w:val="0"/>
            <w:caps w:val="0"/>
            <w:noProof/>
            <w:sz w:val="22"/>
            <w:szCs w:val="22"/>
            <w:lang w:val="en-GB" w:eastAsia="en-GB"/>
          </w:rPr>
          <w:tab/>
        </w:r>
        <w:r w:rsidR="00C451D4" w:rsidRPr="00EB2E1D">
          <w:rPr>
            <w:rStyle w:val="Hyperlink"/>
            <w:noProof/>
          </w:rPr>
          <w:t>Objectives: What is to be achieved?</w:t>
        </w:r>
        <w:r w:rsidR="00C451D4">
          <w:rPr>
            <w:noProof/>
            <w:webHidden/>
          </w:rPr>
          <w:tab/>
        </w:r>
        <w:r w:rsidR="00C451D4">
          <w:rPr>
            <w:noProof/>
            <w:webHidden/>
          </w:rPr>
          <w:fldChar w:fldCharType="begin"/>
        </w:r>
        <w:r w:rsidR="00C451D4">
          <w:rPr>
            <w:noProof/>
            <w:webHidden/>
          </w:rPr>
          <w:instrText xml:space="preserve"> PAGEREF _Toc83801028 \h </w:instrText>
        </w:r>
        <w:r w:rsidR="00C451D4">
          <w:rPr>
            <w:noProof/>
            <w:webHidden/>
          </w:rPr>
        </w:r>
        <w:r w:rsidR="00C451D4">
          <w:rPr>
            <w:noProof/>
            <w:webHidden/>
          </w:rPr>
          <w:fldChar w:fldCharType="separate"/>
        </w:r>
        <w:r w:rsidR="00A4414A">
          <w:rPr>
            <w:noProof/>
            <w:webHidden/>
          </w:rPr>
          <w:t>23</w:t>
        </w:r>
        <w:r w:rsidR="00C451D4">
          <w:rPr>
            <w:noProof/>
            <w:webHidden/>
          </w:rPr>
          <w:fldChar w:fldCharType="end"/>
        </w:r>
      </w:hyperlink>
    </w:p>
    <w:p w14:paraId="52468160" w14:textId="67A29306"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29" w:history="1">
        <w:r w:rsidR="00C451D4" w:rsidRPr="00EB2E1D">
          <w:rPr>
            <w:rStyle w:val="Hyperlink"/>
            <w:noProof/>
          </w:rPr>
          <w:t>4.1.</w:t>
        </w:r>
        <w:r w:rsidR="00C451D4">
          <w:rPr>
            <w:rFonts w:eastAsiaTheme="minorEastAsia" w:cstheme="minorBidi"/>
            <w:smallCaps w:val="0"/>
            <w:noProof/>
            <w:sz w:val="22"/>
            <w:szCs w:val="22"/>
            <w:lang w:val="en-GB" w:eastAsia="en-GB"/>
          </w:rPr>
          <w:tab/>
        </w:r>
        <w:r w:rsidR="00C451D4" w:rsidRPr="00EB2E1D">
          <w:rPr>
            <w:rStyle w:val="Hyperlink"/>
            <w:noProof/>
          </w:rPr>
          <w:t>General objective</w:t>
        </w:r>
        <w:r w:rsidR="00C451D4">
          <w:rPr>
            <w:noProof/>
            <w:webHidden/>
          </w:rPr>
          <w:tab/>
        </w:r>
        <w:r w:rsidR="00C451D4">
          <w:rPr>
            <w:noProof/>
            <w:webHidden/>
          </w:rPr>
          <w:fldChar w:fldCharType="begin"/>
        </w:r>
        <w:r w:rsidR="00C451D4">
          <w:rPr>
            <w:noProof/>
            <w:webHidden/>
          </w:rPr>
          <w:instrText xml:space="preserve"> PAGEREF _Toc83801029 \h </w:instrText>
        </w:r>
        <w:r w:rsidR="00C451D4">
          <w:rPr>
            <w:noProof/>
            <w:webHidden/>
          </w:rPr>
        </w:r>
        <w:r w:rsidR="00C451D4">
          <w:rPr>
            <w:noProof/>
            <w:webHidden/>
          </w:rPr>
          <w:fldChar w:fldCharType="separate"/>
        </w:r>
        <w:r w:rsidR="00A4414A">
          <w:rPr>
            <w:noProof/>
            <w:webHidden/>
          </w:rPr>
          <w:t>23</w:t>
        </w:r>
        <w:r w:rsidR="00C451D4">
          <w:rPr>
            <w:noProof/>
            <w:webHidden/>
          </w:rPr>
          <w:fldChar w:fldCharType="end"/>
        </w:r>
      </w:hyperlink>
    </w:p>
    <w:p w14:paraId="75DE2FE4" w14:textId="2E97975E"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30" w:history="1">
        <w:r w:rsidR="00C451D4" w:rsidRPr="00EB2E1D">
          <w:rPr>
            <w:rStyle w:val="Hyperlink"/>
            <w:noProof/>
          </w:rPr>
          <w:t>4.2.</w:t>
        </w:r>
        <w:r w:rsidR="00C451D4">
          <w:rPr>
            <w:rFonts w:eastAsiaTheme="minorEastAsia" w:cstheme="minorBidi"/>
            <w:smallCaps w:val="0"/>
            <w:noProof/>
            <w:sz w:val="22"/>
            <w:szCs w:val="22"/>
            <w:lang w:val="en-GB" w:eastAsia="en-GB"/>
          </w:rPr>
          <w:tab/>
        </w:r>
        <w:r w:rsidR="00C451D4" w:rsidRPr="00EB2E1D">
          <w:rPr>
            <w:rStyle w:val="Hyperlink"/>
            <w:noProof/>
          </w:rPr>
          <w:t>Specific objectives</w:t>
        </w:r>
        <w:r w:rsidR="00C451D4">
          <w:rPr>
            <w:noProof/>
            <w:webHidden/>
          </w:rPr>
          <w:tab/>
        </w:r>
        <w:r w:rsidR="00C451D4">
          <w:rPr>
            <w:noProof/>
            <w:webHidden/>
          </w:rPr>
          <w:fldChar w:fldCharType="begin"/>
        </w:r>
        <w:r w:rsidR="00C451D4">
          <w:rPr>
            <w:noProof/>
            <w:webHidden/>
          </w:rPr>
          <w:instrText xml:space="preserve"> PAGEREF _Toc83801030 \h </w:instrText>
        </w:r>
        <w:r w:rsidR="00C451D4">
          <w:rPr>
            <w:noProof/>
            <w:webHidden/>
          </w:rPr>
        </w:r>
        <w:r w:rsidR="00C451D4">
          <w:rPr>
            <w:noProof/>
            <w:webHidden/>
          </w:rPr>
          <w:fldChar w:fldCharType="separate"/>
        </w:r>
        <w:r w:rsidR="00A4414A">
          <w:rPr>
            <w:noProof/>
            <w:webHidden/>
          </w:rPr>
          <w:t>23</w:t>
        </w:r>
        <w:r w:rsidR="00C451D4">
          <w:rPr>
            <w:noProof/>
            <w:webHidden/>
          </w:rPr>
          <w:fldChar w:fldCharType="end"/>
        </w:r>
      </w:hyperlink>
    </w:p>
    <w:p w14:paraId="67E02CDF" w14:textId="42574233"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31" w:history="1">
        <w:r w:rsidR="00C451D4" w:rsidRPr="00EB2E1D">
          <w:rPr>
            <w:rStyle w:val="Hyperlink"/>
            <w:noProof/>
          </w:rPr>
          <w:t>5.</w:t>
        </w:r>
        <w:r w:rsidR="00C451D4">
          <w:rPr>
            <w:rFonts w:eastAsiaTheme="minorEastAsia" w:cstheme="minorBidi"/>
            <w:b w:val="0"/>
            <w:bCs w:val="0"/>
            <w:caps w:val="0"/>
            <w:noProof/>
            <w:sz w:val="22"/>
            <w:szCs w:val="22"/>
            <w:lang w:val="en-GB" w:eastAsia="en-GB"/>
          </w:rPr>
          <w:tab/>
        </w:r>
        <w:r w:rsidR="00C451D4" w:rsidRPr="00EB2E1D">
          <w:rPr>
            <w:rStyle w:val="Hyperlink"/>
            <w:noProof/>
          </w:rPr>
          <w:t>What are the available policy options?</w:t>
        </w:r>
        <w:r w:rsidR="00C451D4">
          <w:rPr>
            <w:noProof/>
            <w:webHidden/>
          </w:rPr>
          <w:tab/>
        </w:r>
        <w:r w:rsidR="00C451D4">
          <w:rPr>
            <w:noProof/>
            <w:webHidden/>
          </w:rPr>
          <w:fldChar w:fldCharType="begin"/>
        </w:r>
        <w:r w:rsidR="00C451D4">
          <w:rPr>
            <w:noProof/>
            <w:webHidden/>
          </w:rPr>
          <w:instrText xml:space="preserve"> PAGEREF _Toc83801031 \h </w:instrText>
        </w:r>
        <w:r w:rsidR="00C451D4">
          <w:rPr>
            <w:noProof/>
            <w:webHidden/>
          </w:rPr>
        </w:r>
        <w:r w:rsidR="00C451D4">
          <w:rPr>
            <w:noProof/>
            <w:webHidden/>
          </w:rPr>
          <w:fldChar w:fldCharType="separate"/>
        </w:r>
        <w:r w:rsidR="00A4414A">
          <w:rPr>
            <w:noProof/>
            <w:webHidden/>
          </w:rPr>
          <w:t>24</w:t>
        </w:r>
        <w:r w:rsidR="00C451D4">
          <w:rPr>
            <w:noProof/>
            <w:webHidden/>
          </w:rPr>
          <w:fldChar w:fldCharType="end"/>
        </w:r>
      </w:hyperlink>
    </w:p>
    <w:p w14:paraId="1E264859" w14:textId="5B16A211"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32" w:history="1">
        <w:r w:rsidR="00C451D4" w:rsidRPr="00EB2E1D">
          <w:rPr>
            <w:rStyle w:val="Hyperlink"/>
            <w:noProof/>
          </w:rPr>
          <w:t>5.1.</w:t>
        </w:r>
        <w:r w:rsidR="00C451D4">
          <w:rPr>
            <w:rFonts w:eastAsiaTheme="minorEastAsia" w:cstheme="minorBidi"/>
            <w:smallCaps w:val="0"/>
            <w:noProof/>
            <w:sz w:val="22"/>
            <w:szCs w:val="22"/>
            <w:lang w:val="en-GB" w:eastAsia="en-GB"/>
          </w:rPr>
          <w:tab/>
        </w:r>
        <w:r w:rsidR="00C451D4" w:rsidRPr="00EB2E1D">
          <w:rPr>
            <w:rStyle w:val="Hyperlink"/>
            <w:noProof/>
          </w:rPr>
          <w:t>Baseline representing current situation</w:t>
        </w:r>
        <w:r w:rsidR="00C451D4">
          <w:rPr>
            <w:noProof/>
            <w:webHidden/>
          </w:rPr>
          <w:tab/>
        </w:r>
        <w:r w:rsidR="00C451D4">
          <w:rPr>
            <w:noProof/>
            <w:webHidden/>
          </w:rPr>
          <w:fldChar w:fldCharType="begin"/>
        </w:r>
        <w:r w:rsidR="00C451D4">
          <w:rPr>
            <w:noProof/>
            <w:webHidden/>
          </w:rPr>
          <w:instrText xml:space="preserve"> PAGEREF _Toc83801032 \h </w:instrText>
        </w:r>
        <w:r w:rsidR="00C451D4">
          <w:rPr>
            <w:noProof/>
            <w:webHidden/>
          </w:rPr>
        </w:r>
        <w:r w:rsidR="00C451D4">
          <w:rPr>
            <w:noProof/>
            <w:webHidden/>
          </w:rPr>
          <w:fldChar w:fldCharType="separate"/>
        </w:r>
        <w:r w:rsidR="00A4414A">
          <w:rPr>
            <w:noProof/>
            <w:webHidden/>
          </w:rPr>
          <w:t>24</w:t>
        </w:r>
        <w:r w:rsidR="00C451D4">
          <w:rPr>
            <w:noProof/>
            <w:webHidden/>
          </w:rPr>
          <w:fldChar w:fldCharType="end"/>
        </w:r>
      </w:hyperlink>
    </w:p>
    <w:p w14:paraId="3DB22FEF" w14:textId="23C951EE"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33" w:history="1">
        <w:r w:rsidR="00C451D4" w:rsidRPr="00EB2E1D">
          <w:rPr>
            <w:rStyle w:val="Hyperlink"/>
            <w:noProof/>
          </w:rPr>
          <w:t>5.2.</w:t>
        </w:r>
        <w:r w:rsidR="00C451D4">
          <w:rPr>
            <w:rFonts w:eastAsiaTheme="minorEastAsia" w:cstheme="minorBidi"/>
            <w:smallCaps w:val="0"/>
            <w:noProof/>
            <w:sz w:val="22"/>
            <w:szCs w:val="22"/>
            <w:lang w:val="en-GB" w:eastAsia="en-GB"/>
          </w:rPr>
          <w:tab/>
        </w:r>
        <w:r w:rsidR="00C451D4" w:rsidRPr="00EB2E1D">
          <w:rPr>
            <w:rStyle w:val="Hyperlink"/>
            <w:noProof/>
          </w:rPr>
          <w:t>Description of policy options</w:t>
        </w:r>
        <w:r w:rsidR="00C451D4">
          <w:rPr>
            <w:noProof/>
            <w:webHidden/>
          </w:rPr>
          <w:tab/>
        </w:r>
        <w:r w:rsidR="00C451D4">
          <w:rPr>
            <w:noProof/>
            <w:webHidden/>
          </w:rPr>
          <w:fldChar w:fldCharType="begin"/>
        </w:r>
        <w:r w:rsidR="00C451D4">
          <w:rPr>
            <w:noProof/>
            <w:webHidden/>
          </w:rPr>
          <w:instrText xml:space="preserve"> PAGEREF _Toc83801033 \h </w:instrText>
        </w:r>
        <w:r w:rsidR="00C451D4">
          <w:rPr>
            <w:noProof/>
            <w:webHidden/>
          </w:rPr>
        </w:r>
        <w:r w:rsidR="00C451D4">
          <w:rPr>
            <w:noProof/>
            <w:webHidden/>
          </w:rPr>
          <w:fldChar w:fldCharType="separate"/>
        </w:r>
        <w:r w:rsidR="00A4414A">
          <w:rPr>
            <w:noProof/>
            <w:webHidden/>
          </w:rPr>
          <w:t>24</w:t>
        </w:r>
        <w:r w:rsidR="00C451D4">
          <w:rPr>
            <w:noProof/>
            <w:webHidden/>
          </w:rPr>
          <w:fldChar w:fldCharType="end"/>
        </w:r>
      </w:hyperlink>
    </w:p>
    <w:p w14:paraId="77E5C71A" w14:textId="27C6F3E3"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34" w:history="1">
        <w:r w:rsidR="00C451D4" w:rsidRPr="00EB2E1D">
          <w:rPr>
            <w:rStyle w:val="Hyperlink"/>
            <w:noProof/>
          </w:rPr>
          <w:t>5.2.1.</w:t>
        </w:r>
        <w:r w:rsidR="00C451D4">
          <w:rPr>
            <w:rFonts w:eastAsiaTheme="minorEastAsia" w:cstheme="minorBidi"/>
            <w:i w:val="0"/>
            <w:iCs w:val="0"/>
            <w:noProof/>
            <w:sz w:val="22"/>
            <w:szCs w:val="22"/>
            <w:lang w:val="en-GB" w:eastAsia="en-GB"/>
          </w:rPr>
          <w:tab/>
        </w:r>
        <w:r w:rsidR="00C451D4" w:rsidRPr="00EB2E1D">
          <w:rPr>
            <w:rStyle w:val="Hyperlink"/>
            <w:noProof/>
          </w:rPr>
          <w:t>Objective I: Facilitate equivalent access for law enforcement authorities to information held in another Member State, while complying with fundamental rights and data protection requirements</w:t>
        </w:r>
        <w:r w:rsidR="00C451D4">
          <w:rPr>
            <w:noProof/>
            <w:webHidden/>
          </w:rPr>
          <w:tab/>
        </w:r>
        <w:r w:rsidR="00C451D4">
          <w:rPr>
            <w:noProof/>
            <w:webHidden/>
          </w:rPr>
          <w:fldChar w:fldCharType="begin"/>
        </w:r>
        <w:r w:rsidR="00C451D4">
          <w:rPr>
            <w:noProof/>
            <w:webHidden/>
          </w:rPr>
          <w:instrText xml:space="preserve"> PAGEREF _Toc83801034 \h </w:instrText>
        </w:r>
        <w:r w:rsidR="00C451D4">
          <w:rPr>
            <w:noProof/>
            <w:webHidden/>
          </w:rPr>
        </w:r>
        <w:r w:rsidR="00C451D4">
          <w:rPr>
            <w:noProof/>
            <w:webHidden/>
          </w:rPr>
          <w:fldChar w:fldCharType="separate"/>
        </w:r>
        <w:r w:rsidR="00A4414A">
          <w:rPr>
            <w:noProof/>
            <w:webHidden/>
          </w:rPr>
          <w:t>24</w:t>
        </w:r>
        <w:r w:rsidR="00C451D4">
          <w:rPr>
            <w:noProof/>
            <w:webHidden/>
          </w:rPr>
          <w:fldChar w:fldCharType="end"/>
        </w:r>
      </w:hyperlink>
    </w:p>
    <w:p w14:paraId="45142422" w14:textId="01080A4F"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35" w:history="1">
        <w:r w:rsidR="00C451D4" w:rsidRPr="00EB2E1D">
          <w:rPr>
            <w:rStyle w:val="Hyperlink"/>
            <w:noProof/>
          </w:rPr>
          <w:t>5.2.2.</w:t>
        </w:r>
        <w:r w:rsidR="00C451D4">
          <w:rPr>
            <w:rFonts w:eastAsiaTheme="minorEastAsia" w:cstheme="minorBidi"/>
            <w:i w:val="0"/>
            <w:iCs w:val="0"/>
            <w:noProof/>
            <w:sz w:val="22"/>
            <w:szCs w:val="22"/>
            <w:lang w:val="en-GB" w:eastAsia="en-GB"/>
          </w:rPr>
          <w:tab/>
        </w:r>
        <w:r w:rsidR="00C451D4" w:rsidRPr="00EB2E1D">
          <w:rPr>
            <w:rStyle w:val="Hyperlink"/>
            <w:noProof/>
          </w:rPr>
          <w:t>Objective II: Ensure that all Member States have an effective functioning Single Point of Contact (SPOC), including when a judicial authorisation is required to provide the data upon request of another Member State, and ensuring its effective cooperation with Police and Customs Cooperation Centres (PCCCs)</w:t>
        </w:r>
        <w:r w:rsidR="00C451D4">
          <w:rPr>
            <w:noProof/>
            <w:webHidden/>
          </w:rPr>
          <w:tab/>
        </w:r>
        <w:r w:rsidR="00C451D4">
          <w:rPr>
            <w:noProof/>
            <w:webHidden/>
          </w:rPr>
          <w:fldChar w:fldCharType="begin"/>
        </w:r>
        <w:r w:rsidR="00C451D4">
          <w:rPr>
            <w:noProof/>
            <w:webHidden/>
          </w:rPr>
          <w:instrText xml:space="preserve"> PAGEREF _Toc83801035 \h </w:instrText>
        </w:r>
        <w:r w:rsidR="00C451D4">
          <w:rPr>
            <w:noProof/>
            <w:webHidden/>
          </w:rPr>
        </w:r>
        <w:r w:rsidR="00C451D4">
          <w:rPr>
            <w:noProof/>
            <w:webHidden/>
          </w:rPr>
          <w:fldChar w:fldCharType="separate"/>
        </w:r>
        <w:r w:rsidR="00A4414A">
          <w:rPr>
            <w:noProof/>
            <w:webHidden/>
          </w:rPr>
          <w:t>25</w:t>
        </w:r>
        <w:r w:rsidR="00C451D4">
          <w:rPr>
            <w:noProof/>
            <w:webHidden/>
          </w:rPr>
          <w:fldChar w:fldCharType="end"/>
        </w:r>
      </w:hyperlink>
    </w:p>
    <w:p w14:paraId="30BB1793" w14:textId="6B1995AC" w:rsidR="00C451D4" w:rsidRDefault="00190A33">
      <w:pPr>
        <w:pStyle w:val="TOC3"/>
        <w:tabs>
          <w:tab w:val="left" w:pos="1200"/>
          <w:tab w:val="right" w:leader="dot" w:pos="9628"/>
        </w:tabs>
        <w:rPr>
          <w:rFonts w:eastAsiaTheme="minorEastAsia" w:cstheme="minorBidi"/>
          <w:i w:val="0"/>
          <w:iCs w:val="0"/>
          <w:noProof/>
          <w:sz w:val="22"/>
          <w:szCs w:val="22"/>
          <w:lang w:val="en-GB" w:eastAsia="en-GB"/>
        </w:rPr>
      </w:pPr>
      <w:hyperlink w:anchor="_Toc83801036" w:history="1">
        <w:r w:rsidR="00C451D4" w:rsidRPr="00EB2E1D">
          <w:rPr>
            <w:rStyle w:val="Hyperlink"/>
            <w:noProof/>
          </w:rPr>
          <w:t>5.2.3.</w:t>
        </w:r>
        <w:r w:rsidR="00C451D4">
          <w:rPr>
            <w:rFonts w:eastAsiaTheme="minorEastAsia" w:cstheme="minorBidi"/>
            <w:i w:val="0"/>
            <w:iCs w:val="0"/>
            <w:noProof/>
            <w:sz w:val="22"/>
            <w:szCs w:val="22"/>
            <w:lang w:val="en-GB" w:eastAsia="en-GB"/>
          </w:rPr>
          <w:tab/>
        </w:r>
        <w:r w:rsidR="00C451D4" w:rsidRPr="00EB2E1D">
          <w:rPr>
            <w:rStyle w:val="Hyperlink"/>
            <w:noProof/>
          </w:rPr>
          <w:t>Objective III: To remedy the</w:t>
        </w:r>
        <w:r w:rsidR="00C451D4" w:rsidRPr="00EB2E1D">
          <w:rPr>
            <w:rStyle w:val="Hyperlink"/>
            <w:rFonts w:ascii="Verdana" w:hAnsi="Verdana"/>
            <w:noProof/>
          </w:rPr>
          <w:t xml:space="preserve"> </w:t>
        </w:r>
        <w:r w:rsidR="00C451D4" w:rsidRPr="00EB2E1D">
          <w:rPr>
            <w:rStyle w:val="Hyperlink"/>
            <w:noProof/>
          </w:rPr>
          <w:t xml:space="preserve">proliferation of communication channels used for law enforcement information exchange between Member States while empowering Europol as the EU criminal information hub for offences falling within its mandate </w:t>
        </w:r>
        <w:r w:rsidR="00C451D4" w:rsidRPr="00EB2E1D">
          <w:rPr>
            <w:rStyle w:val="Hyperlink"/>
            <w:noProof/>
            <w:lang w:eastAsia="en-GB"/>
          </w:rPr>
          <w:t xml:space="preserve">(unless otherwise regulated by EU law) </w:t>
        </w:r>
        <w:r w:rsidR="00C451D4">
          <w:rPr>
            <w:noProof/>
            <w:webHidden/>
          </w:rPr>
          <w:tab/>
        </w:r>
        <w:r w:rsidR="00C451D4">
          <w:rPr>
            <w:noProof/>
            <w:webHidden/>
          </w:rPr>
          <w:fldChar w:fldCharType="begin"/>
        </w:r>
        <w:r w:rsidR="00C451D4">
          <w:rPr>
            <w:noProof/>
            <w:webHidden/>
          </w:rPr>
          <w:instrText xml:space="preserve"> PAGEREF _Toc83801036 \h </w:instrText>
        </w:r>
        <w:r w:rsidR="00C451D4">
          <w:rPr>
            <w:noProof/>
            <w:webHidden/>
          </w:rPr>
        </w:r>
        <w:r w:rsidR="00C451D4">
          <w:rPr>
            <w:noProof/>
            <w:webHidden/>
          </w:rPr>
          <w:fldChar w:fldCharType="separate"/>
        </w:r>
        <w:r w:rsidR="00A4414A">
          <w:rPr>
            <w:noProof/>
            <w:webHidden/>
          </w:rPr>
          <w:t>28</w:t>
        </w:r>
        <w:r w:rsidR="00C451D4">
          <w:rPr>
            <w:noProof/>
            <w:webHidden/>
          </w:rPr>
          <w:fldChar w:fldCharType="end"/>
        </w:r>
      </w:hyperlink>
    </w:p>
    <w:p w14:paraId="14843979" w14:textId="64B58425"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37" w:history="1">
        <w:r w:rsidR="00C451D4" w:rsidRPr="00EB2E1D">
          <w:rPr>
            <w:rStyle w:val="Hyperlink"/>
            <w:noProof/>
          </w:rPr>
          <w:t>5.3.</w:t>
        </w:r>
        <w:r w:rsidR="00C451D4">
          <w:rPr>
            <w:rFonts w:eastAsiaTheme="minorEastAsia" w:cstheme="minorBidi"/>
            <w:smallCaps w:val="0"/>
            <w:noProof/>
            <w:sz w:val="22"/>
            <w:szCs w:val="22"/>
            <w:lang w:val="en-GB" w:eastAsia="en-GB"/>
          </w:rPr>
          <w:tab/>
        </w:r>
        <w:r w:rsidR="00C451D4" w:rsidRPr="00EB2E1D">
          <w:rPr>
            <w:rStyle w:val="Hyperlink"/>
            <w:noProof/>
          </w:rPr>
          <w:t>Options discarded at an early stage</w:t>
        </w:r>
        <w:r w:rsidR="00C451D4">
          <w:rPr>
            <w:noProof/>
            <w:webHidden/>
          </w:rPr>
          <w:tab/>
        </w:r>
        <w:r w:rsidR="00C451D4">
          <w:rPr>
            <w:noProof/>
            <w:webHidden/>
          </w:rPr>
          <w:fldChar w:fldCharType="begin"/>
        </w:r>
        <w:r w:rsidR="00C451D4">
          <w:rPr>
            <w:noProof/>
            <w:webHidden/>
          </w:rPr>
          <w:instrText xml:space="preserve"> PAGEREF _Toc83801037 \h </w:instrText>
        </w:r>
        <w:r w:rsidR="00C451D4">
          <w:rPr>
            <w:noProof/>
            <w:webHidden/>
          </w:rPr>
        </w:r>
        <w:r w:rsidR="00C451D4">
          <w:rPr>
            <w:noProof/>
            <w:webHidden/>
          </w:rPr>
          <w:fldChar w:fldCharType="separate"/>
        </w:r>
        <w:r w:rsidR="00A4414A">
          <w:rPr>
            <w:noProof/>
            <w:webHidden/>
          </w:rPr>
          <w:t>29</w:t>
        </w:r>
        <w:r w:rsidR="00C451D4">
          <w:rPr>
            <w:noProof/>
            <w:webHidden/>
          </w:rPr>
          <w:fldChar w:fldCharType="end"/>
        </w:r>
      </w:hyperlink>
    </w:p>
    <w:p w14:paraId="2F9D8CFB" w14:textId="278794BB"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38" w:history="1">
        <w:r w:rsidR="00C451D4" w:rsidRPr="00EB2E1D">
          <w:rPr>
            <w:rStyle w:val="Hyperlink"/>
            <w:noProof/>
          </w:rPr>
          <w:t>6.</w:t>
        </w:r>
        <w:r w:rsidR="00C451D4">
          <w:rPr>
            <w:rFonts w:eastAsiaTheme="minorEastAsia" w:cstheme="minorBidi"/>
            <w:b w:val="0"/>
            <w:bCs w:val="0"/>
            <w:caps w:val="0"/>
            <w:noProof/>
            <w:sz w:val="22"/>
            <w:szCs w:val="22"/>
            <w:lang w:val="en-GB" w:eastAsia="en-GB"/>
          </w:rPr>
          <w:tab/>
        </w:r>
        <w:r w:rsidR="00C451D4" w:rsidRPr="00EB2E1D">
          <w:rPr>
            <w:rStyle w:val="Hyperlink"/>
            <w:noProof/>
          </w:rPr>
          <w:t>What are the impacts of the policy options?</w:t>
        </w:r>
        <w:r w:rsidR="00C451D4">
          <w:rPr>
            <w:noProof/>
            <w:webHidden/>
          </w:rPr>
          <w:tab/>
        </w:r>
        <w:r w:rsidR="00C451D4">
          <w:rPr>
            <w:noProof/>
            <w:webHidden/>
          </w:rPr>
          <w:fldChar w:fldCharType="begin"/>
        </w:r>
        <w:r w:rsidR="00C451D4">
          <w:rPr>
            <w:noProof/>
            <w:webHidden/>
          </w:rPr>
          <w:instrText xml:space="preserve"> PAGEREF _Toc83801038 \h </w:instrText>
        </w:r>
        <w:r w:rsidR="00C451D4">
          <w:rPr>
            <w:noProof/>
            <w:webHidden/>
          </w:rPr>
        </w:r>
        <w:r w:rsidR="00C451D4">
          <w:rPr>
            <w:noProof/>
            <w:webHidden/>
          </w:rPr>
          <w:fldChar w:fldCharType="separate"/>
        </w:r>
        <w:r w:rsidR="00A4414A">
          <w:rPr>
            <w:noProof/>
            <w:webHidden/>
          </w:rPr>
          <w:t>30</w:t>
        </w:r>
        <w:r w:rsidR="00C451D4">
          <w:rPr>
            <w:noProof/>
            <w:webHidden/>
          </w:rPr>
          <w:fldChar w:fldCharType="end"/>
        </w:r>
      </w:hyperlink>
    </w:p>
    <w:p w14:paraId="4A365199" w14:textId="698CAFF5"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39" w:history="1">
        <w:r w:rsidR="00C451D4" w:rsidRPr="00EB2E1D">
          <w:rPr>
            <w:rStyle w:val="Hyperlink"/>
            <w:noProof/>
          </w:rPr>
          <w:t>6.1.</w:t>
        </w:r>
        <w:r w:rsidR="00C451D4">
          <w:rPr>
            <w:rFonts w:eastAsiaTheme="minorEastAsia" w:cstheme="minorBidi"/>
            <w:smallCaps w:val="0"/>
            <w:noProof/>
            <w:sz w:val="22"/>
            <w:szCs w:val="22"/>
            <w:lang w:val="en-GB" w:eastAsia="en-GB"/>
          </w:rPr>
          <w:tab/>
        </w:r>
        <w:r w:rsidR="00C451D4" w:rsidRPr="00EB2E1D">
          <w:rPr>
            <w:rStyle w:val="Hyperlink"/>
            <w:noProof/>
          </w:rPr>
          <w:t>Fundamental Right expected impacts</w:t>
        </w:r>
        <w:r w:rsidR="00C451D4">
          <w:rPr>
            <w:noProof/>
            <w:webHidden/>
          </w:rPr>
          <w:tab/>
        </w:r>
        <w:r w:rsidR="00C451D4">
          <w:rPr>
            <w:noProof/>
            <w:webHidden/>
          </w:rPr>
          <w:fldChar w:fldCharType="begin"/>
        </w:r>
        <w:r w:rsidR="00C451D4">
          <w:rPr>
            <w:noProof/>
            <w:webHidden/>
          </w:rPr>
          <w:instrText xml:space="preserve"> PAGEREF _Toc83801039 \h </w:instrText>
        </w:r>
        <w:r w:rsidR="00C451D4">
          <w:rPr>
            <w:noProof/>
            <w:webHidden/>
          </w:rPr>
        </w:r>
        <w:r w:rsidR="00C451D4">
          <w:rPr>
            <w:noProof/>
            <w:webHidden/>
          </w:rPr>
          <w:fldChar w:fldCharType="separate"/>
        </w:r>
        <w:r w:rsidR="00A4414A">
          <w:rPr>
            <w:noProof/>
            <w:webHidden/>
          </w:rPr>
          <w:t>31</w:t>
        </w:r>
        <w:r w:rsidR="00C451D4">
          <w:rPr>
            <w:noProof/>
            <w:webHidden/>
          </w:rPr>
          <w:fldChar w:fldCharType="end"/>
        </w:r>
      </w:hyperlink>
    </w:p>
    <w:p w14:paraId="20E54150" w14:textId="626B05C8"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40" w:history="1">
        <w:r w:rsidR="00C451D4" w:rsidRPr="00EB2E1D">
          <w:rPr>
            <w:rStyle w:val="Hyperlink"/>
            <w:noProof/>
          </w:rPr>
          <w:t>6.2.</w:t>
        </w:r>
        <w:r w:rsidR="00C451D4">
          <w:rPr>
            <w:rFonts w:eastAsiaTheme="minorEastAsia" w:cstheme="minorBidi"/>
            <w:smallCaps w:val="0"/>
            <w:noProof/>
            <w:sz w:val="22"/>
            <w:szCs w:val="22"/>
            <w:lang w:val="en-GB" w:eastAsia="en-GB"/>
          </w:rPr>
          <w:tab/>
        </w:r>
        <w:r w:rsidR="00C451D4" w:rsidRPr="00EB2E1D">
          <w:rPr>
            <w:rStyle w:val="Hyperlink"/>
            <w:noProof/>
          </w:rPr>
          <w:t>Objective I: Facilitate equivalent access for law enforcement authorities to information held in another Member State, while complying with fundamental rights and data protection requirements</w:t>
        </w:r>
        <w:r w:rsidR="00C451D4">
          <w:rPr>
            <w:noProof/>
            <w:webHidden/>
          </w:rPr>
          <w:tab/>
        </w:r>
        <w:r w:rsidR="00C451D4">
          <w:rPr>
            <w:noProof/>
            <w:webHidden/>
          </w:rPr>
          <w:fldChar w:fldCharType="begin"/>
        </w:r>
        <w:r w:rsidR="00C451D4">
          <w:rPr>
            <w:noProof/>
            <w:webHidden/>
          </w:rPr>
          <w:instrText xml:space="preserve"> PAGEREF _Toc83801040 \h </w:instrText>
        </w:r>
        <w:r w:rsidR="00C451D4">
          <w:rPr>
            <w:noProof/>
            <w:webHidden/>
          </w:rPr>
        </w:r>
        <w:r w:rsidR="00C451D4">
          <w:rPr>
            <w:noProof/>
            <w:webHidden/>
          </w:rPr>
          <w:fldChar w:fldCharType="separate"/>
        </w:r>
        <w:r w:rsidR="00A4414A">
          <w:rPr>
            <w:noProof/>
            <w:webHidden/>
          </w:rPr>
          <w:t>33</w:t>
        </w:r>
        <w:r w:rsidR="00C451D4">
          <w:rPr>
            <w:noProof/>
            <w:webHidden/>
          </w:rPr>
          <w:fldChar w:fldCharType="end"/>
        </w:r>
      </w:hyperlink>
    </w:p>
    <w:p w14:paraId="16074EAA" w14:textId="3351FC8D"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41" w:history="1">
        <w:r w:rsidR="00C451D4" w:rsidRPr="00EB2E1D">
          <w:rPr>
            <w:rStyle w:val="Hyperlink"/>
            <w:noProof/>
          </w:rPr>
          <w:t>6.3.</w:t>
        </w:r>
        <w:r w:rsidR="00C451D4">
          <w:rPr>
            <w:rFonts w:eastAsiaTheme="minorEastAsia" w:cstheme="minorBidi"/>
            <w:smallCaps w:val="0"/>
            <w:noProof/>
            <w:sz w:val="22"/>
            <w:szCs w:val="22"/>
            <w:lang w:val="en-GB" w:eastAsia="en-GB"/>
          </w:rPr>
          <w:tab/>
        </w:r>
        <w:r w:rsidR="00C451D4" w:rsidRPr="00EB2E1D">
          <w:rPr>
            <w:rStyle w:val="Hyperlink"/>
            <w:noProof/>
          </w:rPr>
          <w:t>Objective II: Ensure that all Member States have an effective functioning Single Point of Contact (SPOC), including when a judicial authorisation is required to provide the data upon request of another Member State, and ensuring its effective cooperation with Police and Customs Cooperation Centres (PCCCs)</w:t>
        </w:r>
        <w:r w:rsidR="00C451D4">
          <w:rPr>
            <w:noProof/>
            <w:webHidden/>
          </w:rPr>
          <w:tab/>
        </w:r>
        <w:r w:rsidR="00C451D4">
          <w:rPr>
            <w:noProof/>
            <w:webHidden/>
          </w:rPr>
          <w:fldChar w:fldCharType="begin"/>
        </w:r>
        <w:r w:rsidR="00C451D4">
          <w:rPr>
            <w:noProof/>
            <w:webHidden/>
          </w:rPr>
          <w:instrText xml:space="preserve"> PAGEREF _Toc83801041 \h </w:instrText>
        </w:r>
        <w:r w:rsidR="00C451D4">
          <w:rPr>
            <w:noProof/>
            <w:webHidden/>
          </w:rPr>
        </w:r>
        <w:r w:rsidR="00C451D4">
          <w:rPr>
            <w:noProof/>
            <w:webHidden/>
          </w:rPr>
          <w:fldChar w:fldCharType="separate"/>
        </w:r>
        <w:r w:rsidR="00A4414A">
          <w:rPr>
            <w:noProof/>
            <w:webHidden/>
          </w:rPr>
          <w:t>36</w:t>
        </w:r>
        <w:r w:rsidR="00C451D4">
          <w:rPr>
            <w:noProof/>
            <w:webHidden/>
          </w:rPr>
          <w:fldChar w:fldCharType="end"/>
        </w:r>
      </w:hyperlink>
    </w:p>
    <w:p w14:paraId="316196DE" w14:textId="0522F66F"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42" w:history="1">
        <w:r w:rsidR="00C451D4" w:rsidRPr="00EB2E1D">
          <w:rPr>
            <w:rStyle w:val="Hyperlink"/>
            <w:noProof/>
          </w:rPr>
          <w:t>6.4.</w:t>
        </w:r>
        <w:r w:rsidR="00C451D4">
          <w:rPr>
            <w:rFonts w:eastAsiaTheme="minorEastAsia" w:cstheme="minorBidi"/>
            <w:smallCaps w:val="0"/>
            <w:noProof/>
            <w:sz w:val="22"/>
            <w:szCs w:val="22"/>
            <w:lang w:val="en-GB" w:eastAsia="en-GB"/>
          </w:rPr>
          <w:tab/>
        </w:r>
        <w:r w:rsidR="00C451D4" w:rsidRPr="00EB2E1D">
          <w:rPr>
            <w:rStyle w:val="Hyperlink"/>
            <w:noProof/>
          </w:rPr>
          <w:t>Objective III: To remedy the</w:t>
        </w:r>
        <w:r w:rsidR="00C451D4" w:rsidRPr="00EB2E1D">
          <w:rPr>
            <w:rStyle w:val="Hyperlink"/>
            <w:rFonts w:ascii="Verdana" w:hAnsi="Verdana"/>
            <w:noProof/>
          </w:rPr>
          <w:t xml:space="preserve"> </w:t>
        </w:r>
        <w:r w:rsidR="00C451D4" w:rsidRPr="00EB2E1D">
          <w:rPr>
            <w:rStyle w:val="Hyperlink"/>
            <w:noProof/>
          </w:rPr>
          <w:t xml:space="preserve">proliferation of communication channels used for law enforcement information exchange between Member States while empowering Europol as the EU criminal information hub for offences falling within its mandate </w:t>
        </w:r>
        <w:r w:rsidR="00C451D4" w:rsidRPr="00EB2E1D">
          <w:rPr>
            <w:rStyle w:val="Hyperlink"/>
            <w:noProof/>
            <w:lang w:eastAsia="en-GB"/>
          </w:rPr>
          <w:t>(unless otherwise regulated by EU law)</w:t>
        </w:r>
        <w:r w:rsidR="00C451D4">
          <w:rPr>
            <w:noProof/>
            <w:webHidden/>
          </w:rPr>
          <w:tab/>
        </w:r>
        <w:r w:rsidR="00C451D4">
          <w:rPr>
            <w:noProof/>
            <w:webHidden/>
          </w:rPr>
          <w:fldChar w:fldCharType="begin"/>
        </w:r>
        <w:r w:rsidR="00C451D4">
          <w:rPr>
            <w:noProof/>
            <w:webHidden/>
          </w:rPr>
          <w:instrText xml:space="preserve"> PAGEREF _Toc83801042 \h </w:instrText>
        </w:r>
        <w:r w:rsidR="00C451D4">
          <w:rPr>
            <w:noProof/>
            <w:webHidden/>
          </w:rPr>
        </w:r>
        <w:r w:rsidR="00C451D4">
          <w:rPr>
            <w:noProof/>
            <w:webHidden/>
          </w:rPr>
          <w:fldChar w:fldCharType="separate"/>
        </w:r>
        <w:r w:rsidR="00A4414A">
          <w:rPr>
            <w:noProof/>
            <w:webHidden/>
          </w:rPr>
          <w:t>38</w:t>
        </w:r>
        <w:r w:rsidR="00C451D4">
          <w:rPr>
            <w:noProof/>
            <w:webHidden/>
          </w:rPr>
          <w:fldChar w:fldCharType="end"/>
        </w:r>
      </w:hyperlink>
    </w:p>
    <w:p w14:paraId="07E58497" w14:textId="451BA084"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43" w:history="1">
        <w:r w:rsidR="00C451D4" w:rsidRPr="00EB2E1D">
          <w:rPr>
            <w:rStyle w:val="Hyperlink"/>
            <w:noProof/>
          </w:rPr>
          <w:t>7.</w:t>
        </w:r>
        <w:r w:rsidR="00C451D4">
          <w:rPr>
            <w:rFonts w:eastAsiaTheme="minorEastAsia" w:cstheme="minorBidi"/>
            <w:b w:val="0"/>
            <w:bCs w:val="0"/>
            <w:caps w:val="0"/>
            <w:noProof/>
            <w:sz w:val="22"/>
            <w:szCs w:val="22"/>
            <w:lang w:val="en-GB" w:eastAsia="en-GB"/>
          </w:rPr>
          <w:tab/>
        </w:r>
        <w:r w:rsidR="00C451D4" w:rsidRPr="00EB2E1D">
          <w:rPr>
            <w:rStyle w:val="Hyperlink"/>
            <w:noProof/>
          </w:rPr>
          <w:t>How do the options compare?</w:t>
        </w:r>
        <w:r w:rsidR="00C451D4">
          <w:rPr>
            <w:noProof/>
            <w:webHidden/>
          </w:rPr>
          <w:tab/>
        </w:r>
        <w:r w:rsidR="00C451D4">
          <w:rPr>
            <w:noProof/>
            <w:webHidden/>
          </w:rPr>
          <w:fldChar w:fldCharType="begin"/>
        </w:r>
        <w:r w:rsidR="00C451D4">
          <w:rPr>
            <w:noProof/>
            <w:webHidden/>
          </w:rPr>
          <w:instrText xml:space="preserve"> PAGEREF _Toc83801043 \h </w:instrText>
        </w:r>
        <w:r w:rsidR="00C451D4">
          <w:rPr>
            <w:noProof/>
            <w:webHidden/>
          </w:rPr>
        </w:r>
        <w:r w:rsidR="00C451D4">
          <w:rPr>
            <w:noProof/>
            <w:webHidden/>
          </w:rPr>
          <w:fldChar w:fldCharType="separate"/>
        </w:r>
        <w:r w:rsidR="00A4414A">
          <w:rPr>
            <w:noProof/>
            <w:webHidden/>
          </w:rPr>
          <w:t>41</w:t>
        </w:r>
        <w:r w:rsidR="00C451D4">
          <w:rPr>
            <w:noProof/>
            <w:webHidden/>
          </w:rPr>
          <w:fldChar w:fldCharType="end"/>
        </w:r>
      </w:hyperlink>
    </w:p>
    <w:p w14:paraId="0B1C4257" w14:textId="125F3403"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44" w:history="1">
        <w:r w:rsidR="00C451D4" w:rsidRPr="00EB2E1D">
          <w:rPr>
            <w:rStyle w:val="Hyperlink"/>
            <w:noProof/>
          </w:rPr>
          <w:t>7.1.</w:t>
        </w:r>
        <w:r w:rsidR="00C451D4">
          <w:rPr>
            <w:rFonts w:eastAsiaTheme="minorEastAsia" w:cstheme="minorBidi"/>
            <w:smallCaps w:val="0"/>
            <w:noProof/>
            <w:sz w:val="22"/>
            <w:szCs w:val="22"/>
            <w:lang w:val="en-GB" w:eastAsia="en-GB"/>
          </w:rPr>
          <w:tab/>
        </w:r>
        <w:r w:rsidR="00C451D4" w:rsidRPr="00EB2E1D">
          <w:rPr>
            <w:rStyle w:val="Hyperlink"/>
            <w:noProof/>
          </w:rPr>
          <w:t>Objective I: Facilitate equivalent access for law enforcement authorities to information held in another Member State, while complying with fundamental rights and data protection requirements</w:t>
        </w:r>
        <w:r w:rsidR="00C451D4">
          <w:rPr>
            <w:noProof/>
            <w:webHidden/>
          </w:rPr>
          <w:tab/>
        </w:r>
        <w:r w:rsidR="00C451D4">
          <w:rPr>
            <w:noProof/>
            <w:webHidden/>
          </w:rPr>
          <w:fldChar w:fldCharType="begin"/>
        </w:r>
        <w:r w:rsidR="00C451D4">
          <w:rPr>
            <w:noProof/>
            <w:webHidden/>
          </w:rPr>
          <w:instrText xml:space="preserve"> PAGEREF _Toc83801044 \h </w:instrText>
        </w:r>
        <w:r w:rsidR="00C451D4">
          <w:rPr>
            <w:noProof/>
            <w:webHidden/>
          </w:rPr>
        </w:r>
        <w:r w:rsidR="00C451D4">
          <w:rPr>
            <w:noProof/>
            <w:webHidden/>
          </w:rPr>
          <w:fldChar w:fldCharType="separate"/>
        </w:r>
        <w:r w:rsidR="00A4414A">
          <w:rPr>
            <w:noProof/>
            <w:webHidden/>
          </w:rPr>
          <w:t>41</w:t>
        </w:r>
        <w:r w:rsidR="00C451D4">
          <w:rPr>
            <w:noProof/>
            <w:webHidden/>
          </w:rPr>
          <w:fldChar w:fldCharType="end"/>
        </w:r>
      </w:hyperlink>
    </w:p>
    <w:p w14:paraId="5629C0E5" w14:textId="55A292ED"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45" w:history="1">
        <w:r w:rsidR="00C451D4" w:rsidRPr="00EB2E1D">
          <w:rPr>
            <w:rStyle w:val="Hyperlink"/>
            <w:noProof/>
          </w:rPr>
          <w:t>7.2.</w:t>
        </w:r>
        <w:r w:rsidR="00C451D4">
          <w:rPr>
            <w:rFonts w:eastAsiaTheme="minorEastAsia" w:cstheme="minorBidi"/>
            <w:smallCaps w:val="0"/>
            <w:noProof/>
            <w:sz w:val="22"/>
            <w:szCs w:val="22"/>
            <w:lang w:val="en-GB" w:eastAsia="en-GB"/>
          </w:rPr>
          <w:tab/>
        </w:r>
        <w:r w:rsidR="00C451D4" w:rsidRPr="00EB2E1D">
          <w:rPr>
            <w:rStyle w:val="Hyperlink"/>
            <w:noProof/>
          </w:rPr>
          <w:t>Objective II: Ensure that all Member States have an effective functioning Single Point of Contact (SPOC), including when a judicial authorisation is required to provide the data upon request of another Member State, and ensuring its effective cooperation with Police and Customs Cooperation Centres (PCCCs)</w:t>
        </w:r>
        <w:r w:rsidR="00C451D4">
          <w:rPr>
            <w:noProof/>
            <w:webHidden/>
          </w:rPr>
          <w:tab/>
        </w:r>
        <w:r w:rsidR="00C451D4">
          <w:rPr>
            <w:noProof/>
            <w:webHidden/>
          </w:rPr>
          <w:fldChar w:fldCharType="begin"/>
        </w:r>
        <w:r w:rsidR="00C451D4">
          <w:rPr>
            <w:noProof/>
            <w:webHidden/>
          </w:rPr>
          <w:instrText xml:space="preserve"> PAGEREF _Toc83801045 \h </w:instrText>
        </w:r>
        <w:r w:rsidR="00C451D4">
          <w:rPr>
            <w:noProof/>
            <w:webHidden/>
          </w:rPr>
        </w:r>
        <w:r w:rsidR="00C451D4">
          <w:rPr>
            <w:noProof/>
            <w:webHidden/>
          </w:rPr>
          <w:fldChar w:fldCharType="separate"/>
        </w:r>
        <w:r w:rsidR="00A4414A">
          <w:rPr>
            <w:noProof/>
            <w:webHidden/>
          </w:rPr>
          <w:t>43</w:t>
        </w:r>
        <w:r w:rsidR="00C451D4">
          <w:rPr>
            <w:noProof/>
            <w:webHidden/>
          </w:rPr>
          <w:fldChar w:fldCharType="end"/>
        </w:r>
      </w:hyperlink>
    </w:p>
    <w:p w14:paraId="1ADA015D" w14:textId="72F85841"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46" w:history="1">
        <w:r w:rsidR="00C451D4" w:rsidRPr="00EB2E1D">
          <w:rPr>
            <w:rStyle w:val="Hyperlink"/>
            <w:noProof/>
          </w:rPr>
          <w:t>7.3.</w:t>
        </w:r>
        <w:r w:rsidR="00C451D4">
          <w:rPr>
            <w:rFonts w:eastAsiaTheme="minorEastAsia" w:cstheme="minorBidi"/>
            <w:smallCaps w:val="0"/>
            <w:noProof/>
            <w:sz w:val="22"/>
            <w:szCs w:val="22"/>
            <w:lang w:val="en-GB" w:eastAsia="en-GB"/>
          </w:rPr>
          <w:tab/>
        </w:r>
        <w:r w:rsidR="00C451D4" w:rsidRPr="00EB2E1D">
          <w:rPr>
            <w:rStyle w:val="Hyperlink"/>
            <w:noProof/>
          </w:rPr>
          <w:t>Objective III: To remedy the</w:t>
        </w:r>
        <w:r w:rsidR="00C451D4" w:rsidRPr="00EB2E1D">
          <w:rPr>
            <w:rStyle w:val="Hyperlink"/>
            <w:rFonts w:ascii="Verdana" w:hAnsi="Verdana"/>
            <w:noProof/>
          </w:rPr>
          <w:t xml:space="preserve"> </w:t>
        </w:r>
        <w:r w:rsidR="00C451D4" w:rsidRPr="00EB2E1D">
          <w:rPr>
            <w:rStyle w:val="Hyperlink"/>
            <w:noProof/>
          </w:rPr>
          <w:t xml:space="preserve">proliferation of communication channels used for law enforcement information exchange between Member States while empowering Europol as the EU criminal information hub for offences falling within its mandate </w:t>
        </w:r>
        <w:r w:rsidR="00C451D4" w:rsidRPr="00EB2E1D">
          <w:rPr>
            <w:rStyle w:val="Hyperlink"/>
            <w:noProof/>
            <w:lang w:eastAsia="en-GB"/>
          </w:rPr>
          <w:t>(unless otherwise regulated by EU law)</w:t>
        </w:r>
        <w:r w:rsidR="00C451D4">
          <w:rPr>
            <w:noProof/>
            <w:webHidden/>
          </w:rPr>
          <w:tab/>
        </w:r>
        <w:r w:rsidR="00C451D4">
          <w:rPr>
            <w:noProof/>
            <w:webHidden/>
          </w:rPr>
          <w:fldChar w:fldCharType="begin"/>
        </w:r>
        <w:r w:rsidR="00C451D4">
          <w:rPr>
            <w:noProof/>
            <w:webHidden/>
          </w:rPr>
          <w:instrText xml:space="preserve"> PAGEREF _Toc83801046 \h </w:instrText>
        </w:r>
        <w:r w:rsidR="00C451D4">
          <w:rPr>
            <w:noProof/>
            <w:webHidden/>
          </w:rPr>
        </w:r>
        <w:r w:rsidR="00C451D4">
          <w:rPr>
            <w:noProof/>
            <w:webHidden/>
          </w:rPr>
          <w:fldChar w:fldCharType="separate"/>
        </w:r>
        <w:r w:rsidR="00A4414A">
          <w:rPr>
            <w:noProof/>
            <w:webHidden/>
          </w:rPr>
          <w:t>45</w:t>
        </w:r>
        <w:r w:rsidR="00C451D4">
          <w:rPr>
            <w:noProof/>
            <w:webHidden/>
          </w:rPr>
          <w:fldChar w:fldCharType="end"/>
        </w:r>
      </w:hyperlink>
    </w:p>
    <w:p w14:paraId="3872FD0A" w14:textId="32A10997"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47" w:history="1">
        <w:r w:rsidR="00C451D4" w:rsidRPr="00EB2E1D">
          <w:rPr>
            <w:rStyle w:val="Hyperlink"/>
            <w:noProof/>
          </w:rPr>
          <w:t>8.</w:t>
        </w:r>
        <w:r w:rsidR="00C451D4">
          <w:rPr>
            <w:rFonts w:eastAsiaTheme="minorEastAsia" w:cstheme="minorBidi"/>
            <w:b w:val="0"/>
            <w:bCs w:val="0"/>
            <w:caps w:val="0"/>
            <w:noProof/>
            <w:sz w:val="22"/>
            <w:szCs w:val="22"/>
            <w:lang w:val="en-GB" w:eastAsia="en-GB"/>
          </w:rPr>
          <w:tab/>
        </w:r>
        <w:r w:rsidR="00C451D4" w:rsidRPr="00EB2E1D">
          <w:rPr>
            <w:rStyle w:val="Hyperlink"/>
            <w:noProof/>
          </w:rPr>
          <w:t>Preferred policy option: a game changer for law enforcement cooperation</w:t>
        </w:r>
        <w:r w:rsidR="00C451D4">
          <w:rPr>
            <w:noProof/>
            <w:webHidden/>
          </w:rPr>
          <w:tab/>
        </w:r>
        <w:r w:rsidR="00C451D4">
          <w:rPr>
            <w:noProof/>
            <w:webHidden/>
          </w:rPr>
          <w:fldChar w:fldCharType="begin"/>
        </w:r>
        <w:r w:rsidR="00C451D4">
          <w:rPr>
            <w:noProof/>
            <w:webHidden/>
          </w:rPr>
          <w:instrText xml:space="preserve"> PAGEREF _Toc83801047 \h </w:instrText>
        </w:r>
        <w:r w:rsidR="00C451D4">
          <w:rPr>
            <w:noProof/>
            <w:webHidden/>
          </w:rPr>
        </w:r>
        <w:r w:rsidR="00C451D4">
          <w:rPr>
            <w:noProof/>
            <w:webHidden/>
          </w:rPr>
          <w:fldChar w:fldCharType="separate"/>
        </w:r>
        <w:r w:rsidR="00A4414A">
          <w:rPr>
            <w:noProof/>
            <w:webHidden/>
          </w:rPr>
          <w:t>47</w:t>
        </w:r>
        <w:r w:rsidR="00C451D4">
          <w:rPr>
            <w:noProof/>
            <w:webHidden/>
          </w:rPr>
          <w:fldChar w:fldCharType="end"/>
        </w:r>
      </w:hyperlink>
    </w:p>
    <w:p w14:paraId="2E624193" w14:textId="0B8BF448"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48" w:history="1">
        <w:r w:rsidR="00C451D4" w:rsidRPr="00EB2E1D">
          <w:rPr>
            <w:rStyle w:val="Hyperlink"/>
            <w:noProof/>
          </w:rPr>
          <w:t>8.1.</w:t>
        </w:r>
        <w:r w:rsidR="00C451D4">
          <w:rPr>
            <w:rFonts w:eastAsiaTheme="minorEastAsia" w:cstheme="minorBidi"/>
            <w:smallCaps w:val="0"/>
            <w:noProof/>
            <w:sz w:val="22"/>
            <w:szCs w:val="22"/>
            <w:lang w:val="en-GB" w:eastAsia="en-GB"/>
          </w:rPr>
          <w:tab/>
        </w:r>
        <w:r w:rsidR="00C451D4" w:rsidRPr="00EB2E1D">
          <w:rPr>
            <w:rStyle w:val="Hyperlink"/>
            <w:noProof/>
          </w:rPr>
          <w:t>Overview of the preferred policy option</w:t>
        </w:r>
        <w:r w:rsidR="00C451D4">
          <w:rPr>
            <w:noProof/>
            <w:webHidden/>
          </w:rPr>
          <w:tab/>
        </w:r>
        <w:r w:rsidR="00C451D4">
          <w:rPr>
            <w:noProof/>
            <w:webHidden/>
          </w:rPr>
          <w:fldChar w:fldCharType="begin"/>
        </w:r>
        <w:r w:rsidR="00C451D4">
          <w:rPr>
            <w:noProof/>
            <w:webHidden/>
          </w:rPr>
          <w:instrText xml:space="preserve"> PAGEREF _Toc83801048 \h </w:instrText>
        </w:r>
        <w:r w:rsidR="00C451D4">
          <w:rPr>
            <w:noProof/>
            <w:webHidden/>
          </w:rPr>
        </w:r>
        <w:r w:rsidR="00C451D4">
          <w:rPr>
            <w:noProof/>
            <w:webHidden/>
          </w:rPr>
          <w:fldChar w:fldCharType="separate"/>
        </w:r>
        <w:r w:rsidR="00A4414A">
          <w:rPr>
            <w:noProof/>
            <w:webHidden/>
          </w:rPr>
          <w:t>47</w:t>
        </w:r>
        <w:r w:rsidR="00C451D4">
          <w:rPr>
            <w:noProof/>
            <w:webHidden/>
          </w:rPr>
          <w:fldChar w:fldCharType="end"/>
        </w:r>
      </w:hyperlink>
    </w:p>
    <w:p w14:paraId="0A7A6F2F" w14:textId="15C9D370"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49" w:history="1">
        <w:r w:rsidR="00C451D4" w:rsidRPr="00EB2E1D">
          <w:rPr>
            <w:rStyle w:val="Hyperlink"/>
            <w:noProof/>
          </w:rPr>
          <w:t>8.2.</w:t>
        </w:r>
        <w:r w:rsidR="00C451D4">
          <w:rPr>
            <w:rFonts w:eastAsiaTheme="minorEastAsia" w:cstheme="minorBidi"/>
            <w:smallCaps w:val="0"/>
            <w:noProof/>
            <w:sz w:val="22"/>
            <w:szCs w:val="22"/>
            <w:lang w:val="en-GB" w:eastAsia="en-GB"/>
          </w:rPr>
          <w:tab/>
        </w:r>
        <w:r w:rsidR="00C451D4" w:rsidRPr="00EB2E1D">
          <w:rPr>
            <w:rStyle w:val="Hyperlink"/>
            <w:noProof/>
          </w:rPr>
          <w:t>Preferred policy option cumulated advantages and disadvantages</w:t>
        </w:r>
        <w:r w:rsidR="00C451D4">
          <w:rPr>
            <w:noProof/>
            <w:webHidden/>
          </w:rPr>
          <w:tab/>
        </w:r>
        <w:r w:rsidR="00C451D4">
          <w:rPr>
            <w:noProof/>
            <w:webHidden/>
          </w:rPr>
          <w:fldChar w:fldCharType="begin"/>
        </w:r>
        <w:r w:rsidR="00C451D4">
          <w:rPr>
            <w:noProof/>
            <w:webHidden/>
          </w:rPr>
          <w:instrText xml:space="preserve"> PAGEREF _Toc83801049 \h </w:instrText>
        </w:r>
        <w:r w:rsidR="00C451D4">
          <w:rPr>
            <w:noProof/>
            <w:webHidden/>
          </w:rPr>
        </w:r>
        <w:r w:rsidR="00C451D4">
          <w:rPr>
            <w:noProof/>
            <w:webHidden/>
          </w:rPr>
          <w:fldChar w:fldCharType="separate"/>
        </w:r>
        <w:r w:rsidR="00A4414A">
          <w:rPr>
            <w:noProof/>
            <w:webHidden/>
          </w:rPr>
          <w:t>50</w:t>
        </w:r>
        <w:r w:rsidR="00C451D4">
          <w:rPr>
            <w:noProof/>
            <w:webHidden/>
          </w:rPr>
          <w:fldChar w:fldCharType="end"/>
        </w:r>
      </w:hyperlink>
    </w:p>
    <w:p w14:paraId="16081C31" w14:textId="4F018AD6" w:rsidR="00C451D4" w:rsidRDefault="00190A33">
      <w:pPr>
        <w:pStyle w:val="TOC2"/>
        <w:tabs>
          <w:tab w:val="left" w:pos="800"/>
          <w:tab w:val="right" w:leader="dot" w:pos="9628"/>
        </w:tabs>
        <w:rPr>
          <w:rFonts w:eastAsiaTheme="minorEastAsia" w:cstheme="minorBidi"/>
          <w:smallCaps w:val="0"/>
          <w:noProof/>
          <w:sz w:val="22"/>
          <w:szCs w:val="22"/>
          <w:lang w:val="en-GB" w:eastAsia="en-GB"/>
        </w:rPr>
      </w:pPr>
      <w:hyperlink w:anchor="_Toc83801050" w:history="1">
        <w:r w:rsidR="00C451D4" w:rsidRPr="00EB2E1D">
          <w:rPr>
            <w:rStyle w:val="Hyperlink"/>
            <w:noProof/>
          </w:rPr>
          <w:t>8.3.</w:t>
        </w:r>
        <w:r w:rsidR="00C451D4">
          <w:rPr>
            <w:rFonts w:eastAsiaTheme="minorEastAsia" w:cstheme="minorBidi"/>
            <w:smallCaps w:val="0"/>
            <w:noProof/>
            <w:sz w:val="22"/>
            <w:szCs w:val="22"/>
            <w:lang w:val="en-GB" w:eastAsia="en-GB"/>
          </w:rPr>
          <w:tab/>
        </w:r>
        <w:r w:rsidR="00C451D4" w:rsidRPr="00EB2E1D">
          <w:rPr>
            <w:rStyle w:val="Hyperlink"/>
            <w:noProof/>
          </w:rPr>
          <w:t>Main types of costs expected to be reduced/increased with the preferred policy option</w:t>
        </w:r>
        <w:r w:rsidR="00C451D4">
          <w:rPr>
            <w:noProof/>
            <w:webHidden/>
          </w:rPr>
          <w:tab/>
        </w:r>
        <w:r w:rsidR="00C451D4">
          <w:rPr>
            <w:noProof/>
            <w:webHidden/>
          </w:rPr>
          <w:fldChar w:fldCharType="begin"/>
        </w:r>
        <w:r w:rsidR="00C451D4">
          <w:rPr>
            <w:noProof/>
            <w:webHidden/>
          </w:rPr>
          <w:instrText xml:space="preserve"> PAGEREF _Toc83801050 \h </w:instrText>
        </w:r>
        <w:r w:rsidR="00C451D4">
          <w:rPr>
            <w:noProof/>
            <w:webHidden/>
          </w:rPr>
        </w:r>
        <w:r w:rsidR="00C451D4">
          <w:rPr>
            <w:noProof/>
            <w:webHidden/>
          </w:rPr>
          <w:fldChar w:fldCharType="separate"/>
        </w:r>
        <w:r w:rsidR="00A4414A">
          <w:rPr>
            <w:noProof/>
            <w:webHidden/>
          </w:rPr>
          <w:t>51</w:t>
        </w:r>
        <w:r w:rsidR="00C451D4">
          <w:rPr>
            <w:noProof/>
            <w:webHidden/>
          </w:rPr>
          <w:fldChar w:fldCharType="end"/>
        </w:r>
      </w:hyperlink>
    </w:p>
    <w:p w14:paraId="502E4D88" w14:textId="5E3EB57E" w:rsidR="00C451D4" w:rsidRDefault="00190A33">
      <w:pPr>
        <w:pStyle w:val="TOC1"/>
        <w:tabs>
          <w:tab w:val="left" w:pos="400"/>
          <w:tab w:val="right" w:leader="dot" w:pos="9628"/>
        </w:tabs>
        <w:rPr>
          <w:rFonts w:eastAsiaTheme="minorEastAsia" w:cstheme="minorBidi"/>
          <w:b w:val="0"/>
          <w:bCs w:val="0"/>
          <w:caps w:val="0"/>
          <w:noProof/>
          <w:sz w:val="22"/>
          <w:szCs w:val="22"/>
          <w:lang w:val="en-GB" w:eastAsia="en-GB"/>
        </w:rPr>
      </w:pPr>
      <w:hyperlink w:anchor="_Toc83801051" w:history="1">
        <w:r w:rsidR="00C451D4" w:rsidRPr="00EB2E1D">
          <w:rPr>
            <w:rStyle w:val="Hyperlink"/>
            <w:noProof/>
          </w:rPr>
          <w:t>9.</w:t>
        </w:r>
        <w:r w:rsidR="00C451D4">
          <w:rPr>
            <w:rFonts w:eastAsiaTheme="minorEastAsia" w:cstheme="minorBidi"/>
            <w:b w:val="0"/>
            <w:bCs w:val="0"/>
            <w:caps w:val="0"/>
            <w:noProof/>
            <w:sz w:val="22"/>
            <w:szCs w:val="22"/>
            <w:lang w:val="en-GB" w:eastAsia="en-GB"/>
          </w:rPr>
          <w:tab/>
        </w:r>
        <w:r w:rsidR="00C451D4" w:rsidRPr="00EB2E1D">
          <w:rPr>
            <w:rStyle w:val="Hyperlink"/>
            <w:noProof/>
          </w:rPr>
          <w:t>How will actual impacts be monitored and evaluated?</w:t>
        </w:r>
        <w:r w:rsidR="00C451D4">
          <w:rPr>
            <w:noProof/>
            <w:webHidden/>
          </w:rPr>
          <w:tab/>
        </w:r>
        <w:r w:rsidR="00C451D4">
          <w:rPr>
            <w:noProof/>
            <w:webHidden/>
          </w:rPr>
          <w:fldChar w:fldCharType="begin"/>
        </w:r>
        <w:r w:rsidR="00C451D4">
          <w:rPr>
            <w:noProof/>
            <w:webHidden/>
          </w:rPr>
          <w:instrText xml:space="preserve"> PAGEREF _Toc83801051 \h </w:instrText>
        </w:r>
        <w:r w:rsidR="00C451D4">
          <w:rPr>
            <w:noProof/>
            <w:webHidden/>
          </w:rPr>
        </w:r>
        <w:r w:rsidR="00C451D4">
          <w:rPr>
            <w:noProof/>
            <w:webHidden/>
          </w:rPr>
          <w:fldChar w:fldCharType="separate"/>
        </w:r>
        <w:r w:rsidR="00A4414A">
          <w:rPr>
            <w:noProof/>
            <w:webHidden/>
          </w:rPr>
          <w:t>53</w:t>
        </w:r>
        <w:r w:rsidR="00C451D4">
          <w:rPr>
            <w:noProof/>
            <w:webHidden/>
          </w:rPr>
          <w:fldChar w:fldCharType="end"/>
        </w:r>
      </w:hyperlink>
    </w:p>
    <w:p w14:paraId="1B612A0F" w14:textId="232D3C3C"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52" w:history="1">
        <w:r w:rsidR="00C451D4" w:rsidRPr="00EB2E1D">
          <w:rPr>
            <w:rStyle w:val="Hyperlink"/>
            <w:noProof/>
          </w:rPr>
          <w:t>Annex 1: Procedural information</w:t>
        </w:r>
        <w:r w:rsidR="00C451D4">
          <w:rPr>
            <w:noProof/>
            <w:webHidden/>
          </w:rPr>
          <w:tab/>
        </w:r>
        <w:r w:rsidR="00C451D4">
          <w:rPr>
            <w:noProof/>
            <w:webHidden/>
          </w:rPr>
          <w:fldChar w:fldCharType="begin"/>
        </w:r>
        <w:r w:rsidR="00C451D4">
          <w:rPr>
            <w:noProof/>
            <w:webHidden/>
          </w:rPr>
          <w:instrText xml:space="preserve"> PAGEREF _Toc83801052 \h </w:instrText>
        </w:r>
        <w:r w:rsidR="00C451D4">
          <w:rPr>
            <w:noProof/>
            <w:webHidden/>
          </w:rPr>
        </w:r>
        <w:r w:rsidR="00C451D4">
          <w:rPr>
            <w:noProof/>
            <w:webHidden/>
          </w:rPr>
          <w:fldChar w:fldCharType="separate"/>
        </w:r>
        <w:r w:rsidR="00A4414A">
          <w:rPr>
            <w:noProof/>
            <w:webHidden/>
          </w:rPr>
          <w:t>54</w:t>
        </w:r>
        <w:r w:rsidR="00C451D4">
          <w:rPr>
            <w:noProof/>
            <w:webHidden/>
          </w:rPr>
          <w:fldChar w:fldCharType="end"/>
        </w:r>
      </w:hyperlink>
    </w:p>
    <w:p w14:paraId="79973825" w14:textId="397AE869"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53" w:history="1">
        <w:r w:rsidR="00C451D4" w:rsidRPr="00EB2E1D">
          <w:rPr>
            <w:rStyle w:val="Hyperlink"/>
            <w:noProof/>
          </w:rPr>
          <w:t>Annex 2: Stakeholder consultation</w:t>
        </w:r>
        <w:r w:rsidR="00C451D4">
          <w:rPr>
            <w:noProof/>
            <w:webHidden/>
          </w:rPr>
          <w:tab/>
        </w:r>
        <w:r w:rsidR="00C451D4">
          <w:rPr>
            <w:noProof/>
            <w:webHidden/>
          </w:rPr>
          <w:fldChar w:fldCharType="begin"/>
        </w:r>
        <w:r w:rsidR="00C451D4">
          <w:rPr>
            <w:noProof/>
            <w:webHidden/>
          </w:rPr>
          <w:instrText xml:space="preserve"> PAGEREF _Toc83801053 \h </w:instrText>
        </w:r>
        <w:r w:rsidR="00C451D4">
          <w:rPr>
            <w:noProof/>
            <w:webHidden/>
          </w:rPr>
        </w:r>
        <w:r w:rsidR="00C451D4">
          <w:rPr>
            <w:noProof/>
            <w:webHidden/>
          </w:rPr>
          <w:fldChar w:fldCharType="separate"/>
        </w:r>
        <w:r w:rsidR="00A4414A">
          <w:rPr>
            <w:noProof/>
            <w:webHidden/>
          </w:rPr>
          <w:t>56</w:t>
        </w:r>
        <w:r w:rsidR="00C451D4">
          <w:rPr>
            <w:noProof/>
            <w:webHidden/>
          </w:rPr>
          <w:fldChar w:fldCharType="end"/>
        </w:r>
      </w:hyperlink>
    </w:p>
    <w:p w14:paraId="3951D436" w14:textId="62490288"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54" w:history="1">
        <w:r w:rsidR="00C451D4" w:rsidRPr="00EB2E1D">
          <w:rPr>
            <w:rStyle w:val="Hyperlink"/>
            <w:noProof/>
          </w:rPr>
          <w:t>Annex 3: Who is affected and how?</w:t>
        </w:r>
        <w:r w:rsidR="00C451D4">
          <w:rPr>
            <w:noProof/>
            <w:webHidden/>
          </w:rPr>
          <w:tab/>
        </w:r>
        <w:r w:rsidR="00C451D4">
          <w:rPr>
            <w:noProof/>
            <w:webHidden/>
          </w:rPr>
          <w:fldChar w:fldCharType="begin"/>
        </w:r>
        <w:r w:rsidR="00C451D4">
          <w:rPr>
            <w:noProof/>
            <w:webHidden/>
          </w:rPr>
          <w:instrText xml:space="preserve"> PAGEREF _Toc83801054 \h </w:instrText>
        </w:r>
        <w:r w:rsidR="00C451D4">
          <w:rPr>
            <w:noProof/>
            <w:webHidden/>
          </w:rPr>
        </w:r>
        <w:r w:rsidR="00C451D4">
          <w:rPr>
            <w:noProof/>
            <w:webHidden/>
          </w:rPr>
          <w:fldChar w:fldCharType="separate"/>
        </w:r>
        <w:r w:rsidR="00A4414A">
          <w:rPr>
            <w:noProof/>
            <w:webHidden/>
          </w:rPr>
          <w:t>87</w:t>
        </w:r>
        <w:r w:rsidR="00C451D4">
          <w:rPr>
            <w:noProof/>
            <w:webHidden/>
          </w:rPr>
          <w:fldChar w:fldCharType="end"/>
        </w:r>
      </w:hyperlink>
    </w:p>
    <w:p w14:paraId="1346DD55" w14:textId="00483716"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55" w:history="1">
        <w:r w:rsidR="00C451D4" w:rsidRPr="00EB2E1D">
          <w:rPr>
            <w:rStyle w:val="Hyperlink"/>
            <w:noProof/>
          </w:rPr>
          <w:t>Annex 4: Supporting information on the high-level problems and their impacts on the core problems</w:t>
        </w:r>
        <w:r w:rsidR="00C451D4">
          <w:rPr>
            <w:noProof/>
            <w:webHidden/>
          </w:rPr>
          <w:tab/>
        </w:r>
        <w:r w:rsidR="00C451D4">
          <w:rPr>
            <w:noProof/>
            <w:webHidden/>
          </w:rPr>
          <w:fldChar w:fldCharType="begin"/>
        </w:r>
        <w:r w:rsidR="00C451D4">
          <w:rPr>
            <w:noProof/>
            <w:webHidden/>
          </w:rPr>
          <w:instrText xml:space="preserve"> PAGEREF _Toc83801055 \h </w:instrText>
        </w:r>
        <w:r w:rsidR="00C451D4">
          <w:rPr>
            <w:noProof/>
            <w:webHidden/>
          </w:rPr>
        </w:r>
        <w:r w:rsidR="00C451D4">
          <w:rPr>
            <w:noProof/>
            <w:webHidden/>
          </w:rPr>
          <w:fldChar w:fldCharType="separate"/>
        </w:r>
        <w:r w:rsidR="00A4414A">
          <w:rPr>
            <w:noProof/>
            <w:webHidden/>
          </w:rPr>
          <w:t>92</w:t>
        </w:r>
        <w:r w:rsidR="00C451D4">
          <w:rPr>
            <w:noProof/>
            <w:webHidden/>
          </w:rPr>
          <w:fldChar w:fldCharType="end"/>
        </w:r>
      </w:hyperlink>
    </w:p>
    <w:p w14:paraId="20A5C4D2" w14:textId="3E2F390B"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56" w:history="1">
        <w:r w:rsidR="00C451D4" w:rsidRPr="00EB2E1D">
          <w:rPr>
            <w:rStyle w:val="Hyperlink"/>
            <w:noProof/>
          </w:rPr>
          <w:t>Annex 5: Supporting information on the problems 1, 2 &amp; 3</w:t>
        </w:r>
        <w:r w:rsidR="00C451D4">
          <w:rPr>
            <w:noProof/>
            <w:webHidden/>
          </w:rPr>
          <w:tab/>
        </w:r>
        <w:r w:rsidR="00C451D4">
          <w:rPr>
            <w:noProof/>
            <w:webHidden/>
          </w:rPr>
          <w:fldChar w:fldCharType="begin"/>
        </w:r>
        <w:r w:rsidR="00C451D4">
          <w:rPr>
            <w:noProof/>
            <w:webHidden/>
          </w:rPr>
          <w:instrText xml:space="preserve"> PAGEREF _Toc83801056 \h </w:instrText>
        </w:r>
        <w:r w:rsidR="00C451D4">
          <w:rPr>
            <w:noProof/>
            <w:webHidden/>
          </w:rPr>
        </w:r>
        <w:r w:rsidR="00C451D4">
          <w:rPr>
            <w:noProof/>
            <w:webHidden/>
          </w:rPr>
          <w:fldChar w:fldCharType="separate"/>
        </w:r>
        <w:r w:rsidR="00A4414A">
          <w:rPr>
            <w:noProof/>
            <w:webHidden/>
          </w:rPr>
          <w:t>115</w:t>
        </w:r>
        <w:r w:rsidR="00C451D4">
          <w:rPr>
            <w:noProof/>
            <w:webHidden/>
          </w:rPr>
          <w:fldChar w:fldCharType="end"/>
        </w:r>
      </w:hyperlink>
    </w:p>
    <w:p w14:paraId="127C75F2" w14:textId="570FD612"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57" w:history="1">
        <w:r w:rsidR="00C451D4" w:rsidRPr="00EB2E1D">
          <w:rPr>
            <w:rStyle w:val="Hyperlink"/>
            <w:noProof/>
          </w:rPr>
          <w:t>Annex 6: Questionnaire for consultations</w:t>
        </w:r>
        <w:r w:rsidR="00C451D4">
          <w:rPr>
            <w:noProof/>
            <w:webHidden/>
          </w:rPr>
          <w:tab/>
        </w:r>
        <w:r w:rsidR="00C451D4">
          <w:rPr>
            <w:noProof/>
            <w:webHidden/>
          </w:rPr>
          <w:fldChar w:fldCharType="begin"/>
        </w:r>
        <w:r w:rsidR="00C451D4">
          <w:rPr>
            <w:noProof/>
            <w:webHidden/>
          </w:rPr>
          <w:instrText xml:space="preserve"> PAGEREF _Toc83801057 \h </w:instrText>
        </w:r>
        <w:r w:rsidR="00C451D4">
          <w:rPr>
            <w:noProof/>
            <w:webHidden/>
          </w:rPr>
        </w:r>
        <w:r w:rsidR="00C451D4">
          <w:rPr>
            <w:noProof/>
            <w:webHidden/>
          </w:rPr>
          <w:fldChar w:fldCharType="separate"/>
        </w:r>
        <w:r w:rsidR="00A4414A">
          <w:rPr>
            <w:noProof/>
            <w:webHidden/>
          </w:rPr>
          <w:t>151</w:t>
        </w:r>
        <w:r w:rsidR="00C451D4">
          <w:rPr>
            <w:noProof/>
            <w:webHidden/>
          </w:rPr>
          <w:fldChar w:fldCharType="end"/>
        </w:r>
      </w:hyperlink>
    </w:p>
    <w:p w14:paraId="4BC58D98" w14:textId="2F7BD9D6"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58" w:history="1">
        <w:r w:rsidR="00C451D4" w:rsidRPr="00EB2E1D">
          <w:rPr>
            <w:rStyle w:val="Hyperlink"/>
            <w:noProof/>
          </w:rPr>
          <w:t>Annex 7: Discarded options</w:t>
        </w:r>
        <w:r w:rsidR="00C451D4">
          <w:rPr>
            <w:noProof/>
            <w:webHidden/>
          </w:rPr>
          <w:tab/>
        </w:r>
        <w:r w:rsidR="00C451D4">
          <w:rPr>
            <w:noProof/>
            <w:webHidden/>
          </w:rPr>
          <w:fldChar w:fldCharType="begin"/>
        </w:r>
        <w:r w:rsidR="00C451D4">
          <w:rPr>
            <w:noProof/>
            <w:webHidden/>
          </w:rPr>
          <w:instrText xml:space="preserve"> PAGEREF _Toc83801058 \h </w:instrText>
        </w:r>
        <w:r w:rsidR="00C451D4">
          <w:rPr>
            <w:noProof/>
            <w:webHidden/>
          </w:rPr>
        </w:r>
        <w:r w:rsidR="00C451D4">
          <w:rPr>
            <w:noProof/>
            <w:webHidden/>
          </w:rPr>
          <w:fldChar w:fldCharType="separate"/>
        </w:r>
        <w:r w:rsidR="00A4414A">
          <w:rPr>
            <w:noProof/>
            <w:webHidden/>
          </w:rPr>
          <w:t>200</w:t>
        </w:r>
        <w:r w:rsidR="00C451D4">
          <w:rPr>
            <w:noProof/>
            <w:webHidden/>
          </w:rPr>
          <w:fldChar w:fldCharType="end"/>
        </w:r>
      </w:hyperlink>
    </w:p>
    <w:p w14:paraId="74D5E166" w14:textId="3BC6BF10"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59" w:history="1">
        <w:r w:rsidR="00C451D4" w:rsidRPr="00EB2E1D">
          <w:rPr>
            <w:rStyle w:val="Hyperlink"/>
            <w:noProof/>
          </w:rPr>
          <w:t>Annex 8: Ad hoc workshops (summaries)</w:t>
        </w:r>
        <w:r w:rsidR="00C451D4">
          <w:rPr>
            <w:noProof/>
            <w:webHidden/>
          </w:rPr>
          <w:tab/>
        </w:r>
        <w:r w:rsidR="00C451D4">
          <w:rPr>
            <w:noProof/>
            <w:webHidden/>
          </w:rPr>
          <w:fldChar w:fldCharType="begin"/>
        </w:r>
        <w:r w:rsidR="00C451D4">
          <w:rPr>
            <w:noProof/>
            <w:webHidden/>
          </w:rPr>
          <w:instrText xml:space="preserve"> PAGEREF _Toc83801059 \h </w:instrText>
        </w:r>
        <w:r w:rsidR="00C451D4">
          <w:rPr>
            <w:noProof/>
            <w:webHidden/>
          </w:rPr>
        </w:r>
        <w:r w:rsidR="00C451D4">
          <w:rPr>
            <w:noProof/>
            <w:webHidden/>
          </w:rPr>
          <w:fldChar w:fldCharType="separate"/>
        </w:r>
        <w:r w:rsidR="00A4414A">
          <w:rPr>
            <w:noProof/>
            <w:webHidden/>
          </w:rPr>
          <w:t>206</w:t>
        </w:r>
        <w:r w:rsidR="00C451D4">
          <w:rPr>
            <w:noProof/>
            <w:webHidden/>
          </w:rPr>
          <w:fldChar w:fldCharType="end"/>
        </w:r>
      </w:hyperlink>
    </w:p>
    <w:p w14:paraId="4C34F672" w14:textId="23550E97"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60" w:history="1">
        <w:r w:rsidR="00C451D4" w:rsidRPr="00EB2E1D">
          <w:rPr>
            <w:rStyle w:val="Hyperlink"/>
            <w:noProof/>
          </w:rPr>
          <w:t>Annex 9: Complementary information on the expected effects of the policy options in the Member States</w:t>
        </w:r>
        <w:r w:rsidR="00C451D4">
          <w:rPr>
            <w:noProof/>
            <w:webHidden/>
          </w:rPr>
          <w:tab/>
        </w:r>
        <w:r w:rsidR="00C451D4">
          <w:rPr>
            <w:noProof/>
            <w:webHidden/>
          </w:rPr>
          <w:fldChar w:fldCharType="begin"/>
        </w:r>
        <w:r w:rsidR="00C451D4">
          <w:rPr>
            <w:noProof/>
            <w:webHidden/>
          </w:rPr>
          <w:instrText xml:space="preserve"> PAGEREF _Toc83801060 \h </w:instrText>
        </w:r>
        <w:r w:rsidR="00C451D4">
          <w:rPr>
            <w:noProof/>
            <w:webHidden/>
          </w:rPr>
        </w:r>
        <w:r w:rsidR="00C451D4">
          <w:rPr>
            <w:noProof/>
            <w:webHidden/>
          </w:rPr>
          <w:fldChar w:fldCharType="separate"/>
        </w:r>
        <w:r w:rsidR="00A4414A">
          <w:rPr>
            <w:noProof/>
            <w:webHidden/>
          </w:rPr>
          <w:t>223</w:t>
        </w:r>
        <w:r w:rsidR="00C451D4">
          <w:rPr>
            <w:noProof/>
            <w:webHidden/>
          </w:rPr>
          <w:fldChar w:fldCharType="end"/>
        </w:r>
      </w:hyperlink>
    </w:p>
    <w:p w14:paraId="26DF5EF0" w14:textId="6A576EA6" w:rsidR="00C451D4" w:rsidRDefault="00190A33">
      <w:pPr>
        <w:pStyle w:val="TOC1"/>
        <w:tabs>
          <w:tab w:val="right" w:leader="dot" w:pos="9628"/>
        </w:tabs>
        <w:rPr>
          <w:rFonts w:eastAsiaTheme="minorEastAsia" w:cstheme="minorBidi"/>
          <w:b w:val="0"/>
          <w:bCs w:val="0"/>
          <w:caps w:val="0"/>
          <w:noProof/>
          <w:sz w:val="22"/>
          <w:szCs w:val="22"/>
          <w:lang w:val="en-GB" w:eastAsia="en-GB"/>
        </w:rPr>
      </w:pPr>
      <w:hyperlink w:anchor="_Toc83801061" w:history="1">
        <w:r w:rsidR="00C451D4" w:rsidRPr="00EB2E1D">
          <w:rPr>
            <w:rStyle w:val="Hyperlink"/>
            <w:noProof/>
          </w:rPr>
          <w:t>Annex 10: Complementary information on the political feasibility of envisaged measures</w:t>
        </w:r>
        <w:r w:rsidR="00C451D4">
          <w:rPr>
            <w:noProof/>
            <w:webHidden/>
          </w:rPr>
          <w:tab/>
        </w:r>
        <w:r w:rsidR="00C451D4">
          <w:rPr>
            <w:noProof/>
            <w:webHidden/>
          </w:rPr>
          <w:fldChar w:fldCharType="begin"/>
        </w:r>
        <w:r w:rsidR="00C451D4">
          <w:rPr>
            <w:noProof/>
            <w:webHidden/>
          </w:rPr>
          <w:instrText xml:space="preserve"> PAGEREF _Toc83801061 \h </w:instrText>
        </w:r>
        <w:r w:rsidR="00C451D4">
          <w:rPr>
            <w:noProof/>
            <w:webHidden/>
          </w:rPr>
        </w:r>
        <w:r w:rsidR="00C451D4">
          <w:rPr>
            <w:noProof/>
            <w:webHidden/>
          </w:rPr>
          <w:fldChar w:fldCharType="separate"/>
        </w:r>
        <w:r w:rsidR="00A4414A">
          <w:rPr>
            <w:noProof/>
            <w:webHidden/>
          </w:rPr>
          <w:t>228</w:t>
        </w:r>
        <w:r w:rsidR="00C451D4">
          <w:rPr>
            <w:noProof/>
            <w:webHidden/>
          </w:rPr>
          <w:fldChar w:fldCharType="end"/>
        </w:r>
      </w:hyperlink>
    </w:p>
    <w:p w14:paraId="5AA6E399" w14:textId="1BBF5C38" w:rsidR="00FF1EC5" w:rsidRDefault="00067DF9" w:rsidP="00B369CC">
      <w:pPr>
        <w:spacing w:after="100" w:line="240" w:lineRule="auto"/>
        <w:jc w:val="center"/>
        <w:rPr>
          <w:rFonts w:ascii="Times New Roman" w:hAnsi="Times New Roman" w:cs="Times New Roman"/>
          <w:noProof/>
          <w:lang w:val="en-GB"/>
        </w:rPr>
      </w:pPr>
      <w:r>
        <w:rPr>
          <w:rFonts w:cstheme="minorHAnsi"/>
          <w:b/>
          <w:bCs/>
          <w:caps/>
          <w:noProof/>
          <w:lang w:val="en-GB"/>
        </w:rPr>
        <w:fldChar w:fldCharType="end"/>
      </w:r>
    </w:p>
    <w:p w14:paraId="4F765918" w14:textId="77777777" w:rsidR="00FF1EC5" w:rsidRDefault="00FF1EC5">
      <w:pPr>
        <w:spacing w:after="160" w:line="259" w:lineRule="auto"/>
        <w:rPr>
          <w:rFonts w:ascii="Times New Roman" w:hAnsi="Times New Roman" w:cs="Times New Roman"/>
          <w:noProof/>
          <w:lang w:val="en-GB"/>
        </w:rPr>
      </w:pPr>
      <w:r>
        <w:rPr>
          <w:rFonts w:ascii="Times New Roman" w:hAnsi="Times New Roman" w:cs="Times New Roman"/>
          <w:noProof/>
          <w:lang w:val="en-GB"/>
        </w:rPr>
        <w:br w:type="page"/>
      </w:r>
    </w:p>
    <w:p w14:paraId="0A44D8DF" w14:textId="77777777" w:rsidR="00C76702" w:rsidRPr="00B07629" w:rsidRDefault="00C76702" w:rsidP="00B07629">
      <w:pPr>
        <w:pStyle w:val="Heading1"/>
        <w:numPr>
          <w:ilvl w:val="0"/>
          <w:numId w:val="0"/>
        </w:numPr>
        <w:jc w:val="center"/>
        <w:rPr>
          <w:noProof/>
        </w:rPr>
      </w:pPr>
      <w:bookmarkStart w:id="2" w:name="_Toc74838146"/>
      <w:bookmarkStart w:id="3" w:name="_Toc83801006"/>
      <w:r w:rsidRPr="00B07629">
        <w:rPr>
          <w:noProof/>
        </w:rPr>
        <w:t>Glossary</w:t>
      </w:r>
      <w:bookmarkEnd w:id="2"/>
      <w:bookmarkEnd w:id="3"/>
    </w:p>
    <w:tbl>
      <w:tblPr>
        <w:tblStyle w:val="TableGrid"/>
        <w:tblW w:w="9606" w:type="dxa"/>
        <w:tblLook w:val="04A0" w:firstRow="1" w:lastRow="0" w:firstColumn="1" w:lastColumn="0" w:noHBand="0" w:noVBand="1"/>
      </w:tblPr>
      <w:tblGrid>
        <w:gridCol w:w="3227"/>
        <w:gridCol w:w="6379"/>
      </w:tblGrid>
      <w:tr w:rsidR="00C76702" w14:paraId="6E26383B" w14:textId="77777777" w:rsidTr="00C64E21">
        <w:tc>
          <w:tcPr>
            <w:tcW w:w="3227" w:type="dxa"/>
            <w:tcBorders>
              <w:bottom w:val="double" w:sz="4" w:space="0" w:color="auto"/>
            </w:tcBorders>
            <w:shd w:val="clear" w:color="auto" w:fill="F2F2F2" w:themeFill="background1" w:themeFillShade="F2"/>
          </w:tcPr>
          <w:p w14:paraId="0E408CC0" w14:textId="77777777" w:rsidR="00C76702" w:rsidRPr="00C76702" w:rsidRDefault="00C76702" w:rsidP="00C76702">
            <w:pPr>
              <w:spacing w:before="120" w:after="120" w:line="240" w:lineRule="auto"/>
              <w:jc w:val="center"/>
              <w:rPr>
                <w:b/>
                <w:i/>
                <w:noProof/>
                <w:sz w:val="24"/>
                <w:szCs w:val="24"/>
              </w:rPr>
            </w:pPr>
            <w:r w:rsidRPr="00C76702">
              <w:rPr>
                <w:b/>
                <w:i/>
                <w:noProof/>
                <w:sz w:val="24"/>
                <w:szCs w:val="24"/>
              </w:rPr>
              <w:t>Term or acronym</w:t>
            </w:r>
          </w:p>
        </w:tc>
        <w:tc>
          <w:tcPr>
            <w:tcW w:w="6379" w:type="dxa"/>
            <w:tcBorders>
              <w:bottom w:val="double" w:sz="4" w:space="0" w:color="auto"/>
            </w:tcBorders>
            <w:shd w:val="clear" w:color="auto" w:fill="F2F2F2" w:themeFill="background1" w:themeFillShade="F2"/>
          </w:tcPr>
          <w:p w14:paraId="5D645BE5" w14:textId="77777777" w:rsidR="00C76702" w:rsidRPr="00C76702" w:rsidRDefault="00C76702" w:rsidP="00C76702">
            <w:pPr>
              <w:spacing w:before="120" w:after="120" w:line="240" w:lineRule="auto"/>
              <w:jc w:val="center"/>
              <w:rPr>
                <w:b/>
                <w:i/>
                <w:noProof/>
                <w:sz w:val="24"/>
                <w:szCs w:val="24"/>
              </w:rPr>
            </w:pPr>
            <w:r w:rsidRPr="00C76702">
              <w:rPr>
                <w:b/>
                <w:i/>
                <w:noProof/>
                <w:sz w:val="24"/>
                <w:szCs w:val="24"/>
              </w:rPr>
              <w:t>Meaning or definition</w:t>
            </w:r>
          </w:p>
        </w:tc>
      </w:tr>
      <w:tr w:rsidR="00C76702" w14:paraId="3FB8D8A2" w14:textId="77777777" w:rsidTr="00C64E21">
        <w:trPr>
          <w:trHeight w:val="369"/>
        </w:trPr>
        <w:tc>
          <w:tcPr>
            <w:tcW w:w="3227" w:type="dxa"/>
            <w:tcMar>
              <w:top w:w="85" w:type="dxa"/>
              <w:left w:w="57" w:type="dxa"/>
              <w:bottom w:w="85" w:type="dxa"/>
              <w:right w:w="57" w:type="dxa"/>
            </w:tcMar>
          </w:tcPr>
          <w:p w14:paraId="4B4819AE" w14:textId="77777777" w:rsidR="00C76702" w:rsidRPr="00C76702" w:rsidRDefault="00C76702" w:rsidP="00C76702">
            <w:pPr>
              <w:spacing w:after="0" w:line="240" w:lineRule="auto"/>
              <w:rPr>
                <w:noProof/>
              </w:rPr>
            </w:pPr>
            <w:r w:rsidRPr="00C76702">
              <w:rPr>
                <w:noProof/>
              </w:rPr>
              <w:t>CCWP</w:t>
            </w:r>
          </w:p>
        </w:tc>
        <w:tc>
          <w:tcPr>
            <w:tcW w:w="6379" w:type="dxa"/>
            <w:tcMar>
              <w:top w:w="85" w:type="dxa"/>
              <w:left w:w="57" w:type="dxa"/>
              <w:bottom w:w="85" w:type="dxa"/>
              <w:right w:w="57" w:type="dxa"/>
            </w:tcMar>
          </w:tcPr>
          <w:p w14:paraId="280E17EE" w14:textId="77777777" w:rsidR="00C76702" w:rsidRPr="00C76702" w:rsidRDefault="00C76702" w:rsidP="00C76702">
            <w:pPr>
              <w:spacing w:after="0" w:line="240" w:lineRule="auto"/>
              <w:rPr>
                <w:noProof/>
              </w:rPr>
            </w:pPr>
            <w:r w:rsidRPr="00C76702">
              <w:rPr>
                <w:noProof/>
              </w:rPr>
              <w:t>Customs Cooperation Working Party</w:t>
            </w:r>
          </w:p>
        </w:tc>
      </w:tr>
      <w:tr w:rsidR="00C76702" w14:paraId="062CDE10" w14:textId="77777777" w:rsidTr="00C64E21">
        <w:tc>
          <w:tcPr>
            <w:tcW w:w="3227" w:type="dxa"/>
            <w:tcMar>
              <w:top w:w="85" w:type="dxa"/>
              <w:left w:w="57" w:type="dxa"/>
              <w:bottom w:w="85" w:type="dxa"/>
              <w:right w:w="57" w:type="dxa"/>
            </w:tcMar>
          </w:tcPr>
          <w:p w14:paraId="315B8A28" w14:textId="77777777" w:rsidR="00C76702" w:rsidRPr="00C76702" w:rsidRDefault="00C76702" w:rsidP="00C76702">
            <w:pPr>
              <w:spacing w:after="0" w:line="240" w:lineRule="auto"/>
              <w:rPr>
                <w:noProof/>
              </w:rPr>
            </w:pPr>
            <w:r w:rsidRPr="00C76702">
              <w:rPr>
                <w:noProof/>
              </w:rPr>
              <w:t>CEA</w:t>
            </w:r>
          </w:p>
        </w:tc>
        <w:tc>
          <w:tcPr>
            <w:tcW w:w="6379" w:type="dxa"/>
            <w:tcMar>
              <w:top w:w="85" w:type="dxa"/>
              <w:left w:w="57" w:type="dxa"/>
              <w:bottom w:w="85" w:type="dxa"/>
              <w:right w:w="57" w:type="dxa"/>
            </w:tcMar>
          </w:tcPr>
          <w:p w14:paraId="1FCFE910" w14:textId="77777777" w:rsidR="00C76702" w:rsidRPr="00C76702" w:rsidRDefault="00C76702" w:rsidP="00C76702">
            <w:pPr>
              <w:spacing w:after="0" w:line="240" w:lineRule="auto"/>
              <w:rPr>
                <w:noProof/>
              </w:rPr>
            </w:pPr>
            <w:r w:rsidRPr="00C76702">
              <w:rPr>
                <w:noProof/>
              </w:rPr>
              <w:t>Cost-Effectiveness Analysis</w:t>
            </w:r>
          </w:p>
        </w:tc>
      </w:tr>
      <w:tr w:rsidR="00C76702" w14:paraId="2F199906" w14:textId="77777777" w:rsidTr="00C64E21">
        <w:tc>
          <w:tcPr>
            <w:tcW w:w="3227" w:type="dxa"/>
            <w:tcMar>
              <w:top w:w="85" w:type="dxa"/>
              <w:left w:w="57" w:type="dxa"/>
              <w:bottom w:w="85" w:type="dxa"/>
              <w:right w:w="57" w:type="dxa"/>
            </w:tcMar>
          </w:tcPr>
          <w:p w14:paraId="024FB7B9" w14:textId="77777777" w:rsidR="00C76702" w:rsidRPr="00C76702" w:rsidRDefault="00C76702" w:rsidP="00C76702">
            <w:pPr>
              <w:spacing w:after="0" w:line="240" w:lineRule="auto"/>
              <w:rPr>
                <w:noProof/>
              </w:rPr>
            </w:pPr>
            <w:r w:rsidRPr="00C76702">
              <w:rPr>
                <w:noProof/>
              </w:rPr>
              <w:t>CISA</w:t>
            </w:r>
          </w:p>
        </w:tc>
        <w:tc>
          <w:tcPr>
            <w:tcW w:w="6379" w:type="dxa"/>
            <w:tcMar>
              <w:top w:w="85" w:type="dxa"/>
              <w:left w:w="57" w:type="dxa"/>
              <w:bottom w:w="85" w:type="dxa"/>
              <w:right w:w="57" w:type="dxa"/>
            </w:tcMar>
          </w:tcPr>
          <w:p w14:paraId="4747F89E" w14:textId="77777777" w:rsidR="00C76702" w:rsidRPr="00C76702" w:rsidRDefault="00C76702" w:rsidP="00C76702">
            <w:pPr>
              <w:spacing w:after="0" w:line="240" w:lineRule="auto"/>
              <w:rPr>
                <w:noProof/>
              </w:rPr>
            </w:pPr>
            <w:r w:rsidRPr="00C76702">
              <w:rPr>
                <w:noProof/>
              </w:rPr>
              <w:t>Convention Implementing the Schengen Agreement</w:t>
            </w:r>
          </w:p>
        </w:tc>
      </w:tr>
      <w:tr w:rsidR="00C76702" w14:paraId="0E0EFB66" w14:textId="77777777" w:rsidTr="00C64E21">
        <w:tc>
          <w:tcPr>
            <w:tcW w:w="3227" w:type="dxa"/>
            <w:tcMar>
              <w:top w:w="85" w:type="dxa"/>
              <w:left w:w="57" w:type="dxa"/>
              <w:bottom w:w="85" w:type="dxa"/>
              <w:right w:w="57" w:type="dxa"/>
            </w:tcMar>
          </w:tcPr>
          <w:p w14:paraId="04103A93" w14:textId="77777777" w:rsidR="00C76702" w:rsidRPr="00C76702" w:rsidRDefault="00C76702" w:rsidP="00C76702">
            <w:pPr>
              <w:spacing w:after="0" w:line="240" w:lineRule="auto"/>
              <w:rPr>
                <w:noProof/>
              </w:rPr>
            </w:pPr>
            <w:r w:rsidRPr="00C76702">
              <w:rPr>
                <w:noProof/>
              </w:rPr>
              <w:t>CMS</w:t>
            </w:r>
          </w:p>
        </w:tc>
        <w:tc>
          <w:tcPr>
            <w:tcW w:w="6379" w:type="dxa"/>
            <w:tcMar>
              <w:top w:w="85" w:type="dxa"/>
              <w:left w:w="57" w:type="dxa"/>
              <w:bottom w:w="85" w:type="dxa"/>
              <w:right w:w="57" w:type="dxa"/>
            </w:tcMar>
          </w:tcPr>
          <w:p w14:paraId="7DA3C023" w14:textId="77777777" w:rsidR="00C76702" w:rsidRPr="00C76702" w:rsidRDefault="00C76702" w:rsidP="00C76702">
            <w:pPr>
              <w:spacing w:after="0" w:line="240" w:lineRule="auto"/>
              <w:rPr>
                <w:noProof/>
              </w:rPr>
            </w:pPr>
            <w:r w:rsidRPr="00C76702">
              <w:rPr>
                <w:noProof/>
              </w:rPr>
              <w:t>Case Management System</w:t>
            </w:r>
          </w:p>
        </w:tc>
      </w:tr>
      <w:tr w:rsidR="00C76702" w14:paraId="584E14CF" w14:textId="77777777" w:rsidTr="00C64E21">
        <w:tc>
          <w:tcPr>
            <w:tcW w:w="3227" w:type="dxa"/>
            <w:tcMar>
              <w:top w:w="85" w:type="dxa"/>
              <w:left w:w="57" w:type="dxa"/>
              <w:bottom w:w="85" w:type="dxa"/>
              <w:right w:w="57" w:type="dxa"/>
            </w:tcMar>
          </w:tcPr>
          <w:p w14:paraId="6FCF351E" w14:textId="77777777" w:rsidR="00C76702" w:rsidRPr="00C76702" w:rsidRDefault="00C76702" w:rsidP="00C76702">
            <w:pPr>
              <w:spacing w:after="0" w:line="240" w:lineRule="auto"/>
              <w:rPr>
                <w:noProof/>
              </w:rPr>
            </w:pPr>
            <w:r w:rsidRPr="00C76702">
              <w:rPr>
                <w:noProof/>
              </w:rPr>
              <w:t>EBCGA</w:t>
            </w:r>
          </w:p>
        </w:tc>
        <w:tc>
          <w:tcPr>
            <w:tcW w:w="6379" w:type="dxa"/>
            <w:tcMar>
              <w:top w:w="85" w:type="dxa"/>
              <w:left w:w="57" w:type="dxa"/>
              <w:bottom w:w="85" w:type="dxa"/>
              <w:right w:w="57" w:type="dxa"/>
            </w:tcMar>
          </w:tcPr>
          <w:p w14:paraId="7B35C185" w14:textId="77777777" w:rsidR="00C76702" w:rsidRPr="00C76702" w:rsidRDefault="00C76702" w:rsidP="00C76702">
            <w:pPr>
              <w:spacing w:after="0" w:line="240" w:lineRule="auto"/>
              <w:rPr>
                <w:noProof/>
              </w:rPr>
            </w:pPr>
            <w:r w:rsidRPr="00C76702">
              <w:rPr>
                <w:noProof/>
              </w:rPr>
              <w:t>European Border and Coast Guard Agency (Frontex)</w:t>
            </w:r>
          </w:p>
        </w:tc>
      </w:tr>
      <w:tr w:rsidR="00C76702" w14:paraId="4A8FA03B" w14:textId="77777777" w:rsidTr="00C64E21">
        <w:tc>
          <w:tcPr>
            <w:tcW w:w="3227" w:type="dxa"/>
            <w:tcMar>
              <w:top w:w="85" w:type="dxa"/>
              <w:left w:w="57" w:type="dxa"/>
              <w:bottom w:w="85" w:type="dxa"/>
              <w:right w:w="57" w:type="dxa"/>
            </w:tcMar>
          </w:tcPr>
          <w:p w14:paraId="46812F07" w14:textId="77777777" w:rsidR="00C76702" w:rsidRPr="00C76702" w:rsidRDefault="00C76702" w:rsidP="00C76702">
            <w:pPr>
              <w:spacing w:after="0" w:line="240" w:lineRule="auto"/>
              <w:rPr>
                <w:noProof/>
              </w:rPr>
            </w:pPr>
            <w:r w:rsidRPr="00C76702">
              <w:rPr>
                <w:noProof/>
              </w:rPr>
              <w:t>EDPS</w:t>
            </w:r>
          </w:p>
        </w:tc>
        <w:tc>
          <w:tcPr>
            <w:tcW w:w="6379" w:type="dxa"/>
            <w:tcMar>
              <w:top w:w="85" w:type="dxa"/>
              <w:left w:w="57" w:type="dxa"/>
              <w:bottom w:w="85" w:type="dxa"/>
              <w:right w:w="57" w:type="dxa"/>
            </w:tcMar>
          </w:tcPr>
          <w:p w14:paraId="64F5F39C" w14:textId="77777777" w:rsidR="00C76702" w:rsidRPr="00C76702" w:rsidRDefault="00C76702" w:rsidP="00C76702">
            <w:pPr>
              <w:spacing w:after="0" w:line="240" w:lineRule="auto"/>
              <w:rPr>
                <w:noProof/>
              </w:rPr>
            </w:pPr>
            <w:r w:rsidRPr="00C76702">
              <w:rPr>
                <w:noProof/>
              </w:rPr>
              <w:t>European Data Protection Supervisor</w:t>
            </w:r>
          </w:p>
        </w:tc>
      </w:tr>
      <w:tr w:rsidR="00C76702" w14:paraId="135A8E4C" w14:textId="77777777" w:rsidTr="00C64E21">
        <w:tc>
          <w:tcPr>
            <w:tcW w:w="3227" w:type="dxa"/>
            <w:tcMar>
              <w:top w:w="85" w:type="dxa"/>
              <w:left w:w="57" w:type="dxa"/>
              <w:bottom w:w="85" w:type="dxa"/>
              <w:right w:w="57" w:type="dxa"/>
            </w:tcMar>
          </w:tcPr>
          <w:p w14:paraId="0302DB3E" w14:textId="77777777" w:rsidR="00C76702" w:rsidRPr="00C76702" w:rsidRDefault="00C76702" w:rsidP="00C76702">
            <w:pPr>
              <w:spacing w:after="0" w:line="240" w:lineRule="auto"/>
              <w:rPr>
                <w:noProof/>
              </w:rPr>
            </w:pPr>
            <w:r w:rsidRPr="00C76702">
              <w:rPr>
                <w:noProof/>
              </w:rPr>
              <w:t>E</w:t>
            </w:r>
            <w:r w:rsidR="00C65F51">
              <w:rPr>
                <w:noProof/>
              </w:rPr>
              <w:t>MCDDA</w:t>
            </w:r>
          </w:p>
        </w:tc>
        <w:tc>
          <w:tcPr>
            <w:tcW w:w="6379" w:type="dxa"/>
            <w:tcMar>
              <w:top w:w="85" w:type="dxa"/>
              <w:left w:w="57" w:type="dxa"/>
              <w:bottom w:w="85" w:type="dxa"/>
              <w:right w:w="57" w:type="dxa"/>
            </w:tcMar>
          </w:tcPr>
          <w:p w14:paraId="1FA18AE7" w14:textId="77777777" w:rsidR="00C76702" w:rsidRPr="00C76702" w:rsidRDefault="00C76702" w:rsidP="00C65F51">
            <w:pPr>
              <w:spacing w:after="0" w:line="240" w:lineRule="auto"/>
              <w:rPr>
                <w:noProof/>
              </w:rPr>
            </w:pPr>
            <w:r w:rsidRPr="00C76702">
              <w:rPr>
                <w:noProof/>
              </w:rPr>
              <w:t xml:space="preserve">European </w:t>
            </w:r>
            <w:r w:rsidR="00C65F51">
              <w:rPr>
                <w:noProof/>
              </w:rPr>
              <w:t xml:space="preserve">Monitoring Centre for Drugs and Drug Addiction  </w:t>
            </w:r>
          </w:p>
        </w:tc>
      </w:tr>
      <w:tr w:rsidR="00C76702" w14:paraId="17CCD9CD" w14:textId="77777777" w:rsidTr="00C64E21">
        <w:tc>
          <w:tcPr>
            <w:tcW w:w="3227" w:type="dxa"/>
            <w:tcMar>
              <w:top w:w="85" w:type="dxa"/>
              <w:left w:w="57" w:type="dxa"/>
              <w:bottom w:w="85" w:type="dxa"/>
              <w:right w:w="57" w:type="dxa"/>
            </w:tcMar>
          </w:tcPr>
          <w:p w14:paraId="1411C3F1" w14:textId="77777777" w:rsidR="00C76702" w:rsidRPr="00C76702" w:rsidRDefault="00C76702" w:rsidP="00C76702">
            <w:pPr>
              <w:spacing w:after="0" w:line="240" w:lineRule="auto"/>
              <w:rPr>
                <w:noProof/>
              </w:rPr>
            </w:pPr>
            <w:r w:rsidRPr="00C76702">
              <w:rPr>
                <w:noProof/>
              </w:rPr>
              <w:t>EMPACT</w:t>
            </w:r>
          </w:p>
        </w:tc>
        <w:tc>
          <w:tcPr>
            <w:tcW w:w="6379" w:type="dxa"/>
            <w:tcMar>
              <w:top w:w="85" w:type="dxa"/>
              <w:left w:w="57" w:type="dxa"/>
              <w:bottom w:w="85" w:type="dxa"/>
              <w:right w:w="57" w:type="dxa"/>
            </w:tcMar>
          </w:tcPr>
          <w:p w14:paraId="0896AF39" w14:textId="77777777" w:rsidR="00C76702" w:rsidRPr="00C76702" w:rsidRDefault="00C76702" w:rsidP="00C76702">
            <w:pPr>
              <w:spacing w:after="0" w:line="240" w:lineRule="auto"/>
              <w:rPr>
                <w:noProof/>
              </w:rPr>
            </w:pPr>
            <w:r w:rsidRPr="00C76702">
              <w:rPr>
                <w:noProof/>
              </w:rPr>
              <w:t>European Multidisciplinary Platform Against Criminal Threats</w:t>
            </w:r>
          </w:p>
        </w:tc>
      </w:tr>
      <w:tr w:rsidR="00C76702" w14:paraId="699F10D6" w14:textId="77777777" w:rsidTr="00C64E21">
        <w:tc>
          <w:tcPr>
            <w:tcW w:w="3227" w:type="dxa"/>
            <w:tcMar>
              <w:top w:w="85" w:type="dxa"/>
              <w:left w:w="57" w:type="dxa"/>
              <w:bottom w:w="85" w:type="dxa"/>
              <w:right w:w="57" w:type="dxa"/>
            </w:tcMar>
          </w:tcPr>
          <w:p w14:paraId="28CC5AE0" w14:textId="77777777" w:rsidR="00C76702" w:rsidRPr="00C76702" w:rsidRDefault="00C76702" w:rsidP="00C76702">
            <w:pPr>
              <w:spacing w:after="0" w:line="240" w:lineRule="auto"/>
              <w:rPr>
                <w:noProof/>
              </w:rPr>
            </w:pPr>
            <w:r w:rsidRPr="00C76702">
              <w:rPr>
                <w:noProof/>
              </w:rPr>
              <w:t>EU</w:t>
            </w:r>
          </w:p>
        </w:tc>
        <w:tc>
          <w:tcPr>
            <w:tcW w:w="6379" w:type="dxa"/>
            <w:tcMar>
              <w:top w:w="85" w:type="dxa"/>
              <w:left w:w="57" w:type="dxa"/>
              <w:bottom w:w="85" w:type="dxa"/>
              <w:right w:w="57" w:type="dxa"/>
            </w:tcMar>
          </w:tcPr>
          <w:p w14:paraId="42C70F34" w14:textId="77777777" w:rsidR="00C76702" w:rsidRPr="00C76702" w:rsidRDefault="00C76702" w:rsidP="00C76702">
            <w:pPr>
              <w:spacing w:after="0" w:line="240" w:lineRule="auto"/>
              <w:rPr>
                <w:noProof/>
              </w:rPr>
            </w:pPr>
            <w:r w:rsidRPr="00C76702">
              <w:rPr>
                <w:noProof/>
              </w:rPr>
              <w:t>European Union</w:t>
            </w:r>
          </w:p>
        </w:tc>
      </w:tr>
      <w:tr w:rsidR="00C76702" w14:paraId="5486F799" w14:textId="77777777" w:rsidTr="00C64E21">
        <w:tc>
          <w:tcPr>
            <w:tcW w:w="3227" w:type="dxa"/>
            <w:tcMar>
              <w:top w:w="85" w:type="dxa"/>
              <w:left w:w="57" w:type="dxa"/>
              <w:bottom w:w="85" w:type="dxa"/>
              <w:right w:w="57" w:type="dxa"/>
            </w:tcMar>
          </w:tcPr>
          <w:p w14:paraId="1655BE82" w14:textId="77777777" w:rsidR="00C76702" w:rsidRPr="00C76702" w:rsidRDefault="00C76702" w:rsidP="00C76702">
            <w:pPr>
              <w:spacing w:after="0" w:line="240" w:lineRule="auto"/>
              <w:rPr>
                <w:noProof/>
              </w:rPr>
            </w:pPr>
            <w:r w:rsidRPr="00C76702">
              <w:rPr>
                <w:noProof/>
              </w:rPr>
              <w:t>eu-LISA</w:t>
            </w:r>
          </w:p>
        </w:tc>
        <w:tc>
          <w:tcPr>
            <w:tcW w:w="6379" w:type="dxa"/>
            <w:tcMar>
              <w:top w:w="85" w:type="dxa"/>
              <w:left w:w="57" w:type="dxa"/>
              <w:bottom w:w="85" w:type="dxa"/>
              <w:right w:w="57" w:type="dxa"/>
            </w:tcMar>
          </w:tcPr>
          <w:p w14:paraId="727A2FC1" w14:textId="77777777" w:rsidR="00C76702" w:rsidRPr="00C76702" w:rsidRDefault="00C76702" w:rsidP="00C76702">
            <w:pPr>
              <w:spacing w:after="0" w:line="240" w:lineRule="auto"/>
              <w:rPr>
                <w:noProof/>
              </w:rPr>
            </w:pPr>
            <w:r w:rsidRPr="00C76702">
              <w:rPr>
                <w:noProof/>
                <w:shd w:val="clear" w:color="auto" w:fill="FFFFFF"/>
              </w:rPr>
              <w:t>European Union Agency for the Operational Management of Large-Scale IT Systems in the Area of Freedom, Security and Justice​ </w:t>
            </w:r>
          </w:p>
        </w:tc>
      </w:tr>
      <w:tr w:rsidR="00C76702" w14:paraId="5C563B4C" w14:textId="77777777" w:rsidTr="00C64E21">
        <w:tc>
          <w:tcPr>
            <w:tcW w:w="3227" w:type="dxa"/>
            <w:tcMar>
              <w:top w:w="85" w:type="dxa"/>
              <w:left w:w="57" w:type="dxa"/>
              <w:bottom w:w="85" w:type="dxa"/>
              <w:right w:w="57" w:type="dxa"/>
            </w:tcMar>
          </w:tcPr>
          <w:p w14:paraId="58D5856B" w14:textId="77777777" w:rsidR="00C76702" w:rsidRPr="00C76702" w:rsidRDefault="00C76702" w:rsidP="00C76702">
            <w:pPr>
              <w:spacing w:after="0" w:line="240" w:lineRule="auto"/>
              <w:rPr>
                <w:noProof/>
              </w:rPr>
            </w:pPr>
            <w:r w:rsidRPr="00C76702">
              <w:rPr>
                <w:noProof/>
              </w:rPr>
              <w:t>Europol</w:t>
            </w:r>
          </w:p>
        </w:tc>
        <w:tc>
          <w:tcPr>
            <w:tcW w:w="6379" w:type="dxa"/>
            <w:tcMar>
              <w:top w:w="85" w:type="dxa"/>
              <w:left w:w="57" w:type="dxa"/>
              <w:bottom w:w="85" w:type="dxa"/>
              <w:right w:w="57" w:type="dxa"/>
            </w:tcMar>
          </w:tcPr>
          <w:p w14:paraId="126C35BC" w14:textId="77777777" w:rsidR="00C76702" w:rsidRPr="00C76702" w:rsidRDefault="00C76702" w:rsidP="00C76702">
            <w:pPr>
              <w:spacing w:after="0" w:line="240" w:lineRule="auto"/>
              <w:rPr>
                <w:noProof/>
              </w:rPr>
            </w:pPr>
            <w:r w:rsidRPr="00C76702">
              <w:rPr>
                <w:noProof/>
                <w:color w:val="222222"/>
                <w:shd w:val="clear" w:color="auto" w:fill="FFFFFF"/>
              </w:rPr>
              <w:t>European Police Office</w:t>
            </w:r>
          </w:p>
        </w:tc>
      </w:tr>
      <w:tr w:rsidR="00C76702" w14:paraId="482F7752" w14:textId="77777777" w:rsidTr="00C64E21">
        <w:tc>
          <w:tcPr>
            <w:tcW w:w="3227" w:type="dxa"/>
            <w:tcMar>
              <w:top w:w="85" w:type="dxa"/>
              <w:left w:w="57" w:type="dxa"/>
              <w:bottom w:w="85" w:type="dxa"/>
              <w:right w:w="57" w:type="dxa"/>
            </w:tcMar>
          </w:tcPr>
          <w:p w14:paraId="732DAFD1" w14:textId="77777777" w:rsidR="00C76702" w:rsidRPr="00C76702" w:rsidRDefault="00C76702" w:rsidP="00C76702">
            <w:pPr>
              <w:spacing w:after="0" w:line="240" w:lineRule="auto"/>
              <w:rPr>
                <w:noProof/>
              </w:rPr>
            </w:pPr>
            <w:r w:rsidRPr="00C76702">
              <w:rPr>
                <w:noProof/>
              </w:rPr>
              <w:t>FL</w:t>
            </w:r>
          </w:p>
        </w:tc>
        <w:tc>
          <w:tcPr>
            <w:tcW w:w="6379" w:type="dxa"/>
            <w:tcMar>
              <w:top w:w="85" w:type="dxa"/>
              <w:left w:w="57" w:type="dxa"/>
              <w:bottom w:w="85" w:type="dxa"/>
              <w:right w:w="57" w:type="dxa"/>
            </w:tcMar>
          </w:tcPr>
          <w:p w14:paraId="3ABEE3A1" w14:textId="77777777" w:rsidR="00C76702" w:rsidRPr="00C76702" w:rsidRDefault="00C76702" w:rsidP="00C76702">
            <w:pPr>
              <w:spacing w:after="0" w:line="240" w:lineRule="auto"/>
              <w:rPr>
                <w:noProof/>
                <w:color w:val="222222"/>
                <w:shd w:val="clear" w:color="auto" w:fill="FFFFFF"/>
              </w:rPr>
            </w:pPr>
            <w:r w:rsidRPr="00C76702">
              <w:rPr>
                <w:noProof/>
                <w:color w:val="222222"/>
                <w:shd w:val="clear" w:color="auto" w:fill="FFFFFF"/>
              </w:rPr>
              <w:t>Fuzzy Logic</w:t>
            </w:r>
          </w:p>
        </w:tc>
      </w:tr>
      <w:tr w:rsidR="00C76702" w14:paraId="2FB92277" w14:textId="77777777" w:rsidTr="00C64E21">
        <w:tc>
          <w:tcPr>
            <w:tcW w:w="3227" w:type="dxa"/>
            <w:tcMar>
              <w:top w:w="85" w:type="dxa"/>
              <w:left w:w="57" w:type="dxa"/>
              <w:bottom w:w="85" w:type="dxa"/>
              <w:right w:w="57" w:type="dxa"/>
            </w:tcMar>
          </w:tcPr>
          <w:p w14:paraId="60016AD7" w14:textId="77777777" w:rsidR="00C76702" w:rsidRPr="00C76702" w:rsidRDefault="00C76702" w:rsidP="00C76702">
            <w:pPr>
              <w:spacing w:after="0" w:line="240" w:lineRule="auto"/>
              <w:rPr>
                <w:noProof/>
              </w:rPr>
            </w:pPr>
            <w:r w:rsidRPr="00C76702">
              <w:rPr>
                <w:noProof/>
              </w:rPr>
              <w:t>FRA</w:t>
            </w:r>
          </w:p>
        </w:tc>
        <w:tc>
          <w:tcPr>
            <w:tcW w:w="6379" w:type="dxa"/>
            <w:tcMar>
              <w:top w:w="85" w:type="dxa"/>
              <w:left w:w="57" w:type="dxa"/>
              <w:bottom w:w="85" w:type="dxa"/>
              <w:right w:w="57" w:type="dxa"/>
            </w:tcMar>
          </w:tcPr>
          <w:p w14:paraId="316CA315" w14:textId="77777777" w:rsidR="00C76702" w:rsidRPr="00C76702" w:rsidRDefault="00C76702" w:rsidP="00C76702">
            <w:pPr>
              <w:spacing w:after="0" w:line="240" w:lineRule="auto"/>
              <w:rPr>
                <w:noProof/>
              </w:rPr>
            </w:pPr>
            <w:r w:rsidRPr="00C76702">
              <w:rPr>
                <w:noProof/>
              </w:rPr>
              <w:t>Fundamental Rights Agency</w:t>
            </w:r>
          </w:p>
        </w:tc>
      </w:tr>
      <w:tr w:rsidR="00C76702" w14:paraId="0BA965F5" w14:textId="77777777" w:rsidTr="00C64E21">
        <w:tc>
          <w:tcPr>
            <w:tcW w:w="3227" w:type="dxa"/>
            <w:tcMar>
              <w:top w:w="85" w:type="dxa"/>
              <w:left w:w="57" w:type="dxa"/>
              <w:bottom w:w="85" w:type="dxa"/>
              <w:right w:w="57" w:type="dxa"/>
            </w:tcMar>
          </w:tcPr>
          <w:p w14:paraId="6C6BEDCB" w14:textId="77777777" w:rsidR="00C76702" w:rsidRPr="00C76702" w:rsidRDefault="00C76702" w:rsidP="00C76702">
            <w:pPr>
              <w:spacing w:after="0" w:line="240" w:lineRule="auto"/>
              <w:rPr>
                <w:noProof/>
              </w:rPr>
            </w:pPr>
            <w:r w:rsidRPr="00C76702">
              <w:rPr>
                <w:noProof/>
              </w:rPr>
              <w:t>JHA</w:t>
            </w:r>
          </w:p>
        </w:tc>
        <w:tc>
          <w:tcPr>
            <w:tcW w:w="6379" w:type="dxa"/>
            <w:tcMar>
              <w:top w:w="85" w:type="dxa"/>
              <w:left w:w="57" w:type="dxa"/>
              <w:bottom w:w="85" w:type="dxa"/>
              <w:right w:w="57" w:type="dxa"/>
            </w:tcMar>
          </w:tcPr>
          <w:p w14:paraId="038E784A" w14:textId="77777777" w:rsidR="00C76702" w:rsidRPr="00C76702" w:rsidRDefault="00C76702" w:rsidP="00C76702">
            <w:pPr>
              <w:spacing w:after="0" w:line="240" w:lineRule="auto"/>
              <w:rPr>
                <w:noProof/>
              </w:rPr>
            </w:pPr>
            <w:r w:rsidRPr="00C76702">
              <w:rPr>
                <w:noProof/>
              </w:rPr>
              <w:t>Justice &amp; Home Affairs</w:t>
            </w:r>
          </w:p>
        </w:tc>
      </w:tr>
      <w:tr w:rsidR="00C76702" w14:paraId="65771134" w14:textId="77777777" w:rsidTr="00C64E21">
        <w:tc>
          <w:tcPr>
            <w:tcW w:w="3227" w:type="dxa"/>
            <w:tcMar>
              <w:top w:w="85" w:type="dxa"/>
              <w:left w:w="57" w:type="dxa"/>
              <w:bottom w:w="85" w:type="dxa"/>
              <w:right w:w="57" w:type="dxa"/>
            </w:tcMar>
          </w:tcPr>
          <w:p w14:paraId="7CB92EE2" w14:textId="77777777" w:rsidR="00C76702" w:rsidRPr="00C76702" w:rsidRDefault="00C76702" w:rsidP="00C76702">
            <w:pPr>
              <w:spacing w:after="0" w:line="240" w:lineRule="auto"/>
              <w:rPr>
                <w:noProof/>
              </w:rPr>
            </w:pPr>
            <w:r w:rsidRPr="00C76702">
              <w:rPr>
                <w:noProof/>
              </w:rPr>
              <w:t>LEAs</w:t>
            </w:r>
          </w:p>
        </w:tc>
        <w:tc>
          <w:tcPr>
            <w:tcW w:w="6379" w:type="dxa"/>
            <w:tcMar>
              <w:top w:w="85" w:type="dxa"/>
              <w:left w:w="57" w:type="dxa"/>
              <w:bottom w:w="85" w:type="dxa"/>
              <w:right w:w="57" w:type="dxa"/>
            </w:tcMar>
          </w:tcPr>
          <w:p w14:paraId="67488DDC" w14:textId="77777777" w:rsidR="00C76702" w:rsidRPr="00C76702" w:rsidRDefault="00C76702" w:rsidP="00C76702">
            <w:pPr>
              <w:spacing w:after="0" w:line="240" w:lineRule="auto"/>
              <w:rPr>
                <w:noProof/>
              </w:rPr>
            </w:pPr>
            <w:r w:rsidRPr="00C76702">
              <w:rPr>
                <w:noProof/>
              </w:rPr>
              <w:t>Law Enforcement Authorities</w:t>
            </w:r>
          </w:p>
        </w:tc>
      </w:tr>
      <w:tr w:rsidR="00C76702" w14:paraId="7044BAD8" w14:textId="77777777" w:rsidTr="00C64E21">
        <w:tc>
          <w:tcPr>
            <w:tcW w:w="3227" w:type="dxa"/>
            <w:tcMar>
              <w:top w:w="85" w:type="dxa"/>
              <w:left w:w="57" w:type="dxa"/>
              <w:bottom w:w="85" w:type="dxa"/>
              <w:right w:w="57" w:type="dxa"/>
            </w:tcMar>
          </w:tcPr>
          <w:p w14:paraId="23DBE164" w14:textId="77777777" w:rsidR="00C76702" w:rsidRPr="00C76702" w:rsidRDefault="00C76702" w:rsidP="00C76702">
            <w:pPr>
              <w:spacing w:after="0" w:line="240" w:lineRule="auto"/>
              <w:rPr>
                <w:noProof/>
              </w:rPr>
            </w:pPr>
            <w:r w:rsidRPr="00C76702">
              <w:rPr>
                <w:noProof/>
              </w:rPr>
              <w:t>LEWP</w:t>
            </w:r>
          </w:p>
        </w:tc>
        <w:tc>
          <w:tcPr>
            <w:tcW w:w="6379" w:type="dxa"/>
            <w:tcMar>
              <w:top w:w="85" w:type="dxa"/>
              <w:left w:w="57" w:type="dxa"/>
              <w:bottom w:w="85" w:type="dxa"/>
              <w:right w:w="57" w:type="dxa"/>
            </w:tcMar>
          </w:tcPr>
          <w:p w14:paraId="45628994" w14:textId="77777777" w:rsidR="00C76702" w:rsidRPr="00C76702" w:rsidRDefault="00C76702" w:rsidP="00C76702">
            <w:pPr>
              <w:spacing w:after="0" w:line="240" w:lineRule="auto"/>
              <w:rPr>
                <w:noProof/>
              </w:rPr>
            </w:pPr>
            <w:r w:rsidRPr="00C76702">
              <w:rPr>
                <w:noProof/>
              </w:rPr>
              <w:t>Law Enforcement Working Party</w:t>
            </w:r>
          </w:p>
        </w:tc>
      </w:tr>
      <w:tr w:rsidR="00C76702" w14:paraId="217BF272" w14:textId="77777777" w:rsidTr="00C64E21">
        <w:tc>
          <w:tcPr>
            <w:tcW w:w="3227" w:type="dxa"/>
            <w:tcMar>
              <w:top w:w="85" w:type="dxa"/>
              <w:left w:w="57" w:type="dxa"/>
              <w:bottom w:w="85" w:type="dxa"/>
              <w:right w:w="57" w:type="dxa"/>
            </w:tcMar>
          </w:tcPr>
          <w:p w14:paraId="17C0E6A2" w14:textId="77777777" w:rsidR="00C76702" w:rsidRPr="00C76702" w:rsidRDefault="00C76702" w:rsidP="00C76702">
            <w:pPr>
              <w:spacing w:after="0" w:line="240" w:lineRule="auto"/>
              <w:rPr>
                <w:noProof/>
              </w:rPr>
            </w:pPr>
            <w:r w:rsidRPr="00C76702">
              <w:rPr>
                <w:noProof/>
              </w:rPr>
              <w:t>Naples II Convention</w:t>
            </w:r>
          </w:p>
        </w:tc>
        <w:tc>
          <w:tcPr>
            <w:tcW w:w="6379" w:type="dxa"/>
            <w:tcMar>
              <w:top w:w="85" w:type="dxa"/>
              <w:left w:w="57" w:type="dxa"/>
              <w:bottom w:w="85" w:type="dxa"/>
              <w:right w:w="57" w:type="dxa"/>
            </w:tcMar>
          </w:tcPr>
          <w:p w14:paraId="5E5C998F" w14:textId="77777777" w:rsidR="00C76702" w:rsidRPr="00C76702" w:rsidRDefault="00C76702" w:rsidP="00C76702">
            <w:pPr>
              <w:spacing w:after="0" w:line="240" w:lineRule="auto"/>
              <w:rPr>
                <w:noProof/>
              </w:rPr>
            </w:pPr>
            <w:r w:rsidRPr="00C76702">
              <w:rPr>
                <w:noProof/>
                <w:shd w:val="clear" w:color="auto" w:fill="FFFFFF"/>
              </w:rPr>
              <w:t>Convention on mutual assistance and cooperation between customs administrations </w:t>
            </w:r>
          </w:p>
        </w:tc>
      </w:tr>
      <w:tr w:rsidR="00C76702" w14:paraId="6DBAE624" w14:textId="77777777" w:rsidTr="00C64E21">
        <w:tc>
          <w:tcPr>
            <w:tcW w:w="3227" w:type="dxa"/>
            <w:tcMar>
              <w:top w:w="85" w:type="dxa"/>
              <w:left w:w="57" w:type="dxa"/>
              <w:bottom w:w="85" w:type="dxa"/>
              <w:right w:w="57" w:type="dxa"/>
            </w:tcMar>
          </w:tcPr>
          <w:p w14:paraId="2B10BDAE" w14:textId="77777777" w:rsidR="00C76702" w:rsidRPr="00C76702" w:rsidRDefault="00C76702" w:rsidP="00C76702">
            <w:pPr>
              <w:spacing w:after="0" w:line="240" w:lineRule="auto"/>
              <w:rPr>
                <w:noProof/>
              </w:rPr>
            </w:pPr>
            <w:r w:rsidRPr="00C76702">
              <w:rPr>
                <w:noProof/>
              </w:rPr>
              <w:t>OCG</w:t>
            </w:r>
          </w:p>
        </w:tc>
        <w:tc>
          <w:tcPr>
            <w:tcW w:w="6379" w:type="dxa"/>
            <w:tcMar>
              <w:top w:w="85" w:type="dxa"/>
              <w:left w:w="57" w:type="dxa"/>
              <w:bottom w:w="85" w:type="dxa"/>
              <w:right w:w="57" w:type="dxa"/>
            </w:tcMar>
          </w:tcPr>
          <w:p w14:paraId="3C4993E1" w14:textId="77777777" w:rsidR="00C76702" w:rsidRPr="00C76702" w:rsidRDefault="00C76702" w:rsidP="00C76702">
            <w:pPr>
              <w:spacing w:after="0" w:line="240" w:lineRule="auto"/>
              <w:rPr>
                <w:noProof/>
              </w:rPr>
            </w:pPr>
            <w:r w:rsidRPr="00C76702">
              <w:rPr>
                <w:noProof/>
              </w:rPr>
              <w:t>Organised Criminal Group(s)</w:t>
            </w:r>
          </w:p>
        </w:tc>
      </w:tr>
      <w:tr w:rsidR="00C76702" w14:paraId="33AEA49C" w14:textId="77777777" w:rsidTr="00C64E21">
        <w:tc>
          <w:tcPr>
            <w:tcW w:w="3227" w:type="dxa"/>
            <w:tcMar>
              <w:top w:w="85" w:type="dxa"/>
              <w:left w:w="57" w:type="dxa"/>
              <w:bottom w:w="85" w:type="dxa"/>
              <w:right w:w="57" w:type="dxa"/>
            </w:tcMar>
          </w:tcPr>
          <w:p w14:paraId="361BF741" w14:textId="77777777" w:rsidR="00C76702" w:rsidRPr="00C76702" w:rsidRDefault="00C76702" w:rsidP="00C76702">
            <w:pPr>
              <w:spacing w:after="0" w:line="240" w:lineRule="auto"/>
              <w:rPr>
                <w:noProof/>
              </w:rPr>
            </w:pPr>
            <w:r w:rsidRPr="00C76702">
              <w:rPr>
                <w:noProof/>
              </w:rPr>
              <w:t>OLAF</w:t>
            </w:r>
          </w:p>
        </w:tc>
        <w:tc>
          <w:tcPr>
            <w:tcW w:w="6379" w:type="dxa"/>
            <w:tcMar>
              <w:top w:w="85" w:type="dxa"/>
              <w:left w:w="57" w:type="dxa"/>
              <w:bottom w:w="85" w:type="dxa"/>
              <w:right w:w="57" w:type="dxa"/>
            </w:tcMar>
          </w:tcPr>
          <w:p w14:paraId="69E93BF9" w14:textId="77777777" w:rsidR="00C76702" w:rsidRPr="00C76702" w:rsidRDefault="00C76702" w:rsidP="00C76702">
            <w:pPr>
              <w:spacing w:after="0" w:line="240" w:lineRule="auto"/>
              <w:rPr>
                <w:noProof/>
              </w:rPr>
            </w:pPr>
            <w:r w:rsidRPr="00C76702">
              <w:rPr>
                <w:noProof/>
              </w:rPr>
              <w:t>European Anti-Fraud Office</w:t>
            </w:r>
          </w:p>
        </w:tc>
      </w:tr>
      <w:tr w:rsidR="00C76702" w14:paraId="1C00E8B4" w14:textId="77777777" w:rsidTr="00C64E21">
        <w:tc>
          <w:tcPr>
            <w:tcW w:w="3227" w:type="dxa"/>
            <w:tcMar>
              <w:top w:w="85" w:type="dxa"/>
              <w:left w:w="57" w:type="dxa"/>
              <w:bottom w:w="85" w:type="dxa"/>
              <w:right w:w="57" w:type="dxa"/>
            </w:tcMar>
          </w:tcPr>
          <w:p w14:paraId="4DEDD6C1" w14:textId="77777777" w:rsidR="00C76702" w:rsidRPr="00C76702" w:rsidRDefault="00C76702" w:rsidP="00C76702">
            <w:pPr>
              <w:spacing w:after="0" w:line="240" w:lineRule="auto"/>
              <w:rPr>
                <w:noProof/>
              </w:rPr>
            </w:pPr>
            <w:r w:rsidRPr="00C76702">
              <w:rPr>
                <w:noProof/>
              </w:rPr>
              <w:t>PCCC</w:t>
            </w:r>
          </w:p>
        </w:tc>
        <w:tc>
          <w:tcPr>
            <w:tcW w:w="6379" w:type="dxa"/>
            <w:tcMar>
              <w:top w:w="85" w:type="dxa"/>
              <w:left w:w="57" w:type="dxa"/>
              <w:bottom w:w="85" w:type="dxa"/>
              <w:right w:w="57" w:type="dxa"/>
            </w:tcMar>
          </w:tcPr>
          <w:p w14:paraId="38547B09" w14:textId="77777777" w:rsidR="00C76702" w:rsidRPr="00C76702" w:rsidRDefault="00C76702" w:rsidP="00C76702">
            <w:pPr>
              <w:spacing w:after="0" w:line="240" w:lineRule="auto"/>
              <w:rPr>
                <w:noProof/>
              </w:rPr>
            </w:pPr>
            <w:r w:rsidRPr="00C76702">
              <w:rPr>
                <w:noProof/>
              </w:rPr>
              <w:t>Police and Customs Cooperation Centres</w:t>
            </w:r>
          </w:p>
        </w:tc>
      </w:tr>
      <w:tr w:rsidR="00C76702" w14:paraId="622717FD" w14:textId="77777777" w:rsidTr="00C64E21">
        <w:tc>
          <w:tcPr>
            <w:tcW w:w="3227" w:type="dxa"/>
            <w:tcMar>
              <w:top w:w="85" w:type="dxa"/>
              <w:left w:w="57" w:type="dxa"/>
              <w:bottom w:w="85" w:type="dxa"/>
              <w:right w:w="57" w:type="dxa"/>
            </w:tcMar>
          </w:tcPr>
          <w:p w14:paraId="69EC1276" w14:textId="77777777" w:rsidR="00C76702" w:rsidRPr="00C76702" w:rsidRDefault="00C76702" w:rsidP="00C76702">
            <w:pPr>
              <w:spacing w:after="0" w:line="240" w:lineRule="auto"/>
              <w:rPr>
                <w:noProof/>
              </w:rPr>
            </w:pPr>
            <w:r w:rsidRPr="00C76702">
              <w:rPr>
                <w:noProof/>
              </w:rPr>
              <w:t>SAC</w:t>
            </w:r>
          </w:p>
        </w:tc>
        <w:tc>
          <w:tcPr>
            <w:tcW w:w="6379" w:type="dxa"/>
            <w:tcMar>
              <w:top w:w="85" w:type="dxa"/>
              <w:left w:w="57" w:type="dxa"/>
              <w:bottom w:w="85" w:type="dxa"/>
              <w:right w:w="57" w:type="dxa"/>
            </w:tcMar>
          </w:tcPr>
          <w:p w14:paraId="208D273D" w14:textId="77777777" w:rsidR="00C76702" w:rsidRPr="00C76702" w:rsidRDefault="00C76702" w:rsidP="00C76702">
            <w:pPr>
              <w:spacing w:after="0" w:line="240" w:lineRule="auto"/>
              <w:rPr>
                <w:noProof/>
              </w:rPr>
            </w:pPr>
            <w:r w:rsidRPr="00C76702">
              <w:rPr>
                <w:noProof/>
              </w:rPr>
              <w:t>Schengen Associated Countries</w:t>
            </w:r>
          </w:p>
        </w:tc>
      </w:tr>
      <w:tr w:rsidR="00C76702" w14:paraId="374DEA93" w14:textId="77777777" w:rsidTr="00C64E21">
        <w:tc>
          <w:tcPr>
            <w:tcW w:w="3227" w:type="dxa"/>
            <w:tcMar>
              <w:top w:w="85" w:type="dxa"/>
              <w:left w:w="57" w:type="dxa"/>
              <w:bottom w:w="85" w:type="dxa"/>
              <w:right w:w="57" w:type="dxa"/>
            </w:tcMar>
          </w:tcPr>
          <w:p w14:paraId="10D03408" w14:textId="77777777" w:rsidR="00C76702" w:rsidRPr="00C76702" w:rsidRDefault="00C76702" w:rsidP="00C76702">
            <w:pPr>
              <w:spacing w:after="0" w:line="240" w:lineRule="auto"/>
              <w:rPr>
                <w:noProof/>
              </w:rPr>
            </w:pPr>
            <w:r w:rsidRPr="00C76702">
              <w:rPr>
                <w:noProof/>
              </w:rPr>
              <w:t>SOC</w:t>
            </w:r>
          </w:p>
        </w:tc>
        <w:tc>
          <w:tcPr>
            <w:tcW w:w="6379" w:type="dxa"/>
            <w:tcMar>
              <w:top w:w="85" w:type="dxa"/>
              <w:left w:w="57" w:type="dxa"/>
              <w:bottom w:w="85" w:type="dxa"/>
              <w:right w:w="57" w:type="dxa"/>
            </w:tcMar>
          </w:tcPr>
          <w:p w14:paraId="1E68D8B2" w14:textId="77777777" w:rsidR="00C76702" w:rsidRPr="00C76702" w:rsidRDefault="00C76702" w:rsidP="00C76702">
            <w:pPr>
              <w:spacing w:after="0" w:line="240" w:lineRule="auto"/>
              <w:rPr>
                <w:noProof/>
              </w:rPr>
            </w:pPr>
            <w:r w:rsidRPr="00C76702">
              <w:rPr>
                <w:noProof/>
              </w:rPr>
              <w:t>Serious and Organised Crime</w:t>
            </w:r>
          </w:p>
        </w:tc>
      </w:tr>
      <w:tr w:rsidR="00C76702" w14:paraId="3C8FA62F" w14:textId="77777777" w:rsidTr="00C64E21">
        <w:tc>
          <w:tcPr>
            <w:tcW w:w="3227" w:type="dxa"/>
            <w:tcMar>
              <w:top w:w="85" w:type="dxa"/>
              <w:left w:w="57" w:type="dxa"/>
              <w:bottom w:w="85" w:type="dxa"/>
              <w:right w:w="57" w:type="dxa"/>
            </w:tcMar>
          </w:tcPr>
          <w:p w14:paraId="432CCEF0" w14:textId="77777777" w:rsidR="00C76702" w:rsidRPr="00C76702" w:rsidRDefault="00C76702" w:rsidP="00C76702">
            <w:pPr>
              <w:spacing w:after="0" w:line="240" w:lineRule="auto"/>
              <w:rPr>
                <w:noProof/>
              </w:rPr>
            </w:pPr>
            <w:r w:rsidRPr="00C76702">
              <w:rPr>
                <w:noProof/>
              </w:rPr>
              <w:t>SFD</w:t>
            </w:r>
          </w:p>
        </w:tc>
        <w:tc>
          <w:tcPr>
            <w:tcW w:w="6379" w:type="dxa"/>
            <w:tcMar>
              <w:top w:w="85" w:type="dxa"/>
              <w:left w:w="57" w:type="dxa"/>
              <w:bottom w:w="85" w:type="dxa"/>
              <w:right w:w="57" w:type="dxa"/>
            </w:tcMar>
          </w:tcPr>
          <w:p w14:paraId="290B963F" w14:textId="77777777" w:rsidR="00C76702" w:rsidRPr="00C76702" w:rsidRDefault="00C76702" w:rsidP="00C76702">
            <w:pPr>
              <w:spacing w:after="0" w:line="240" w:lineRule="auto"/>
              <w:rPr>
                <w:noProof/>
              </w:rPr>
            </w:pPr>
            <w:r w:rsidRPr="00C76702">
              <w:rPr>
                <w:noProof/>
              </w:rPr>
              <w:t>Swedish Framework Decision</w:t>
            </w:r>
          </w:p>
        </w:tc>
      </w:tr>
      <w:tr w:rsidR="00C76702" w14:paraId="12AF09C3" w14:textId="77777777" w:rsidTr="00C64E21">
        <w:tc>
          <w:tcPr>
            <w:tcW w:w="3227" w:type="dxa"/>
            <w:tcMar>
              <w:top w:w="85" w:type="dxa"/>
              <w:left w:w="57" w:type="dxa"/>
              <w:bottom w:w="85" w:type="dxa"/>
              <w:right w:w="57" w:type="dxa"/>
            </w:tcMar>
          </w:tcPr>
          <w:p w14:paraId="6DE734DC" w14:textId="77777777" w:rsidR="00C76702" w:rsidRPr="00C76702" w:rsidRDefault="00C76702" w:rsidP="00C76702">
            <w:pPr>
              <w:spacing w:after="0" w:line="240" w:lineRule="auto"/>
              <w:rPr>
                <w:noProof/>
              </w:rPr>
            </w:pPr>
            <w:r w:rsidRPr="00C76702">
              <w:rPr>
                <w:noProof/>
              </w:rPr>
              <w:t>SIENA</w:t>
            </w:r>
          </w:p>
        </w:tc>
        <w:tc>
          <w:tcPr>
            <w:tcW w:w="6379" w:type="dxa"/>
            <w:tcMar>
              <w:top w:w="85" w:type="dxa"/>
              <w:left w:w="57" w:type="dxa"/>
              <w:bottom w:w="85" w:type="dxa"/>
              <w:right w:w="57" w:type="dxa"/>
            </w:tcMar>
          </w:tcPr>
          <w:p w14:paraId="59E3C951" w14:textId="77777777" w:rsidR="00C76702" w:rsidRPr="00C76702" w:rsidRDefault="00C76702" w:rsidP="00C76702">
            <w:pPr>
              <w:spacing w:after="0" w:line="240" w:lineRule="auto"/>
              <w:rPr>
                <w:noProof/>
              </w:rPr>
            </w:pPr>
            <w:r w:rsidRPr="00C76702">
              <w:rPr>
                <w:noProof/>
              </w:rPr>
              <w:t>Secure Information Exchange Network Application</w:t>
            </w:r>
          </w:p>
        </w:tc>
      </w:tr>
      <w:tr w:rsidR="00C76702" w14:paraId="4538BB34" w14:textId="77777777" w:rsidTr="00C64E21">
        <w:tc>
          <w:tcPr>
            <w:tcW w:w="3227" w:type="dxa"/>
            <w:tcMar>
              <w:top w:w="85" w:type="dxa"/>
              <w:left w:w="57" w:type="dxa"/>
              <w:bottom w:w="85" w:type="dxa"/>
              <w:right w:w="57" w:type="dxa"/>
            </w:tcMar>
          </w:tcPr>
          <w:p w14:paraId="60162F71" w14:textId="77777777" w:rsidR="00C76702" w:rsidRPr="00C76702" w:rsidRDefault="00C76702" w:rsidP="00C76702">
            <w:pPr>
              <w:spacing w:after="0" w:line="240" w:lineRule="auto"/>
              <w:rPr>
                <w:noProof/>
              </w:rPr>
            </w:pPr>
            <w:r w:rsidRPr="00C76702">
              <w:rPr>
                <w:noProof/>
              </w:rPr>
              <w:t>SIRENE</w:t>
            </w:r>
          </w:p>
        </w:tc>
        <w:tc>
          <w:tcPr>
            <w:tcW w:w="6379" w:type="dxa"/>
            <w:tcMar>
              <w:top w:w="85" w:type="dxa"/>
              <w:left w:w="57" w:type="dxa"/>
              <w:bottom w:w="85" w:type="dxa"/>
              <w:right w:w="57" w:type="dxa"/>
            </w:tcMar>
          </w:tcPr>
          <w:p w14:paraId="4E26E555" w14:textId="77777777" w:rsidR="00C76702" w:rsidRPr="00C76702" w:rsidRDefault="00C76702" w:rsidP="00C76702">
            <w:pPr>
              <w:spacing w:after="0" w:line="240" w:lineRule="auto"/>
              <w:rPr>
                <w:noProof/>
              </w:rPr>
            </w:pPr>
            <w:r w:rsidRPr="00C76702">
              <w:rPr>
                <w:noProof/>
                <w:spacing w:val="4"/>
                <w:shd w:val="clear" w:color="auto" w:fill="FFFFFF"/>
              </w:rPr>
              <w:t>Supplementary Information Request at the National Entries</w:t>
            </w:r>
          </w:p>
        </w:tc>
      </w:tr>
      <w:tr w:rsidR="00C76702" w14:paraId="22309056" w14:textId="77777777" w:rsidTr="00C64E21">
        <w:tc>
          <w:tcPr>
            <w:tcW w:w="3227" w:type="dxa"/>
            <w:tcMar>
              <w:top w:w="85" w:type="dxa"/>
              <w:left w:w="57" w:type="dxa"/>
              <w:bottom w:w="85" w:type="dxa"/>
              <w:right w:w="57" w:type="dxa"/>
            </w:tcMar>
          </w:tcPr>
          <w:p w14:paraId="2C72A51D" w14:textId="77777777" w:rsidR="00C76702" w:rsidRPr="00C76702" w:rsidRDefault="00C76702" w:rsidP="00C76702">
            <w:pPr>
              <w:spacing w:after="0" w:line="240" w:lineRule="auto"/>
              <w:rPr>
                <w:noProof/>
              </w:rPr>
            </w:pPr>
            <w:r w:rsidRPr="00C76702">
              <w:rPr>
                <w:noProof/>
              </w:rPr>
              <w:t>SPOC</w:t>
            </w:r>
          </w:p>
        </w:tc>
        <w:tc>
          <w:tcPr>
            <w:tcW w:w="6379" w:type="dxa"/>
            <w:tcMar>
              <w:top w:w="85" w:type="dxa"/>
              <w:left w:w="57" w:type="dxa"/>
              <w:bottom w:w="85" w:type="dxa"/>
              <w:right w:w="57" w:type="dxa"/>
            </w:tcMar>
          </w:tcPr>
          <w:p w14:paraId="4535209A" w14:textId="77777777" w:rsidR="00C76702" w:rsidRPr="00C76702" w:rsidRDefault="00C76702" w:rsidP="00C76702">
            <w:pPr>
              <w:spacing w:after="0" w:line="240" w:lineRule="auto"/>
              <w:rPr>
                <w:noProof/>
              </w:rPr>
            </w:pPr>
            <w:r w:rsidRPr="00C76702">
              <w:rPr>
                <w:noProof/>
              </w:rPr>
              <w:t>Single Points of Contact</w:t>
            </w:r>
          </w:p>
        </w:tc>
      </w:tr>
      <w:tr w:rsidR="00C76702" w14:paraId="28B2AF6C" w14:textId="77777777" w:rsidTr="00C64E21">
        <w:tc>
          <w:tcPr>
            <w:tcW w:w="3227" w:type="dxa"/>
            <w:tcMar>
              <w:top w:w="85" w:type="dxa"/>
              <w:left w:w="57" w:type="dxa"/>
              <w:bottom w:w="85" w:type="dxa"/>
              <w:right w:w="57" w:type="dxa"/>
            </w:tcMar>
          </w:tcPr>
          <w:p w14:paraId="3C1DE54B" w14:textId="77777777" w:rsidR="00C76702" w:rsidRPr="00C76702" w:rsidRDefault="00C76702" w:rsidP="00C76702">
            <w:pPr>
              <w:spacing w:after="0" w:line="240" w:lineRule="auto"/>
              <w:rPr>
                <w:noProof/>
              </w:rPr>
            </w:pPr>
            <w:r w:rsidRPr="00C76702">
              <w:rPr>
                <w:noProof/>
              </w:rPr>
              <w:t>TEU</w:t>
            </w:r>
          </w:p>
        </w:tc>
        <w:tc>
          <w:tcPr>
            <w:tcW w:w="6379" w:type="dxa"/>
            <w:tcMar>
              <w:top w:w="85" w:type="dxa"/>
              <w:left w:w="57" w:type="dxa"/>
              <w:bottom w:w="85" w:type="dxa"/>
              <w:right w:w="57" w:type="dxa"/>
            </w:tcMar>
          </w:tcPr>
          <w:p w14:paraId="61F254F9" w14:textId="77777777" w:rsidR="00C76702" w:rsidRPr="00C76702" w:rsidRDefault="00C76702" w:rsidP="00C76702">
            <w:pPr>
              <w:spacing w:after="0" w:line="240" w:lineRule="auto"/>
              <w:rPr>
                <w:noProof/>
              </w:rPr>
            </w:pPr>
            <w:r w:rsidRPr="00C76702">
              <w:rPr>
                <w:noProof/>
              </w:rPr>
              <w:t>Treaty on European Union</w:t>
            </w:r>
          </w:p>
        </w:tc>
      </w:tr>
      <w:tr w:rsidR="00C76702" w14:paraId="23F2B621" w14:textId="77777777" w:rsidTr="00C64E21">
        <w:tc>
          <w:tcPr>
            <w:tcW w:w="3227" w:type="dxa"/>
            <w:tcMar>
              <w:top w:w="85" w:type="dxa"/>
              <w:left w:w="57" w:type="dxa"/>
              <w:bottom w:w="85" w:type="dxa"/>
              <w:right w:w="57" w:type="dxa"/>
            </w:tcMar>
          </w:tcPr>
          <w:p w14:paraId="6A008957" w14:textId="77777777" w:rsidR="00C76702" w:rsidRPr="00C76702" w:rsidRDefault="00C76702" w:rsidP="00C76702">
            <w:pPr>
              <w:spacing w:after="0" w:line="240" w:lineRule="auto"/>
              <w:rPr>
                <w:noProof/>
              </w:rPr>
            </w:pPr>
            <w:r w:rsidRPr="00C76702">
              <w:rPr>
                <w:noProof/>
              </w:rPr>
              <w:t>TFEU</w:t>
            </w:r>
          </w:p>
        </w:tc>
        <w:tc>
          <w:tcPr>
            <w:tcW w:w="6379" w:type="dxa"/>
            <w:tcMar>
              <w:top w:w="85" w:type="dxa"/>
              <w:left w:w="57" w:type="dxa"/>
              <w:bottom w:w="85" w:type="dxa"/>
              <w:right w:w="57" w:type="dxa"/>
            </w:tcMar>
          </w:tcPr>
          <w:p w14:paraId="31A1B6E8" w14:textId="77777777" w:rsidR="00C76702" w:rsidRPr="00C76702" w:rsidRDefault="00C76702" w:rsidP="00C76702">
            <w:pPr>
              <w:spacing w:after="0" w:line="240" w:lineRule="auto"/>
              <w:rPr>
                <w:noProof/>
              </w:rPr>
            </w:pPr>
            <w:r w:rsidRPr="00C76702">
              <w:rPr>
                <w:noProof/>
              </w:rPr>
              <w:t>Treaty on the Functioning of the European Union</w:t>
            </w:r>
          </w:p>
        </w:tc>
      </w:tr>
    </w:tbl>
    <w:p w14:paraId="3141CD48" w14:textId="77777777" w:rsidR="00C64E21" w:rsidRDefault="00C64E21" w:rsidP="00C64E21">
      <w:pPr>
        <w:rPr>
          <w:rFonts w:ascii="Times New Roman Bold" w:hAnsi="Times New Roman Bold"/>
          <w:b/>
          <w:smallCaps/>
          <w:noProof/>
          <w:szCs w:val="28"/>
        </w:rPr>
      </w:pPr>
      <w:bookmarkStart w:id="4" w:name="_Toc48897624"/>
      <w:bookmarkStart w:id="5" w:name="_Toc74838147"/>
    </w:p>
    <w:p w14:paraId="446D0CF6" w14:textId="77777777" w:rsidR="00C64E21" w:rsidRDefault="00C64E21" w:rsidP="00C64E21">
      <w:pPr>
        <w:rPr>
          <w:rFonts w:ascii="Times New Roman Bold" w:hAnsi="Times New Roman Bold"/>
          <w:b/>
          <w:smallCaps/>
          <w:noProof/>
          <w:szCs w:val="28"/>
        </w:rPr>
      </w:pPr>
    </w:p>
    <w:p w14:paraId="26970FFC" w14:textId="77777777" w:rsidR="00773804" w:rsidRDefault="00773804" w:rsidP="00773804">
      <w:pPr>
        <w:pStyle w:val="Text1"/>
        <w:rPr>
          <w:noProof/>
          <w:highlight w:val="yellow"/>
        </w:rPr>
      </w:pPr>
    </w:p>
    <w:p w14:paraId="0C4D0F7E" w14:textId="33A770C7" w:rsidR="00C76702" w:rsidRPr="00B07629" w:rsidRDefault="00173E60" w:rsidP="00173E60">
      <w:pPr>
        <w:pStyle w:val="Heading1"/>
        <w:rPr>
          <w:noProof/>
        </w:rPr>
      </w:pPr>
      <w:bookmarkStart w:id="6" w:name="_Toc83801007"/>
      <w:r w:rsidRPr="00173E60">
        <w:t>1.</w:t>
      </w:r>
      <w:r w:rsidRPr="00173E60">
        <w:tab/>
      </w:r>
      <w:r w:rsidR="00C76702" w:rsidRPr="00B07629">
        <w:rPr>
          <w:noProof/>
        </w:rPr>
        <w:t>Introduction: Political and legal context</w:t>
      </w:r>
      <w:bookmarkEnd w:id="4"/>
      <w:bookmarkEnd w:id="5"/>
      <w:bookmarkEnd w:id="6"/>
    </w:p>
    <w:p w14:paraId="0357F931" w14:textId="77777777" w:rsidR="00DE7D86" w:rsidRPr="00094199" w:rsidRDefault="00094199" w:rsidP="00094199">
      <w:pPr>
        <w:pStyle w:val="Heading2"/>
        <w:rPr>
          <w:noProof/>
        </w:rPr>
      </w:pPr>
      <w:r w:rsidRPr="00094199">
        <w:rPr>
          <w:noProof/>
        </w:rPr>
        <w:t xml:space="preserve">  </w:t>
      </w:r>
      <w:bookmarkStart w:id="7" w:name="_Toc83801008"/>
      <w:r w:rsidR="00DE7D86" w:rsidRPr="00094199">
        <w:rPr>
          <w:noProof/>
        </w:rPr>
        <w:t>Background</w:t>
      </w:r>
      <w:bookmarkEnd w:id="7"/>
    </w:p>
    <w:p w14:paraId="60FF8AEA" w14:textId="4DFC5935" w:rsidR="000B505F" w:rsidRDefault="00993F16" w:rsidP="00D81CA1">
      <w:pPr>
        <w:pStyle w:val="Body"/>
        <w:spacing w:after="120"/>
        <w:jc w:val="both"/>
        <w:rPr>
          <w:rFonts w:ascii="Times New Roman" w:eastAsia="Calibri" w:hAnsi="Times New Roman"/>
          <w:noProof/>
          <w:sz w:val="24"/>
          <w:szCs w:val="24"/>
        </w:rPr>
      </w:pPr>
      <w:r w:rsidRPr="00A213FF">
        <w:rPr>
          <w:rFonts w:ascii="Times New Roman" w:hAnsi="Times New Roman"/>
          <w:noProof/>
          <w:sz w:val="24"/>
          <w:szCs w:val="24"/>
        </w:rPr>
        <w:t>Security and cross-border crime are, by definition, international issue</w:t>
      </w:r>
      <w:r w:rsidR="00873DB2">
        <w:rPr>
          <w:rFonts w:ascii="Times New Roman" w:hAnsi="Times New Roman"/>
          <w:noProof/>
          <w:sz w:val="24"/>
          <w:szCs w:val="24"/>
        </w:rPr>
        <w:t>s</w:t>
      </w:r>
      <w:r w:rsidRPr="00A213FF">
        <w:rPr>
          <w:rFonts w:ascii="Times New Roman" w:hAnsi="Times New Roman"/>
          <w:noProof/>
          <w:sz w:val="24"/>
          <w:szCs w:val="24"/>
        </w:rPr>
        <w:t xml:space="preserve">. </w:t>
      </w:r>
      <w:r w:rsidR="00873DB2">
        <w:rPr>
          <w:rFonts w:ascii="Times New Roman" w:hAnsi="Times New Roman"/>
          <w:noProof/>
          <w:sz w:val="24"/>
          <w:szCs w:val="24"/>
        </w:rPr>
        <w:t>A</w:t>
      </w:r>
      <w:r w:rsidR="00A213FF" w:rsidRPr="005646B7">
        <w:rPr>
          <w:rFonts w:ascii="Times New Roman" w:hAnsi="Times New Roman"/>
          <w:noProof/>
          <w:sz w:val="24"/>
          <w:szCs w:val="24"/>
          <w:lang w:eastAsia="en-GB"/>
        </w:rPr>
        <w:t xml:space="preserve">s set out in the EU Security Union Strategy, Europe faces </w:t>
      </w:r>
      <w:r w:rsidR="00A213FF" w:rsidRPr="00D932F1">
        <w:rPr>
          <w:rFonts w:ascii="Times New Roman" w:hAnsi="Times New Roman"/>
          <w:b/>
          <w:noProof/>
          <w:sz w:val="24"/>
          <w:szCs w:val="24"/>
          <w:lang w:eastAsia="en-GB"/>
        </w:rPr>
        <w:t>evolving and increasingly complex security threats</w:t>
      </w:r>
      <w:r w:rsidR="00A213FF" w:rsidRPr="005646B7">
        <w:rPr>
          <w:rFonts w:ascii="Times New Roman" w:hAnsi="Times New Roman"/>
          <w:noProof/>
          <w:sz w:val="24"/>
          <w:szCs w:val="24"/>
          <w:lang w:eastAsia="en-GB"/>
        </w:rPr>
        <w:t xml:space="preserve">. </w:t>
      </w:r>
      <w:r w:rsidR="00A213FF" w:rsidRPr="005646B7">
        <w:rPr>
          <w:rFonts w:ascii="Times New Roman" w:hAnsi="Times New Roman"/>
          <w:noProof/>
          <w:sz w:val="24"/>
          <w:szCs w:val="24"/>
        </w:rPr>
        <w:t>These threats spread across borders</w:t>
      </w:r>
      <w:r w:rsidR="000B505F">
        <w:rPr>
          <w:rFonts w:ascii="Times New Roman" w:hAnsi="Times New Roman"/>
          <w:noProof/>
          <w:sz w:val="24"/>
          <w:szCs w:val="24"/>
        </w:rPr>
        <w:t xml:space="preserve"> </w:t>
      </w:r>
      <w:r w:rsidR="00A213FF" w:rsidRPr="005646B7">
        <w:rPr>
          <w:rFonts w:ascii="Times New Roman" w:hAnsi="Times New Roman"/>
          <w:noProof/>
          <w:sz w:val="24"/>
          <w:szCs w:val="24"/>
        </w:rPr>
        <w:t xml:space="preserve">and manifest themselves in organised crime groups that engage in a wide range of criminal activities. </w:t>
      </w:r>
      <w:r w:rsidR="00A213FF" w:rsidRPr="005646B7">
        <w:rPr>
          <w:rFonts w:ascii="Times New Roman" w:eastAsia="Calibri" w:hAnsi="Times New Roman"/>
          <w:noProof/>
          <w:sz w:val="24"/>
          <w:szCs w:val="24"/>
        </w:rPr>
        <w:t>According to the EU Serious and Organised Crime Threat Assessment 2021</w:t>
      </w:r>
      <w:r w:rsidR="00C65F51">
        <w:rPr>
          <w:rFonts w:ascii="Times New Roman" w:eastAsia="Calibri" w:hAnsi="Times New Roman"/>
          <w:noProof/>
          <w:sz w:val="24"/>
          <w:szCs w:val="24"/>
        </w:rPr>
        <w:t xml:space="preserve"> (SOCTA)</w:t>
      </w:r>
      <w:r w:rsidR="00A213FF" w:rsidRPr="005646B7">
        <w:rPr>
          <w:rFonts w:ascii="Times New Roman" w:eastAsia="Calibri" w:hAnsi="Times New Roman"/>
          <w:noProof/>
          <w:sz w:val="24"/>
          <w:szCs w:val="24"/>
        </w:rPr>
        <w:t>, more than 70% of organised crime groups are present in more than three Member States</w:t>
      </w:r>
      <w:r w:rsidR="00810E66" w:rsidRPr="00FA3BA2">
        <w:rPr>
          <w:rStyle w:val="FootnoteReference"/>
          <w:rFonts w:ascii="Times New Roman" w:hAnsi="Times New Roman"/>
          <w:noProof/>
          <w:sz w:val="24"/>
          <w:lang w:eastAsia="nl-BE"/>
        </w:rPr>
        <w:footnoteReference w:id="2"/>
      </w:r>
      <w:r w:rsidR="00380EEA">
        <w:rPr>
          <w:rFonts w:ascii="Times New Roman" w:eastAsia="Calibri" w:hAnsi="Times New Roman"/>
          <w:noProof/>
          <w:sz w:val="24"/>
          <w:szCs w:val="24"/>
        </w:rPr>
        <w:t>.</w:t>
      </w:r>
      <w:r w:rsidR="00A213FF" w:rsidRPr="005646B7">
        <w:rPr>
          <w:rFonts w:ascii="Times New Roman" w:eastAsia="Calibri" w:hAnsi="Times New Roman"/>
          <w:noProof/>
          <w:sz w:val="24"/>
          <w:szCs w:val="24"/>
        </w:rPr>
        <w:t xml:space="preserve"> </w:t>
      </w:r>
      <w:r w:rsidR="000B505F" w:rsidRPr="008A7AE0">
        <w:rPr>
          <w:rFonts w:ascii="Times New Roman" w:hAnsi="Times New Roman"/>
          <w:noProof/>
          <w:sz w:val="24"/>
          <w:lang w:eastAsia="nl-BE"/>
        </w:rPr>
        <w:t xml:space="preserve">The </w:t>
      </w:r>
      <w:r w:rsidR="000B505F" w:rsidRPr="00D932F1">
        <w:rPr>
          <w:rFonts w:ascii="Times New Roman" w:hAnsi="Times New Roman"/>
          <w:noProof/>
          <w:sz w:val="24"/>
          <w:lang w:eastAsia="nl-BE"/>
        </w:rPr>
        <w:t xml:space="preserve">2021 </w:t>
      </w:r>
      <w:r w:rsidR="00CF5C36" w:rsidRPr="000E14A4">
        <w:rPr>
          <w:rFonts w:ascii="Times New Roman" w:hAnsi="Times New Roman"/>
          <w:bCs/>
          <w:noProof/>
          <w:sz w:val="24"/>
          <w:lang w:eastAsia="nl-BE"/>
        </w:rPr>
        <w:t xml:space="preserve">SOCTA </w:t>
      </w:r>
      <w:r w:rsidR="000B505F" w:rsidRPr="008A7AE0">
        <w:rPr>
          <w:rFonts w:ascii="Times New Roman" w:hAnsi="Times New Roman"/>
          <w:noProof/>
          <w:sz w:val="24"/>
          <w:lang w:eastAsia="nl-BE"/>
        </w:rPr>
        <w:t xml:space="preserve">and the </w:t>
      </w:r>
      <w:r w:rsidR="00CF5C36" w:rsidRPr="001A5C3D">
        <w:rPr>
          <w:rFonts w:ascii="Times New Roman" w:hAnsi="Times New Roman"/>
          <w:noProof/>
          <w:sz w:val="24"/>
          <w:lang w:eastAsia="nl-BE"/>
        </w:rPr>
        <w:t>EMCDDA European Drug report</w:t>
      </w:r>
      <w:r w:rsidR="00810E66">
        <w:rPr>
          <w:rStyle w:val="FootnoteReference"/>
          <w:rFonts w:ascii="Times New Roman" w:hAnsi="Times New Roman"/>
          <w:noProof/>
          <w:sz w:val="24"/>
          <w:lang w:eastAsia="nl-BE"/>
        </w:rPr>
        <w:footnoteReference w:id="3"/>
      </w:r>
      <w:r w:rsidR="00CF5C36">
        <w:rPr>
          <w:rFonts w:ascii="Times New Roman" w:hAnsi="Times New Roman"/>
          <w:bCs/>
          <w:noProof/>
          <w:sz w:val="24"/>
          <w:lang w:eastAsia="nl-BE"/>
        </w:rPr>
        <w:t xml:space="preserve"> </w:t>
      </w:r>
      <w:r w:rsidR="000B505F" w:rsidRPr="00D932F1">
        <w:rPr>
          <w:rFonts w:ascii="Times New Roman" w:hAnsi="Times New Roman"/>
          <w:bCs/>
          <w:noProof/>
          <w:sz w:val="24"/>
          <w:lang w:eastAsia="nl-BE"/>
        </w:rPr>
        <w:t xml:space="preserve">outline a number of areas where </w:t>
      </w:r>
      <w:r w:rsidR="000B505F" w:rsidRPr="008A7AE0">
        <w:rPr>
          <w:rFonts w:ascii="Times New Roman" w:hAnsi="Times New Roman"/>
          <w:bCs/>
          <w:noProof/>
          <w:sz w:val="24"/>
          <w:lang w:eastAsia="nl-BE"/>
        </w:rPr>
        <w:t xml:space="preserve">serious and organised crime </w:t>
      </w:r>
      <w:r w:rsidR="000B505F" w:rsidRPr="00D932F1">
        <w:rPr>
          <w:rFonts w:ascii="Times New Roman" w:hAnsi="Times New Roman"/>
          <w:bCs/>
          <w:noProof/>
          <w:sz w:val="24"/>
          <w:lang w:eastAsia="nl-BE"/>
        </w:rPr>
        <w:t>appears to be on the rise</w:t>
      </w:r>
      <w:r w:rsidR="00810E66">
        <w:rPr>
          <w:rStyle w:val="FootnoteReference"/>
          <w:rFonts w:ascii="Times New Roman" w:hAnsi="Times New Roman"/>
          <w:noProof/>
          <w:sz w:val="24"/>
          <w:lang w:eastAsia="nl-BE"/>
        </w:rPr>
        <w:footnoteReference w:id="4"/>
      </w:r>
      <w:r w:rsidR="00380EEA">
        <w:rPr>
          <w:rFonts w:ascii="Times New Roman" w:hAnsi="Times New Roman"/>
          <w:bCs/>
          <w:noProof/>
          <w:sz w:val="24"/>
          <w:lang w:eastAsia="nl-BE"/>
        </w:rPr>
        <w:t>.</w:t>
      </w:r>
      <w:r w:rsidR="000B505F" w:rsidRPr="008A7AE0">
        <w:rPr>
          <w:rFonts w:ascii="Times New Roman" w:hAnsi="Times New Roman"/>
          <w:noProof/>
          <w:sz w:val="24"/>
          <w:lang w:eastAsia="nl-BE"/>
        </w:rPr>
        <w:t xml:space="preserve"> </w:t>
      </w:r>
      <w:r w:rsidR="00CF5C36">
        <w:rPr>
          <w:rFonts w:ascii="Times New Roman" w:hAnsi="Times New Roman"/>
          <w:noProof/>
          <w:sz w:val="24"/>
          <w:lang w:eastAsia="nl-BE"/>
        </w:rPr>
        <w:t xml:space="preserve">At the same time, as set out in the December 2020 </w:t>
      </w:r>
      <w:r w:rsidR="00CF5C36" w:rsidRPr="00CF5C36">
        <w:rPr>
          <w:rFonts w:ascii="Times New Roman" w:hAnsi="Times New Roman"/>
          <w:noProof/>
          <w:sz w:val="24"/>
          <w:lang w:eastAsia="nl-BE"/>
        </w:rPr>
        <w:t>Counter-Terrorism Agenda</w:t>
      </w:r>
      <w:r w:rsidR="00CF5C36">
        <w:rPr>
          <w:rFonts w:ascii="Times New Roman" w:hAnsi="Times New Roman"/>
          <w:noProof/>
          <w:sz w:val="24"/>
          <w:lang w:eastAsia="nl-BE"/>
        </w:rPr>
        <w:t xml:space="preserve">, </w:t>
      </w:r>
      <w:r w:rsidR="00CF5C36" w:rsidRPr="00CF5C36">
        <w:rPr>
          <w:rFonts w:ascii="Times New Roman" w:hAnsi="Times New Roman"/>
          <w:noProof/>
          <w:sz w:val="24"/>
          <w:lang w:eastAsia="nl-BE"/>
        </w:rPr>
        <w:t>the EU remains on high terrorist alert</w:t>
      </w:r>
      <w:r w:rsidR="00CF5C36">
        <w:rPr>
          <w:rStyle w:val="FootnoteReference"/>
          <w:rFonts w:ascii="Times New Roman" w:hAnsi="Times New Roman"/>
          <w:noProof/>
          <w:sz w:val="24"/>
          <w:lang w:eastAsia="nl-BE"/>
        </w:rPr>
        <w:footnoteReference w:id="5"/>
      </w:r>
      <w:r w:rsidR="00380EEA">
        <w:rPr>
          <w:rFonts w:ascii="Times New Roman" w:hAnsi="Times New Roman"/>
          <w:noProof/>
          <w:sz w:val="24"/>
          <w:lang w:eastAsia="nl-BE"/>
        </w:rPr>
        <w:t>.</w:t>
      </w:r>
    </w:p>
    <w:p w14:paraId="3A3BB1C8" w14:textId="5B738106" w:rsidR="006C7D65" w:rsidRDefault="00810E66" w:rsidP="00D81CA1">
      <w:pPr>
        <w:pStyle w:val="Body"/>
        <w:spacing w:after="120"/>
        <w:jc w:val="both"/>
        <w:rPr>
          <w:rFonts w:ascii="Times New Roman" w:hAnsi="Times New Roman"/>
          <w:noProof/>
          <w:sz w:val="24"/>
          <w:lang w:eastAsia="nl-BE"/>
        </w:rPr>
      </w:pPr>
      <w:r>
        <w:rPr>
          <w:rFonts w:ascii="Times New Roman" w:hAnsi="Times New Roman"/>
          <w:noProof/>
          <w:sz w:val="24"/>
          <w:lang w:eastAsia="nl-BE"/>
        </w:rPr>
        <w:t>T</w:t>
      </w:r>
      <w:r w:rsidR="000B505F" w:rsidRPr="00D81CA1">
        <w:rPr>
          <w:rFonts w:ascii="Times New Roman" w:hAnsi="Times New Roman"/>
          <w:noProof/>
          <w:sz w:val="24"/>
          <w:lang w:eastAsia="nl-BE"/>
        </w:rPr>
        <w:t xml:space="preserve">he </w:t>
      </w:r>
      <w:r w:rsidR="000B505F" w:rsidRPr="00D932F1">
        <w:rPr>
          <w:rFonts w:ascii="Times New Roman" w:hAnsi="Times New Roman"/>
          <w:noProof/>
          <w:sz w:val="24"/>
          <w:lang w:eastAsia="nl-BE"/>
        </w:rPr>
        <w:t xml:space="preserve">SOCTA </w:t>
      </w:r>
      <w:r>
        <w:rPr>
          <w:rFonts w:ascii="Times New Roman" w:hAnsi="Times New Roman"/>
          <w:noProof/>
          <w:sz w:val="24"/>
          <w:lang w:eastAsia="nl-BE"/>
        </w:rPr>
        <w:t xml:space="preserve">also </w:t>
      </w:r>
      <w:r w:rsidR="000B505F" w:rsidRPr="00D932F1">
        <w:rPr>
          <w:rFonts w:ascii="Times New Roman" w:hAnsi="Times New Roman"/>
          <w:noProof/>
          <w:sz w:val="24"/>
          <w:lang w:eastAsia="nl-BE"/>
        </w:rPr>
        <w:t xml:space="preserve">outlines ways in which </w:t>
      </w:r>
      <w:r w:rsidR="000B505F" w:rsidRPr="008A7AE0">
        <w:rPr>
          <w:rFonts w:ascii="Times New Roman" w:hAnsi="Times New Roman"/>
          <w:noProof/>
          <w:sz w:val="24"/>
          <w:lang w:eastAsia="nl-BE"/>
        </w:rPr>
        <w:t xml:space="preserve">serious </w:t>
      </w:r>
      <w:r w:rsidR="000B505F" w:rsidRPr="00D932F1">
        <w:rPr>
          <w:rFonts w:ascii="Times New Roman" w:hAnsi="Times New Roman"/>
          <w:noProof/>
          <w:sz w:val="24"/>
          <w:lang w:eastAsia="nl-BE"/>
        </w:rPr>
        <w:t xml:space="preserve">crime is </w:t>
      </w:r>
      <w:r w:rsidR="000B505F" w:rsidRPr="00D932F1">
        <w:rPr>
          <w:rFonts w:ascii="Times New Roman" w:hAnsi="Times New Roman"/>
          <w:bCs/>
          <w:noProof/>
          <w:sz w:val="24"/>
          <w:lang w:eastAsia="nl-BE"/>
        </w:rPr>
        <w:t>evolving</w:t>
      </w:r>
      <w:r w:rsidR="000B505F" w:rsidRPr="00D81CA1">
        <w:rPr>
          <w:rFonts w:ascii="Times New Roman" w:hAnsi="Times New Roman"/>
          <w:noProof/>
          <w:sz w:val="24"/>
          <w:lang w:eastAsia="nl-BE"/>
        </w:rPr>
        <w:t>.</w:t>
      </w:r>
      <w:r w:rsidR="008A7AE0">
        <w:rPr>
          <w:rFonts w:ascii="Times New Roman" w:hAnsi="Times New Roman"/>
          <w:noProof/>
          <w:sz w:val="24"/>
          <w:lang w:eastAsia="nl-BE"/>
        </w:rPr>
        <w:t xml:space="preserve"> Notably, </w:t>
      </w:r>
      <w:r w:rsidR="008A7AE0" w:rsidRPr="00D932F1">
        <w:rPr>
          <w:rFonts w:ascii="Times New Roman" w:hAnsi="Times New Roman"/>
          <w:b/>
          <w:noProof/>
          <w:sz w:val="24"/>
          <w:szCs w:val="24"/>
        </w:rPr>
        <w:t>technological advancements have created opportunities for new types of cross-border crime</w:t>
      </w:r>
      <w:r w:rsidR="008A7AE0" w:rsidRPr="00103C29">
        <w:rPr>
          <w:rFonts w:ascii="Times New Roman" w:hAnsi="Times New Roman"/>
          <w:noProof/>
          <w:sz w:val="24"/>
          <w:szCs w:val="24"/>
        </w:rPr>
        <w:t xml:space="preserve">, </w:t>
      </w:r>
      <w:r w:rsidR="00873DB2">
        <w:rPr>
          <w:rFonts w:ascii="Times New Roman" w:hAnsi="Times New Roman"/>
          <w:noProof/>
          <w:sz w:val="24"/>
          <w:szCs w:val="24"/>
        </w:rPr>
        <w:t>and</w:t>
      </w:r>
      <w:r w:rsidR="008A7AE0" w:rsidRPr="00103C29">
        <w:rPr>
          <w:rFonts w:ascii="Times New Roman" w:hAnsi="Times New Roman"/>
          <w:noProof/>
          <w:sz w:val="24"/>
          <w:szCs w:val="24"/>
        </w:rPr>
        <w:t xml:space="preserve"> for modernising traditional forms of crime.</w:t>
      </w:r>
      <w:r w:rsidR="008A7AE0">
        <w:rPr>
          <w:rFonts w:ascii="Times New Roman" w:hAnsi="Times New Roman"/>
          <w:noProof/>
          <w:sz w:val="24"/>
          <w:szCs w:val="24"/>
        </w:rPr>
        <w:t xml:space="preserve"> Linked to this, t</w:t>
      </w:r>
      <w:r w:rsidR="000B505F" w:rsidRPr="00103C29">
        <w:rPr>
          <w:rFonts w:ascii="Times New Roman" w:hAnsi="Times New Roman"/>
          <w:noProof/>
          <w:sz w:val="24"/>
          <w:szCs w:val="24"/>
        </w:rPr>
        <w:t>he increased use of digital technologies mean</w:t>
      </w:r>
      <w:r w:rsidR="008A7AE0">
        <w:rPr>
          <w:rFonts w:ascii="Times New Roman" w:hAnsi="Times New Roman"/>
          <w:noProof/>
          <w:sz w:val="24"/>
          <w:szCs w:val="24"/>
        </w:rPr>
        <w:t>s</w:t>
      </w:r>
      <w:r w:rsidR="000B505F" w:rsidRPr="00103C29">
        <w:rPr>
          <w:rFonts w:ascii="Times New Roman" w:hAnsi="Times New Roman"/>
          <w:noProof/>
          <w:sz w:val="24"/>
          <w:szCs w:val="24"/>
        </w:rPr>
        <w:t xml:space="preserve"> there is no longer a need for a perpetrator to be in the same location as a victim.</w:t>
      </w:r>
      <w:r w:rsidR="000B505F">
        <w:rPr>
          <w:rFonts w:ascii="Times New Roman" w:hAnsi="Times New Roman"/>
          <w:noProof/>
          <w:sz w:val="24"/>
          <w:szCs w:val="24"/>
        </w:rPr>
        <w:t xml:space="preserve"> </w:t>
      </w:r>
      <w:r w:rsidR="00A213FF" w:rsidRPr="00103C29">
        <w:rPr>
          <w:rFonts w:ascii="Times New Roman" w:hAnsi="Times New Roman"/>
          <w:noProof/>
          <w:sz w:val="24"/>
          <w:szCs w:val="24"/>
        </w:rPr>
        <w:t xml:space="preserve"> </w:t>
      </w:r>
      <w:r w:rsidR="008A7AE0" w:rsidRPr="008A7AE0">
        <w:rPr>
          <w:rFonts w:ascii="Times New Roman" w:hAnsi="Times New Roman"/>
          <w:noProof/>
          <w:sz w:val="24"/>
          <w:szCs w:val="24"/>
        </w:rPr>
        <w:t>The Covid-19 pandemic has accelerated the rise in technology-facilitated serious and organised crime.</w:t>
      </w:r>
    </w:p>
    <w:p w14:paraId="2C14F774" w14:textId="1B69D5DB" w:rsidR="006C7D65" w:rsidRDefault="008A7AE0" w:rsidP="006C7D65">
      <w:pPr>
        <w:pStyle w:val="Body"/>
        <w:spacing w:after="120"/>
        <w:jc w:val="both"/>
        <w:rPr>
          <w:rFonts w:ascii="Times New Roman" w:hAnsi="Times New Roman"/>
          <w:noProof/>
          <w:sz w:val="24"/>
          <w:szCs w:val="24"/>
        </w:rPr>
      </w:pPr>
      <w:r>
        <w:rPr>
          <w:rFonts w:ascii="Times New Roman" w:hAnsi="Times New Roman"/>
          <w:noProof/>
          <w:sz w:val="24"/>
        </w:rPr>
        <w:t>T</w:t>
      </w:r>
      <w:r w:rsidR="006C7D65" w:rsidRPr="006C7D65">
        <w:rPr>
          <w:rFonts w:ascii="Times New Roman" w:hAnsi="Times New Roman"/>
          <w:noProof/>
          <w:sz w:val="24"/>
        </w:rPr>
        <w:t xml:space="preserve">he </w:t>
      </w:r>
      <w:r w:rsidR="006C7D65" w:rsidRPr="00636D16">
        <w:rPr>
          <w:rFonts w:ascii="Times New Roman" w:hAnsi="Times New Roman"/>
          <w:b/>
          <w:noProof/>
          <w:sz w:val="24"/>
        </w:rPr>
        <w:t>growing mobility</w:t>
      </w:r>
      <w:r>
        <w:rPr>
          <w:rFonts w:ascii="Times New Roman" w:hAnsi="Times New Roman"/>
          <w:b/>
          <w:noProof/>
          <w:sz w:val="24"/>
        </w:rPr>
        <w:t xml:space="preserve"> of people within the EU</w:t>
      </w:r>
      <w:r w:rsidR="006C7D65" w:rsidRPr="006C7D65">
        <w:rPr>
          <w:rFonts w:ascii="Times New Roman" w:hAnsi="Times New Roman"/>
          <w:noProof/>
          <w:sz w:val="24"/>
        </w:rPr>
        <w:t xml:space="preserve"> creates additional challenges </w:t>
      </w:r>
      <w:r w:rsidR="00873DB2">
        <w:rPr>
          <w:rFonts w:ascii="Times New Roman" w:hAnsi="Times New Roman"/>
          <w:noProof/>
          <w:sz w:val="24"/>
        </w:rPr>
        <w:t xml:space="preserve">in </w:t>
      </w:r>
      <w:r w:rsidR="006C7D65" w:rsidRPr="006C7D65">
        <w:rPr>
          <w:rFonts w:ascii="Times New Roman" w:hAnsi="Times New Roman"/>
          <w:noProof/>
          <w:sz w:val="24"/>
        </w:rPr>
        <w:t>preventin</w:t>
      </w:r>
      <w:r w:rsidR="00873DB2">
        <w:rPr>
          <w:rFonts w:ascii="Times New Roman" w:hAnsi="Times New Roman"/>
          <w:noProof/>
          <w:sz w:val="24"/>
        </w:rPr>
        <w:t>g</w:t>
      </w:r>
      <w:r w:rsidR="006C7D65" w:rsidRPr="006C7D65">
        <w:rPr>
          <w:rFonts w:ascii="Times New Roman" w:hAnsi="Times New Roman"/>
          <w:noProof/>
          <w:sz w:val="24"/>
        </w:rPr>
        <w:t xml:space="preserve"> and fight</w:t>
      </w:r>
      <w:r w:rsidR="00873DB2">
        <w:rPr>
          <w:rFonts w:ascii="Times New Roman" w:hAnsi="Times New Roman"/>
          <w:noProof/>
          <w:sz w:val="24"/>
        </w:rPr>
        <w:t xml:space="preserve">ing </w:t>
      </w:r>
      <w:r w:rsidR="006C7D65" w:rsidRPr="006C7D65">
        <w:rPr>
          <w:rFonts w:ascii="Times New Roman" w:hAnsi="Times New Roman"/>
          <w:noProof/>
          <w:sz w:val="24"/>
        </w:rPr>
        <w:t>all forms of criminal threats</w:t>
      </w:r>
      <w:r w:rsidR="006C7D65">
        <w:rPr>
          <w:rFonts w:ascii="Times New Roman" w:hAnsi="Times New Roman"/>
          <w:noProof/>
          <w:sz w:val="24"/>
        </w:rPr>
        <w:t xml:space="preserve">. </w:t>
      </w:r>
      <w:r w:rsidR="006C7D65" w:rsidRPr="006C7D65">
        <w:rPr>
          <w:rFonts w:ascii="Times New Roman" w:hAnsi="Times New Roman"/>
          <w:noProof/>
          <w:sz w:val="24"/>
          <w:szCs w:val="24"/>
        </w:rPr>
        <w:t>In 2017, EU internal border regions covered approximately 40% of the EU</w:t>
      </w:r>
      <w:r w:rsidR="006C7D65">
        <w:rPr>
          <w:rFonts w:ascii="Times New Roman" w:hAnsi="Times New Roman"/>
          <w:noProof/>
          <w:sz w:val="24"/>
          <w:szCs w:val="24"/>
        </w:rPr>
        <w:t>'</w:t>
      </w:r>
      <w:r w:rsidR="006C7D65" w:rsidRPr="006C7D65">
        <w:rPr>
          <w:rFonts w:ascii="Times New Roman" w:hAnsi="Times New Roman"/>
          <w:noProof/>
          <w:sz w:val="24"/>
          <w:szCs w:val="24"/>
        </w:rPr>
        <w:t>s territory and were home to 30% of the population, i.e. 150 million people. Almost 2 million people commuted across borders, including 1.3 million cross-border workers</w:t>
      </w:r>
      <w:r w:rsidR="006C7D65" w:rsidRPr="006C7D65">
        <w:rPr>
          <w:rFonts w:ascii="Times New Roman" w:hAnsi="Times New Roman"/>
          <w:noProof/>
          <w:sz w:val="24"/>
          <w:szCs w:val="24"/>
          <w:vertAlign w:val="superscript"/>
        </w:rPr>
        <w:footnoteReference w:id="6"/>
      </w:r>
      <w:r w:rsidR="006C7D65" w:rsidRPr="006C7D65">
        <w:rPr>
          <w:rFonts w:ascii="Times New Roman" w:hAnsi="Times New Roman"/>
          <w:noProof/>
          <w:sz w:val="24"/>
          <w:szCs w:val="24"/>
        </w:rPr>
        <w:t>.</w:t>
      </w:r>
      <w:r w:rsidR="006C7D65" w:rsidRPr="000F55AF" w:rsidDel="00F84899">
        <w:rPr>
          <w:noProof/>
        </w:rPr>
        <w:t xml:space="preserve"> </w:t>
      </w:r>
      <w:r w:rsidR="006C7D65" w:rsidRPr="006C7D65">
        <w:rPr>
          <w:rFonts w:ascii="Times New Roman" w:hAnsi="Times New Roman"/>
          <w:noProof/>
          <w:sz w:val="24"/>
          <w:szCs w:val="24"/>
        </w:rPr>
        <w:t>In 2018, residents of the EU made in total 1.1 billion trips, either for business or privately – an increase of 11% since 2014</w:t>
      </w:r>
      <w:r w:rsidR="00636D16">
        <w:rPr>
          <w:rFonts w:ascii="Times New Roman" w:hAnsi="Times New Roman"/>
          <w:noProof/>
          <w:sz w:val="24"/>
          <w:szCs w:val="24"/>
        </w:rPr>
        <w:t>.</w:t>
      </w:r>
      <w:r w:rsidR="006C7D65" w:rsidRPr="006C7D65">
        <w:rPr>
          <w:rFonts w:ascii="Times New Roman" w:hAnsi="Times New Roman"/>
          <w:noProof/>
          <w:sz w:val="24"/>
          <w:szCs w:val="24"/>
          <w:vertAlign w:val="superscript"/>
        </w:rPr>
        <w:t xml:space="preserve"> </w:t>
      </w:r>
      <w:r w:rsidR="006C7D65" w:rsidRPr="006C7D65">
        <w:rPr>
          <w:rFonts w:ascii="Times New Roman" w:hAnsi="Times New Roman"/>
          <w:noProof/>
          <w:sz w:val="24"/>
          <w:szCs w:val="24"/>
        </w:rPr>
        <w:t>In 2019, 3.3% of the EU citizens of working age (20-64) had a nationality of an EU Member State other than the EU Member State of residence, compared to 2.4 % in 2009</w:t>
      </w:r>
      <w:r w:rsidR="006C7D65" w:rsidRPr="006C7D65">
        <w:rPr>
          <w:rFonts w:ascii="Times New Roman" w:hAnsi="Times New Roman"/>
          <w:noProof/>
          <w:sz w:val="24"/>
          <w:szCs w:val="24"/>
          <w:vertAlign w:val="superscript"/>
        </w:rPr>
        <w:footnoteReference w:id="7"/>
      </w:r>
      <w:r w:rsidR="00636D16">
        <w:rPr>
          <w:rFonts w:ascii="Times New Roman" w:hAnsi="Times New Roman"/>
          <w:noProof/>
          <w:sz w:val="24"/>
          <w:szCs w:val="24"/>
        </w:rPr>
        <w:t>.</w:t>
      </w:r>
      <w:r w:rsidR="00636D16">
        <w:rPr>
          <w:noProof/>
        </w:rPr>
        <w:t xml:space="preserve"> </w:t>
      </w:r>
      <w:r w:rsidR="006C7D65" w:rsidRPr="00636D16">
        <w:rPr>
          <w:rFonts w:ascii="Times New Roman" w:hAnsi="Times New Roman"/>
          <w:noProof/>
          <w:sz w:val="24"/>
        </w:rPr>
        <w:t>Despite</w:t>
      </w:r>
      <w:r>
        <w:rPr>
          <w:rFonts w:ascii="Times New Roman" w:hAnsi="Times New Roman"/>
          <w:noProof/>
          <w:sz w:val="24"/>
        </w:rPr>
        <w:t xml:space="preserve"> the</w:t>
      </w:r>
      <w:r w:rsidR="006C7D65" w:rsidRPr="00636D16">
        <w:rPr>
          <w:rFonts w:ascii="Times New Roman" w:hAnsi="Times New Roman"/>
          <w:noProof/>
          <w:sz w:val="24"/>
        </w:rPr>
        <w:t xml:space="preserve"> COVID-19 pandemic ha</w:t>
      </w:r>
      <w:r>
        <w:rPr>
          <w:rFonts w:ascii="Times New Roman" w:hAnsi="Times New Roman"/>
          <w:noProof/>
          <w:sz w:val="24"/>
        </w:rPr>
        <w:t>ving</w:t>
      </w:r>
      <w:r w:rsidR="006C7D65" w:rsidRPr="00636D16">
        <w:rPr>
          <w:rFonts w:ascii="Times New Roman" w:hAnsi="Times New Roman"/>
          <w:noProof/>
          <w:sz w:val="24"/>
        </w:rPr>
        <w:t xml:space="preserve"> reduced </w:t>
      </w:r>
      <w:r>
        <w:rPr>
          <w:rFonts w:ascii="Times New Roman" w:hAnsi="Times New Roman"/>
          <w:noProof/>
          <w:sz w:val="24"/>
        </w:rPr>
        <w:t>intra-EU</w:t>
      </w:r>
      <w:r w:rsidR="006C7D65" w:rsidRPr="00636D16">
        <w:rPr>
          <w:rFonts w:ascii="Times New Roman" w:hAnsi="Times New Roman"/>
          <w:noProof/>
          <w:sz w:val="24"/>
        </w:rPr>
        <w:t xml:space="preserve"> mobility, flows of people will likely continue to be important in the near future</w:t>
      </w:r>
      <w:r w:rsidR="00636D16">
        <w:rPr>
          <w:rFonts w:ascii="Times New Roman" w:hAnsi="Times New Roman"/>
          <w:noProof/>
          <w:sz w:val="24"/>
        </w:rPr>
        <w:t>.</w:t>
      </w:r>
    </w:p>
    <w:p w14:paraId="382CD05E" w14:textId="4012DAE9" w:rsidR="00115321" w:rsidRPr="00993F16" w:rsidRDefault="00A213FF" w:rsidP="00636D16">
      <w:pPr>
        <w:pStyle w:val="Body"/>
        <w:spacing w:after="120"/>
        <w:jc w:val="both"/>
        <w:rPr>
          <w:rFonts w:ascii="Times New Roman" w:hAnsi="Times New Roman"/>
          <w:noProof/>
          <w:sz w:val="24"/>
          <w:szCs w:val="24"/>
        </w:rPr>
      </w:pPr>
      <w:r w:rsidRPr="00103C29">
        <w:rPr>
          <w:rFonts w:ascii="Times New Roman" w:hAnsi="Times New Roman"/>
          <w:noProof/>
          <w:sz w:val="24"/>
          <w:szCs w:val="24"/>
        </w:rPr>
        <w:t>The rapidly evolving criminal</w:t>
      </w:r>
      <w:r w:rsidR="008F621A">
        <w:rPr>
          <w:rFonts w:ascii="Times New Roman" w:hAnsi="Times New Roman"/>
          <w:noProof/>
          <w:sz w:val="24"/>
          <w:szCs w:val="24"/>
        </w:rPr>
        <w:t xml:space="preserve"> and terrorist</w:t>
      </w:r>
      <w:r w:rsidRPr="00103C29">
        <w:rPr>
          <w:rFonts w:ascii="Times New Roman" w:hAnsi="Times New Roman"/>
          <w:noProof/>
          <w:sz w:val="24"/>
          <w:szCs w:val="24"/>
        </w:rPr>
        <w:t xml:space="preserve"> landscape and the mobility of people suggest that </w:t>
      </w:r>
      <w:r w:rsidRPr="00380EEA">
        <w:rPr>
          <w:rFonts w:ascii="Times New Roman" w:hAnsi="Times New Roman"/>
          <w:b/>
          <w:noProof/>
          <w:sz w:val="24"/>
          <w:szCs w:val="24"/>
        </w:rPr>
        <w:t xml:space="preserve">cross-border cooperation between </w:t>
      </w:r>
      <w:r w:rsidR="005646B7" w:rsidRPr="00380EEA">
        <w:rPr>
          <w:rFonts w:ascii="Times New Roman" w:hAnsi="Times New Roman"/>
          <w:b/>
          <w:noProof/>
          <w:sz w:val="24"/>
          <w:szCs w:val="24"/>
        </w:rPr>
        <w:t>l</w:t>
      </w:r>
      <w:r w:rsidRPr="00380EEA">
        <w:rPr>
          <w:rFonts w:ascii="Times New Roman" w:hAnsi="Times New Roman"/>
          <w:b/>
          <w:noProof/>
          <w:sz w:val="24"/>
          <w:szCs w:val="24"/>
        </w:rPr>
        <w:t xml:space="preserve">aw enforcement authorities in the EU and the Schengen area will </w:t>
      </w:r>
      <w:r w:rsidR="00640345">
        <w:rPr>
          <w:rFonts w:ascii="Times New Roman" w:hAnsi="Times New Roman"/>
          <w:b/>
          <w:noProof/>
          <w:sz w:val="24"/>
          <w:szCs w:val="24"/>
        </w:rPr>
        <w:t>remain</w:t>
      </w:r>
      <w:r w:rsidR="00640345" w:rsidRPr="00380EEA">
        <w:rPr>
          <w:rFonts w:ascii="Times New Roman" w:hAnsi="Times New Roman"/>
          <w:b/>
          <w:noProof/>
          <w:sz w:val="24"/>
          <w:szCs w:val="24"/>
        </w:rPr>
        <w:t xml:space="preserve"> </w:t>
      </w:r>
      <w:r w:rsidRPr="00380EEA">
        <w:rPr>
          <w:rFonts w:ascii="Times New Roman" w:hAnsi="Times New Roman"/>
          <w:b/>
          <w:noProof/>
          <w:sz w:val="24"/>
          <w:szCs w:val="24"/>
        </w:rPr>
        <w:t xml:space="preserve">crucial to tackle </w:t>
      </w:r>
      <w:r w:rsidRPr="00380EEA">
        <w:rPr>
          <w:rFonts w:ascii="Times New Roman" w:hAnsi="Times New Roman"/>
          <w:b/>
          <w:noProof/>
          <w:sz w:val="24"/>
          <w:szCs w:val="16"/>
        </w:rPr>
        <w:t>criminal offences</w:t>
      </w:r>
      <w:r w:rsidRPr="00103C29">
        <w:rPr>
          <w:rFonts w:ascii="Times New Roman" w:hAnsi="Times New Roman"/>
          <w:noProof/>
          <w:sz w:val="24"/>
          <w:szCs w:val="24"/>
        </w:rPr>
        <w:t>, and allow EU citizens to safely enjoy their rights of free movement in the future</w:t>
      </w:r>
      <w:r>
        <w:rPr>
          <w:rStyle w:val="FootnoteReference"/>
          <w:rFonts w:ascii="Times New Roman" w:hAnsi="Times New Roman"/>
          <w:noProof/>
          <w:sz w:val="24"/>
          <w:szCs w:val="24"/>
        </w:rPr>
        <w:footnoteReference w:id="8"/>
      </w:r>
      <w:r>
        <w:rPr>
          <w:rFonts w:ascii="Times New Roman" w:hAnsi="Times New Roman"/>
          <w:noProof/>
          <w:sz w:val="24"/>
          <w:szCs w:val="24"/>
        </w:rPr>
        <w:t xml:space="preserve">. </w:t>
      </w:r>
      <w:r w:rsidRPr="00636D16">
        <w:rPr>
          <w:rFonts w:ascii="Times New Roman" w:eastAsia="Calibri" w:hAnsi="Times New Roman"/>
          <w:noProof/>
          <w:sz w:val="24"/>
          <w:szCs w:val="24"/>
        </w:rPr>
        <w:t xml:space="preserve">However, there are still obstacles </w:t>
      </w:r>
      <w:r w:rsidR="00C65F51">
        <w:rPr>
          <w:rFonts w:ascii="Times New Roman" w:eastAsia="Calibri" w:hAnsi="Times New Roman"/>
          <w:noProof/>
          <w:sz w:val="24"/>
          <w:szCs w:val="24"/>
        </w:rPr>
        <w:t xml:space="preserve">for </w:t>
      </w:r>
      <w:r w:rsidRPr="00636D16">
        <w:rPr>
          <w:rFonts w:ascii="Times New Roman" w:eastAsia="Calibri" w:hAnsi="Times New Roman"/>
          <w:noProof/>
          <w:sz w:val="24"/>
          <w:szCs w:val="24"/>
        </w:rPr>
        <w:t xml:space="preserve">data exchange between law enforcement, which leads to blind spots and loopholes </w:t>
      </w:r>
      <w:r w:rsidR="00640345">
        <w:rPr>
          <w:rFonts w:ascii="Times New Roman" w:eastAsia="Calibri" w:hAnsi="Times New Roman"/>
          <w:noProof/>
          <w:sz w:val="24"/>
          <w:szCs w:val="24"/>
        </w:rPr>
        <w:t xml:space="preserve">(for instance information not exchanged or exchanged too late) </w:t>
      </w:r>
      <w:r w:rsidRPr="00636D16">
        <w:rPr>
          <w:rFonts w:ascii="Times New Roman" w:eastAsia="Calibri" w:hAnsi="Times New Roman"/>
          <w:noProof/>
          <w:sz w:val="24"/>
          <w:szCs w:val="24"/>
        </w:rPr>
        <w:t xml:space="preserve">for criminals and terrorists that act in more than one Member State. </w:t>
      </w:r>
      <w:r w:rsidR="000B112A">
        <w:rPr>
          <w:rFonts w:ascii="Times New Roman" w:hAnsi="Times New Roman"/>
          <w:noProof/>
          <w:sz w:val="24"/>
          <w:szCs w:val="24"/>
        </w:rPr>
        <w:t>T</w:t>
      </w:r>
      <w:r w:rsidRPr="00636D16">
        <w:rPr>
          <w:rFonts w:ascii="Times New Roman" w:hAnsi="Times New Roman"/>
          <w:noProof/>
          <w:sz w:val="24"/>
          <w:szCs w:val="24"/>
        </w:rPr>
        <w:t xml:space="preserve">he cross-border nature of crime </w:t>
      </w:r>
      <w:r w:rsidR="000B112A">
        <w:rPr>
          <w:rFonts w:ascii="Times New Roman" w:hAnsi="Times New Roman"/>
          <w:noProof/>
          <w:sz w:val="24"/>
          <w:szCs w:val="24"/>
        </w:rPr>
        <w:t>require</w:t>
      </w:r>
      <w:r w:rsidR="006064B4">
        <w:rPr>
          <w:rFonts w:ascii="Times New Roman" w:hAnsi="Times New Roman"/>
          <w:noProof/>
          <w:sz w:val="24"/>
          <w:szCs w:val="24"/>
        </w:rPr>
        <w:t>s</w:t>
      </w:r>
      <w:r w:rsidR="000B112A">
        <w:rPr>
          <w:rFonts w:ascii="Times New Roman" w:hAnsi="Times New Roman"/>
          <w:noProof/>
          <w:sz w:val="24"/>
          <w:szCs w:val="24"/>
        </w:rPr>
        <w:t xml:space="preserve"> </w:t>
      </w:r>
      <w:r w:rsidRPr="00636D16">
        <w:rPr>
          <w:rFonts w:ascii="Times New Roman" w:hAnsi="Times New Roman"/>
          <w:noProof/>
          <w:sz w:val="24"/>
          <w:szCs w:val="24"/>
        </w:rPr>
        <w:t>Member States to</w:t>
      </w:r>
      <w:r w:rsidR="008A7AE0">
        <w:rPr>
          <w:rFonts w:ascii="Times New Roman" w:hAnsi="Times New Roman"/>
          <w:noProof/>
          <w:sz w:val="24"/>
          <w:szCs w:val="24"/>
        </w:rPr>
        <w:t xml:space="preserve"> be able to</w:t>
      </w:r>
      <w:r w:rsidRPr="00636D16">
        <w:rPr>
          <w:rFonts w:ascii="Times New Roman" w:hAnsi="Times New Roman"/>
          <w:noProof/>
          <w:sz w:val="24"/>
          <w:szCs w:val="24"/>
        </w:rPr>
        <w:t xml:space="preserve"> rely on one another</w:t>
      </w:r>
      <w:r w:rsidR="005C5DC9">
        <w:rPr>
          <w:rFonts w:ascii="Times New Roman" w:hAnsi="Times New Roman"/>
          <w:noProof/>
          <w:sz w:val="24"/>
          <w:szCs w:val="24"/>
        </w:rPr>
        <w:t xml:space="preserve"> through </w:t>
      </w:r>
      <w:r w:rsidR="005C5DC9">
        <w:rPr>
          <w:rFonts w:ascii="Times New Roman" w:hAnsi="Times New Roman"/>
          <w:noProof/>
          <w:sz w:val="24"/>
          <w:szCs w:val="24"/>
          <w:shd w:val="clear" w:color="auto" w:fill="FFFFFF"/>
        </w:rPr>
        <w:t>c</w:t>
      </w:r>
      <w:r w:rsidR="0055256B" w:rsidRPr="00636D16">
        <w:rPr>
          <w:rFonts w:ascii="Times New Roman" w:hAnsi="Times New Roman"/>
          <w:noProof/>
          <w:sz w:val="24"/>
          <w:szCs w:val="24"/>
          <w:shd w:val="clear" w:color="auto" w:fill="FFFFFF"/>
        </w:rPr>
        <w:t>ross</w:t>
      </w:r>
      <w:r w:rsidR="00115321" w:rsidRPr="00636D16">
        <w:rPr>
          <w:rFonts w:ascii="Times New Roman" w:hAnsi="Times New Roman"/>
          <w:noProof/>
          <w:sz w:val="24"/>
          <w:szCs w:val="24"/>
          <w:shd w:val="clear" w:color="auto" w:fill="FFFFFF"/>
        </w:rPr>
        <w:t>-border law enforcement cooperation</w:t>
      </w:r>
      <w:r w:rsidR="00C65F51">
        <w:rPr>
          <w:rFonts w:ascii="Times New Roman" w:hAnsi="Times New Roman"/>
          <w:noProof/>
          <w:sz w:val="24"/>
          <w:szCs w:val="24"/>
          <w:shd w:val="clear" w:color="auto" w:fill="FFFFFF"/>
        </w:rPr>
        <w:t xml:space="preserve">, </w:t>
      </w:r>
      <w:r w:rsidR="0055256B" w:rsidRPr="00993F16">
        <w:rPr>
          <w:rFonts w:ascii="Times New Roman" w:hAnsi="Times New Roman"/>
          <w:noProof/>
          <w:sz w:val="24"/>
          <w:szCs w:val="24"/>
          <w:shd w:val="clear" w:color="auto" w:fill="FFFFFF"/>
        </w:rPr>
        <w:t>based on respect for fundamental rights</w:t>
      </w:r>
      <w:r w:rsidR="00115321" w:rsidRPr="00993F16">
        <w:rPr>
          <w:rFonts w:ascii="Times New Roman" w:hAnsi="Times New Roman"/>
          <w:noProof/>
          <w:sz w:val="24"/>
          <w:szCs w:val="24"/>
          <w:shd w:val="clear" w:color="auto" w:fill="FFFFFF"/>
        </w:rPr>
        <w:t>.</w:t>
      </w:r>
    </w:p>
    <w:p w14:paraId="55D5ABD4" w14:textId="77777777" w:rsidR="00F94F5A" w:rsidRPr="00F94F5A" w:rsidRDefault="00115321" w:rsidP="00273CFC">
      <w:pPr>
        <w:pStyle w:val="Text1"/>
        <w:spacing w:after="120"/>
        <w:ind w:left="0"/>
        <w:rPr>
          <w:noProof/>
          <w:szCs w:val="24"/>
          <w:shd w:val="clear" w:color="auto" w:fill="FFFFFF"/>
        </w:rPr>
      </w:pPr>
      <w:r w:rsidRPr="00380EEA">
        <w:rPr>
          <w:b/>
          <w:noProof/>
          <w:szCs w:val="24"/>
          <w:shd w:val="clear" w:color="auto" w:fill="FFFFFF"/>
        </w:rPr>
        <w:t xml:space="preserve">Law enforcement cooperation is an area of </w:t>
      </w:r>
      <w:r w:rsidRPr="008A7AE0">
        <w:rPr>
          <w:b/>
          <w:noProof/>
          <w:szCs w:val="24"/>
          <w:shd w:val="clear" w:color="auto" w:fill="FFFFFF"/>
        </w:rPr>
        <w:t>shared competence</w:t>
      </w:r>
      <w:r w:rsidRPr="00380EEA">
        <w:rPr>
          <w:b/>
          <w:noProof/>
          <w:szCs w:val="24"/>
          <w:shd w:val="clear" w:color="auto" w:fill="FFFFFF"/>
        </w:rPr>
        <w:t xml:space="preserve"> between the EU and the Member States</w:t>
      </w:r>
      <w:r>
        <w:rPr>
          <w:noProof/>
          <w:szCs w:val="24"/>
          <w:shd w:val="clear" w:color="auto" w:fill="FFFFFF"/>
        </w:rPr>
        <w:t xml:space="preserve">. </w:t>
      </w:r>
      <w:r w:rsidRPr="00911B1D">
        <w:rPr>
          <w:noProof/>
          <w:szCs w:val="24"/>
          <w:shd w:val="clear" w:color="auto" w:fill="FFFFFF"/>
        </w:rPr>
        <w:t>Most of the EU legal framework underpinning law enforcement cooperation was designed 30 years ago</w:t>
      </w:r>
      <w:r w:rsidR="00DF416B">
        <w:rPr>
          <w:noProof/>
          <w:szCs w:val="24"/>
          <w:shd w:val="clear" w:color="auto" w:fill="FFFFFF"/>
        </w:rPr>
        <w:t xml:space="preserve"> through the</w:t>
      </w:r>
      <w:r>
        <w:rPr>
          <w:noProof/>
          <w:szCs w:val="24"/>
          <w:shd w:val="clear" w:color="auto" w:fill="FFFFFF"/>
        </w:rPr>
        <w:t xml:space="preserve"> </w:t>
      </w:r>
      <w:r w:rsidR="00F94F5A" w:rsidRPr="00F94F5A">
        <w:rPr>
          <w:noProof/>
          <w:szCs w:val="24"/>
          <w:shd w:val="clear" w:color="auto" w:fill="FFFFFF"/>
        </w:rPr>
        <w:t>1990 Convention Implementing the Schengen Agreement (CISA)</w:t>
      </w:r>
      <w:r w:rsidR="00A213FF">
        <w:rPr>
          <w:rStyle w:val="FootnoteReference"/>
          <w:noProof/>
          <w:szCs w:val="24"/>
          <w:shd w:val="clear" w:color="auto" w:fill="FFFFFF"/>
        </w:rPr>
        <w:footnoteReference w:id="9"/>
      </w:r>
      <w:r w:rsidR="00F94F5A" w:rsidRPr="00F94F5A">
        <w:rPr>
          <w:noProof/>
          <w:szCs w:val="24"/>
          <w:shd w:val="clear" w:color="auto" w:fill="FFFFFF"/>
        </w:rPr>
        <w:t>. The Convention entails a number of obligations for contracting Parties regarding police cooperation at their common internal borders, at the external borders of the Schengen territory (land, international airports, and sea) and within the Schengen area in general to counteract any security deficit caused by the abolition of the checks at the internal borders.</w:t>
      </w:r>
    </w:p>
    <w:p w14:paraId="5537D0F1" w14:textId="77777777" w:rsidR="00115321" w:rsidRPr="001121F6" w:rsidRDefault="00115321" w:rsidP="00115321">
      <w:pPr>
        <w:pStyle w:val="Text1"/>
        <w:spacing w:after="120"/>
        <w:ind w:left="0"/>
        <w:rPr>
          <w:noProof/>
          <w:szCs w:val="24"/>
          <w:shd w:val="clear" w:color="auto" w:fill="FFFFFF"/>
        </w:rPr>
      </w:pPr>
      <w:r w:rsidRPr="00380EEA">
        <w:rPr>
          <w:b/>
          <w:noProof/>
          <w:szCs w:val="24"/>
          <w:shd w:val="clear" w:color="auto" w:fill="FFFFFF"/>
        </w:rPr>
        <w:t xml:space="preserve">The Commission and EU agencies support the Member States by providing </w:t>
      </w:r>
      <w:r w:rsidR="00DF416B" w:rsidRPr="00380EEA">
        <w:rPr>
          <w:b/>
          <w:noProof/>
          <w:szCs w:val="24"/>
          <w:shd w:val="clear" w:color="auto" w:fill="FFFFFF"/>
        </w:rPr>
        <w:t xml:space="preserve">means and </w:t>
      </w:r>
      <w:r w:rsidRPr="00380EEA">
        <w:rPr>
          <w:b/>
          <w:noProof/>
          <w:szCs w:val="24"/>
          <w:shd w:val="clear" w:color="auto" w:fill="FFFFFF"/>
        </w:rPr>
        <w:t>tools for the exchange of information between national law enforcement authorities</w:t>
      </w:r>
      <w:r w:rsidR="00DF416B">
        <w:rPr>
          <w:noProof/>
          <w:szCs w:val="24"/>
          <w:shd w:val="clear" w:color="auto" w:fill="FFFFFF"/>
        </w:rPr>
        <w:t xml:space="preserve">, such as </w:t>
      </w:r>
      <w:r w:rsidRPr="00911B1D">
        <w:rPr>
          <w:noProof/>
          <w:szCs w:val="24"/>
          <w:shd w:val="clear" w:color="auto" w:fill="FFFFFF"/>
        </w:rPr>
        <w:t xml:space="preserve">the </w:t>
      </w:r>
      <w:r w:rsidRPr="00380EEA">
        <w:rPr>
          <w:noProof/>
          <w:szCs w:val="24"/>
          <w:shd w:val="clear" w:color="auto" w:fill="FFFFFF"/>
        </w:rPr>
        <w:t>Schengen Information System</w:t>
      </w:r>
      <w:r w:rsidR="003E2F03" w:rsidRPr="00380EEA">
        <w:rPr>
          <w:noProof/>
          <w:szCs w:val="24"/>
          <w:shd w:val="clear" w:color="auto" w:fill="FFFFFF"/>
        </w:rPr>
        <w:t xml:space="preserve"> (SIS)</w:t>
      </w:r>
      <w:r w:rsidRPr="008A7AE0">
        <w:rPr>
          <w:noProof/>
          <w:szCs w:val="24"/>
          <w:shd w:val="clear" w:color="auto" w:fill="FFFFFF"/>
        </w:rPr>
        <w:t xml:space="preserve">, </w:t>
      </w:r>
      <w:r w:rsidR="00DF416B" w:rsidRPr="008A7AE0">
        <w:rPr>
          <w:i/>
          <w:noProof/>
          <w:szCs w:val="24"/>
          <w:shd w:val="clear" w:color="auto" w:fill="FFFFFF"/>
        </w:rPr>
        <w:t>inter alia</w:t>
      </w:r>
      <w:r w:rsidR="00DF416B" w:rsidRPr="008A7AE0">
        <w:rPr>
          <w:noProof/>
          <w:szCs w:val="24"/>
          <w:shd w:val="clear" w:color="auto" w:fill="FFFFFF"/>
        </w:rPr>
        <w:t xml:space="preserve"> </w:t>
      </w:r>
      <w:r w:rsidRPr="001121F6">
        <w:rPr>
          <w:noProof/>
          <w:szCs w:val="24"/>
          <w:shd w:val="clear" w:color="auto" w:fill="FFFFFF"/>
        </w:rPr>
        <w:t>used to exchange data on wanted and missing persons and objects in real time</w:t>
      </w:r>
      <w:r w:rsidR="00DF416B" w:rsidRPr="001121F6">
        <w:rPr>
          <w:noProof/>
          <w:szCs w:val="24"/>
          <w:shd w:val="clear" w:color="auto" w:fill="FFFFFF"/>
        </w:rPr>
        <w:t>, and the</w:t>
      </w:r>
      <w:r w:rsidRPr="001121F6">
        <w:rPr>
          <w:noProof/>
          <w:szCs w:val="24"/>
          <w:shd w:val="clear" w:color="auto" w:fill="FFFFFF"/>
        </w:rPr>
        <w:t xml:space="preserve"> </w:t>
      </w:r>
      <w:r w:rsidRPr="00380EEA">
        <w:rPr>
          <w:noProof/>
          <w:szCs w:val="24"/>
          <w:shd w:val="clear" w:color="auto" w:fill="FFFFFF"/>
        </w:rPr>
        <w:t xml:space="preserve">Prüm </w:t>
      </w:r>
      <w:r w:rsidR="00DF416B" w:rsidRPr="008A7AE0">
        <w:rPr>
          <w:noProof/>
          <w:szCs w:val="24"/>
          <w:shd w:val="clear" w:color="auto" w:fill="FFFFFF"/>
        </w:rPr>
        <w:t>mechanism</w:t>
      </w:r>
      <w:r w:rsidRPr="008A7AE0">
        <w:rPr>
          <w:noProof/>
          <w:szCs w:val="24"/>
          <w:shd w:val="clear" w:color="auto" w:fill="FFFFFF"/>
        </w:rPr>
        <w:t>, aim</w:t>
      </w:r>
      <w:r w:rsidR="00DF416B" w:rsidRPr="008A7AE0">
        <w:rPr>
          <w:noProof/>
          <w:szCs w:val="24"/>
          <w:shd w:val="clear" w:color="auto" w:fill="FFFFFF"/>
        </w:rPr>
        <w:t>ed</w:t>
      </w:r>
      <w:r w:rsidRPr="001121F6">
        <w:rPr>
          <w:noProof/>
          <w:szCs w:val="24"/>
          <w:shd w:val="clear" w:color="auto" w:fill="FFFFFF"/>
        </w:rPr>
        <w:t xml:space="preserve"> to step up the exchange of biometric and vehicle registration data information, between authorities responsible for the prevention and investigation of criminal offences. </w:t>
      </w:r>
    </w:p>
    <w:p w14:paraId="595793C1" w14:textId="0E024918" w:rsidR="00115321" w:rsidRPr="00276A4F" w:rsidRDefault="00115321" w:rsidP="00115321">
      <w:pPr>
        <w:pStyle w:val="Text1"/>
        <w:spacing w:after="120"/>
        <w:ind w:left="0"/>
        <w:rPr>
          <w:noProof/>
          <w:szCs w:val="24"/>
          <w:shd w:val="clear" w:color="auto" w:fill="FFFFFF"/>
        </w:rPr>
      </w:pPr>
      <w:r w:rsidRPr="001121F6">
        <w:rPr>
          <w:noProof/>
          <w:szCs w:val="24"/>
          <w:shd w:val="clear" w:color="auto" w:fill="FFFFFF"/>
        </w:rPr>
        <w:t>The 2006</w:t>
      </w:r>
      <w:r w:rsidRPr="00380EEA">
        <w:rPr>
          <w:noProof/>
          <w:szCs w:val="24"/>
          <w:shd w:val="clear" w:color="auto" w:fill="FFFFFF"/>
        </w:rPr>
        <w:t> Swedish Framework Decision (SFD)</w:t>
      </w:r>
      <w:r w:rsidRPr="008A7AE0">
        <w:rPr>
          <w:noProof/>
          <w:szCs w:val="24"/>
        </w:rPr>
        <w:t xml:space="preserve"> complement</w:t>
      </w:r>
      <w:r w:rsidR="00660F80" w:rsidRPr="008A7AE0">
        <w:rPr>
          <w:noProof/>
          <w:szCs w:val="24"/>
        </w:rPr>
        <w:t>s</w:t>
      </w:r>
      <w:r>
        <w:rPr>
          <w:noProof/>
          <w:szCs w:val="24"/>
        </w:rPr>
        <w:t xml:space="preserve"> th</w:t>
      </w:r>
      <w:r w:rsidR="00DF416B">
        <w:rPr>
          <w:noProof/>
          <w:szCs w:val="24"/>
        </w:rPr>
        <w:t xml:space="preserve">ese tools </w:t>
      </w:r>
      <w:r w:rsidR="00660F80">
        <w:rPr>
          <w:noProof/>
        </w:rPr>
        <w:t xml:space="preserve">by introducing </w:t>
      </w:r>
      <w:r>
        <w:rPr>
          <w:noProof/>
        </w:rPr>
        <w:t xml:space="preserve">horizontal </w:t>
      </w:r>
      <w:r w:rsidR="00660F80">
        <w:rPr>
          <w:noProof/>
        </w:rPr>
        <w:t>rules</w:t>
      </w:r>
      <w:r w:rsidRPr="00101FCC">
        <w:rPr>
          <w:noProof/>
        </w:rPr>
        <w:t xml:space="preserve"> </w:t>
      </w:r>
      <w:r w:rsidR="00660F80">
        <w:rPr>
          <w:noProof/>
        </w:rPr>
        <w:t>on</w:t>
      </w:r>
      <w:r w:rsidRPr="00101FCC">
        <w:rPr>
          <w:noProof/>
        </w:rPr>
        <w:t xml:space="preserve"> </w:t>
      </w:r>
      <w:r w:rsidRPr="00276A4F">
        <w:rPr>
          <w:noProof/>
          <w:szCs w:val="24"/>
          <w:shd w:val="clear" w:color="auto" w:fill="FFFFFF"/>
        </w:rPr>
        <w:t xml:space="preserve">the exchange of information between law enforcement authorities of EU </w:t>
      </w:r>
      <w:r w:rsidR="008820E1">
        <w:rPr>
          <w:noProof/>
          <w:szCs w:val="24"/>
          <w:shd w:val="clear" w:color="auto" w:fill="FFFFFF"/>
        </w:rPr>
        <w:t>Member States</w:t>
      </w:r>
      <w:r w:rsidRPr="00276A4F">
        <w:rPr>
          <w:noProof/>
          <w:szCs w:val="24"/>
          <w:shd w:val="clear" w:color="auto" w:fill="FFFFFF"/>
        </w:rPr>
        <w:t xml:space="preserve"> </w:t>
      </w:r>
      <w:r w:rsidR="00873DB2">
        <w:rPr>
          <w:noProof/>
        </w:rPr>
        <w:t xml:space="preserve">to </w:t>
      </w:r>
      <w:r>
        <w:rPr>
          <w:noProof/>
        </w:rPr>
        <w:t>conduct criminal investigation</w:t>
      </w:r>
      <w:r w:rsidR="00873DB2">
        <w:rPr>
          <w:noProof/>
        </w:rPr>
        <w:t>s</w:t>
      </w:r>
      <w:r>
        <w:rPr>
          <w:noProof/>
        </w:rPr>
        <w:t xml:space="preserve"> or criminal intelligence operation</w:t>
      </w:r>
      <w:r w:rsidR="00873DB2">
        <w:rPr>
          <w:noProof/>
        </w:rPr>
        <w:t>s</w:t>
      </w:r>
      <w:r>
        <w:rPr>
          <w:noProof/>
        </w:rPr>
        <w:t>. The SFD</w:t>
      </w:r>
      <w:r w:rsidRPr="00276A4F">
        <w:rPr>
          <w:noProof/>
          <w:szCs w:val="24"/>
          <w:shd w:val="clear" w:color="auto" w:fill="FFFFFF"/>
        </w:rPr>
        <w:t xml:space="preserve"> sets out rules regarding time limits and standard forms for the exchange of any type of information or data held by law enforcement authorities (</w:t>
      </w:r>
      <w:r w:rsidRPr="00273CFC">
        <w:rPr>
          <w:b/>
          <w:noProof/>
          <w:szCs w:val="24"/>
          <w:shd w:val="clear" w:color="auto" w:fill="FFFFFF"/>
        </w:rPr>
        <w:t>principle of availability</w:t>
      </w:r>
      <w:r w:rsidRPr="00276A4F">
        <w:rPr>
          <w:noProof/>
          <w:szCs w:val="24"/>
          <w:shd w:val="clear" w:color="auto" w:fill="FFFFFF"/>
        </w:rPr>
        <w:t>), on prior request or spontaneously, ensuring that procedures for cross-border data exchanges are not stricter than those applying to exchanges at national level (</w:t>
      </w:r>
      <w:r w:rsidRPr="00273CFC">
        <w:rPr>
          <w:b/>
          <w:noProof/>
          <w:szCs w:val="24"/>
          <w:shd w:val="clear" w:color="auto" w:fill="FFFFFF"/>
        </w:rPr>
        <w:t>principle of equivalent access</w:t>
      </w:r>
      <w:r w:rsidRPr="00276A4F">
        <w:rPr>
          <w:noProof/>
          <w:szCs w:val="24"/>
          <w:shd w:val="clear" w:color="auto" w:fill="FFFFFF"/>
        </w:rPr>
        <w:t>).</w:t>
      </w:r>
      <w:r>
        <w:rPr>
          <w:noProof/>
          <w:szCs w:val="24"/>
          <w:shd w:val="clear" w:color="auto" w:fill="FFFFFF"/>
        </w:rPr>
        <w:t xml:space="preserve"> It also covers the channels of communication to be used. </w:t>
      </w:r>
      <w:r w:rsidRPr="004C00AE">
        <w:rPr>
          <w:noProof/>
        </w:rPr>
        <w:t xml:space="preserve">A response should be made </w:t>
      </w:r>
      <w:r w:rsidRPr="00A22685">
        <w:rPr>
          <w:noProof/>
        </w:rPr>
        <w:t xml:space="preserve">within </w:t>
      </w:r>
      <w:r w:rsidRPr="00273CFC">
        <w:rPr>
          <w:noProof/>
        </w:rPr>
        <w:t>8 hours</w:t>
      </w:r>
      <w:r w:rsidRPr="004C00AE">
        <w:rPr>
          <w:noProof/>
        </w:rPr>
        <w:t xml:space="preserve"> where the request is urgent. In other cases, countries should respond</w:t>
      </w:r>
      <w:r w:rsidRPr="00A22685">
        <w:rPr>
          <w:noProof/>
        </w:rPr>
        <w:t xml:space="preserve"> within</w:t>
      </w:r>
      <w:r w:rsidRPr="00273CFC">
        <w:rPr>
          <w:noProof/>
        </w:rPr>
        <w:t xml:space="preserve"> 14 days.</w:t>
      </w:r>
    </w:p>
    <w:p w14:paraId="14D3A19B" w14:textId="75A63BEB" w:rsidR="00873DB2" w:rsidRDefault="00873DB2" w:rsidP="00115321">
      <w:pPr>
        <w:pStyle w:val="Text1"/>
        <w:spacing w:after="120"/>
        <w:ind w:left="0"/>
        <w:rPr>
          <w:noProof/>
        </w:rPr>
      </w:pPr>
      <w:r w:rsidRPr="00380EEA">
        <w:rPr>
          <w:b/>
          <w:noProof/>
        </w:rPr>
        <w:t>Europol</w:t>
      </w:r>
      <w:r w:rsidRPr="00973D81">
        <w:rPr>
          <w:noProof/>
        </w:rPr>
        <w:t xml:space="preserve">, the EU law enforcement agency, </w:t>
      </w:r>
      <w:r w:rsidR="00337A13" w:rsidRPr="00380EEA">
        <w:rPr>
          <w:noProof/>
        </w:rPr>
        <w:t>support</w:t>
      </w:r>
      <w:r w:rsidR="00973D81" w:rsidRPr="00973D81">
        <w:rPr>
          <w:noProof/>
        </w:rPr>
        <w:t>s</w:t>
      </w:r>
      <w:r w:rsidR="00337A13" w:rsidRPr="00380EEA">
        <w:rPr>
          <w:noProof/>
        </w:rPr>
        <w:t xml:space="preserve"> EU Member States in their fight against terrorism, cybercrime and other serious and organised forms of crime</w:t>
      </w:r>
      <w:r w:rsidR="00337A13" w:rsidRPr="00973D81">
        <w:rPr>
          <w:noProof/>
        </w:rPr>
        <w:t xml:space="preserve">, notably through the collection, </w:t>
      </w:r>
      <w:r w:rsidR="0094353F" w:rsidRPr="00973D81">
        <w:rPr>
          <w:noProof/>
        </w:rPr>
        <w:t>analysis</w:t>
      </w:r>
      <w:r w:rsidR="00337A13" w:rsidRPr="00973D81">
        <w:rPr>
          <w:noProof/>
        </w:rPr>
        <w:t xml:space="preserve"> and exchange of information with Member States</w:t>
      </w:r>
      <w:r w:rsidR="00337A13" w:rsidRPr="00380EEA">
        <w:rPr>
          <w:noProof/>
        </w:rPr>
        <w:t>.</w:t>
      </w:r>
      <w:r w:rsidR="00337A13" w:rsidRPr="00973D81">
        <w:rPr>
          <w:rFonts w:ascii="Arial" w:hAnsi="Arial" w:cs="Arial"/>
          <w:noProof/>
          <w:color w:val="222222"/>
          <w:shd w:val="clear" w:color="auto" w:fill="FFFFFF"/>
        </w:rPr>
        <w:t> </w:t>
      </w:r>
    </w:p>
    <w:p w14:paraId="0FCC2F21" w14:textId="3898F5AB" w:rsidR="00DE7D86" w:rsidRDefault="00810E66" w:rsidP="00115321">
      <w:pPr>
        <w:pStyle w:val="Text1"/>
        <w:spacing w:after="120"/>
        <w:ind w:left="0"/>
        <w:rPr>
          <w:noProof/>
        </w:rPr>
      </w:pPr>
      <w:r>
        <w:rPr>
          <w:bCs/>
          <w:noProof/>
        </w:rPr>
        <w:t>T</w:t>
      </w:r>
      <w:r w:rsidR="00115321" w:rsidRPr="00873372">
        <w:rPr>
          <w:bCs/>
          <w:noProof/>
        </w:rPr>
        <w:t xml:space="preserve">he </w:t>
      </w:r>
      <w:r w:rsidR="00115321" w:rsidRPr="00380EEA">
        <w:rPr>
          <w:b/>
          <w:bCs/>
          <w:noProof/>
        </w:rPr>
        <w:t>EU has also fostered greater cooperation between law enforcement bodies through the publication of</w:t>
      </w:r>
      <w:r w:rsidR="00115321">
        <w:rPr>
          <w:b/>
          <w:bCs/>
          <w:noProof/>
        </w:rPr>
        <w:t xml:space="preserve"> recommendations and guidelines</w:t>
      </w:r>
      <w:r w:rsidR="004D0264">
        <w:rPr>
          <w:b/>
          <w:bCs/>
          <w:noProof/>
        </w:rPr>
        <w:t xml:space="preserve"> </w:t>
      </w:r>
      <w:r w:rsidR="004D0264" w:rsidRPr="00273CFC">
        <w:rPr>
          <w:bCs/>
          <w:noProof/>
        </w:rPr>
        <w:t xml:space="preserve">(e.g. </w:t>
      </w:r>
      <w:r w:rsidR="00273CFC" w:rsidRPr="00273CFC">
        <w:rPr>
          <w:bCs/>
          <w:noProof/>
        </w:rPr>
        <w:t>on national Single Point of Contact responsible for law enforcement exchange of information</w:t>
      </w:r>
      <w:r w:rsidR="004D0264" w:rsidRPr="00273CFC">
        <w:rPr>
          <w:bCs/>
          <w:noProof/>
        </w:rPr>
        <w:t>)</w:t>
      </w:r>
      <w:r w:rsidR="00115321" w:rsidRPr="002503E5">
        <w:rPr>
          <w:noProof/>
        </w:rPr>
        <w:t>.</w:t>
      </w:r>
      <w:r w:rsidR="00115321" w:rsidRPr="002503E5">
        <w:rPr>
          <w:caps/>
          <w:noProof/>
        </w:rPr>
        <w:t xml:space="preserve"> </w:t>
      </w:r>
      <w:r w:rsidR="00115321" w:rsidRPr="00B96378">
        <w:rPr>
          <w:noProof/>
        </w:rPr>
        <w:t>Those seek to lay out the grounds for</w:t>
      </w:r>
      <w:r w:rsidR="00115321">
        <w:rPr>
          <w:noProof/>
        </w:rPr>
        <w:t xml:space="preserve"> adopting common approaches to </w:t>
      </w:r>
      <w:r w:rsidR="00C84CD3">
        <w:rPr>
          <w:noProof/>
        </w:rPr>
        <w:t xml:space="preserve">the </w:t>
      </w:r>
      <w:r w:rsidR="00115321">
        <w:rPr>
          <w:noProof/>
        </w:rPr>
        <w:t xml:space="preserve">access and </w:t>
      </w:r>
      <w:r w:rsidR="00C84CD3">
        <w:rPr>
          <w:noProof/>
        </w:rPr>
        <w:t xml:space="preserve">the </w:t>
      </w:r>
      <w:r w:rsidR="00115321">
        <w:rPr>
          <w:noProof/>
        </w:rPr>
        <w:t xml:space="preserve">exchange of information </w:t>
      </w:r>
      <w:r w:rsidR="00115321" w:rsidRPr="00B96378">
        <w:rPr>
          <w:noProof/>
        </w:rPr>
        <w:t>within the EU. They also seek to clarify the implementation of binding rules</w:t>
      </w:r>
      <w:r w:rsidR="00A7181E">
        <w:rPr>
          <w:rStyle w:val="FootnoteReference"/>
          <w:noProof/>
        </w:rPr>
        <w:footnoteReference w:id="10"/>
      </w:r>
      <w:r w:rsidR="00115321" w:rsidRPr="00B96378">
        <w:rPr>
          <w:noProof/>
        </w:rPr>
        <w:t>.</w:t>
      </w:r>
    </w:p>
    <w:p w14:paraId="4659FB48" w14:textId="77777777" w:rsidR="00DE7D86" w:rsidRPr="00AE777C" w:rsidRDefault="005646B7" w:rsidP="00094199">
      <w:pPr>
        <w:pStyle w:val="Heading2"/>
        <w:rPr>
          <w:noProof/>
        </w:rPr>
      </w:pPr>
      <w:r w:rsidRPr="00AE777C">
        <w:rPr>
          <w:noProof/>
        </w:rPr>
        <w:t xml:space="preserve"> </w:t>
      </w:r>
      <w:r w:rsidR="00094199">
        <w:rPr>
          <w:noProof/>
        </w:rPr>
        <w:t xml:space="preserve"> </w:t>
      </w:r>
      <w:bookmarkStart w:id="9" w:name="_Toc83801009"/>
      <w:r w:rsidR="00DE7D86" w:rsidRPr="00AE777C">
        <w:rPr>
          <w:noProof/>
        </w:rPr>
        <w:t>Recent developments</w:t>
      </w:r>
      <w:bookmarkEnd w:id="9"/>
    </w:p>
    <w:p w14:paraId="0509D240" w14:textId="021B1E23" w:rsidR="00D32F94" w:rsidRDefault="004D0264" w:rsidP="00115321">
      <w:pPr>
        <w:pStyle w:val="Text1"/>
        <w:spacing w:after="120"/>
        <w:ind w:left="0"/>
        <w:rPr>
          <w:noProof/>
        </w:rPr>
      </w:pPr>
      <w:r>
        <w:rPr>
          <w:noProof/>
        </w:rPr>
        <w:t>In recent years, m</w:t>
      </w:r>
      <w:r w:rsidR="00D32F94">
        <w:rPr>
          <w:noProof/>
        </w:rPr>
        <w:t xml:space="preserve">uch progress has been made to improve the exchange of information </w:t>
      </w:r>
      <w:r w:rsidR="004024F6">
        <w:rPr>
          <w:noProof/>
        </w:rPr>
        <w:t xml:space="preserve">between </w:t>
      </w:r>
      <w:r w:rsidR="00D32F94">
        <w:rPr>
          <w:noProof/>
        </w:rPr>
        <w:t xml:space="preserve">Member States and to close down the space in which terrorists and criminals operate. </w:t>
      </w:r>
    </w:p>
    <w:p w14:paraId="64D3939A" w14:textId="2AFFBCA9" w:rsidR="00810DE6" w:rsidRPr="00810DE6" w:rsidRDefault="00C76702" w:rsidP="00810DE6">
      <w:pPr>
        <w:pStyle w:val="Text1"/>
        <w:spacing w:after="120"/>
        <w:ind w:left="0"/>
        <w:rPr>
          <w:noProof/>
        </w:rPr>
      </w:pPr>
      <w:r w:rsidRPr="00BF2A8C">
        <w:rPr>
          <w:noProof/>
          <w:szCs w:val="24"/>
        </w:rPr>
        <w:t xml:space="preserve">The legislative framework on counterterrorism and information exchange was strengthened in the aftermath of the terrorist attacks in Europe. </w:t>
      </w:r>
      <w:r>
        <w:rPr>
          <w:noProof/>
          <w:szCs w:val="24"/>
        </w:rPr>
        <w:t>Following the migration crisis of 2015, th</w:t>
      </w:r>
      <w:r w:rsidRPr="00BF2A8C">
        <w:rPr>
          <w:noProof/>
          <w:szCs w:val="24"/>
        </w:rPr>
        <w:t xml:space="preserve">e general architecture of Justice </w:t>
      </w:r>
      <w:r w:rsidR="004024F6">
        <w:rPr>
          <w:noProof/>
          <w:szCs w:val="24"/>
        </w:rPr>
        <w:t>and</w:t>
      </w:r>
      <w:r w:rsidR="004024F6" w:rsidRPr="00BF2A8C">
        <w:rPr>
          <w:noProof/>
          <w:szCs w:val="24"/>
        </w:rPr>
        <w:t xml:space="preserve"> </w:t>
      </w:r>
      <w:r w:rsidRPr="00BF2A8C">
        <w:rPr>
          <w:noProof/>
          <w:szCs w:val="24"/>
        </w:rPr>
        <w:t xml:space="preserve">Home Affairs (JHA) information systems and databases was overhauled with a focus on interoperability and dynamic convergence between security, borders and migration management. The mandates of JHA agencies are continuously being strengthened to allow them to provide </w:t>
      </w:r>
      <w:r w:rsidR="00C84CD3">
        <w:rPr>
          <w:noProof/>
          <w:szCs w:val="24"/>
        </w:rPr>
        <w:t xml:space="preserve">enhanced </w:t>
      </w:r>
      <w:r w:rsidRPr="00BF2A8C">
        <w:rPr>
          <w:noProof/>
          <w:szCs w:val="24"/>
        </w:rPr>
        <w:t>support to Member States in their operational activities.</w:t>
      </w:r>
      <w:r w:rsidR="008F621A">
        <w:rPr>
          <w:rStyle w:val="FootnoteReference"/>
          <w:noProof/>
          <w:szCs w:val="24"/>
        </w:rPr>
        <w:footnoteReference w:id="11"/>
      </w:r>
    </w:p>
    <w:p w14:paraId="23D2572F" w14:textId="3B4988BB" w:rsidR="00C76702" w:rsidRPr="00BF2A8C" w:rsidRDefault="00EC3590" w:rsidP="00C76702">
      <w:pPr>
        <w:pStyle w:val="Text1"/>
        <w:spacing w:after="120"/>
        <w:ind w:left="0"/>
        <w:rPr>
          <w:noProof/>
          <w:szCs w:val="24"/>
          <w:lang w:eastAsia="en-GB"/>
        </w:rPr>
      </w:pPr>
      <w:r>
        <w:rPr>
          <w:noProof/>
          <w:szCs w:val="24"/>
          <w:lang w:eastAsia="en-GB"/>
        </w:rPr>
        <w:t>Strategic documents underpin the Commission’s</w:t>
      </w:r>
      <w:r w:rsidR="004D0264">
        <w:rPr>
          <w:noProof/>
          <w:szCs w:val="24"/>
          <w:lang w:eastAsia="en-GB"/>
        </w:rPr>
        <w:t xml:space="preserve"> effort</w:t>
      </w:r>
      <w:r>
        <w:rPr>
          <w:noProof/>
          <w:szCs w:val="24"/>
          <w:lang w:eastAsia="en-GB"/>
        </w:rPr>
        <w:t>s</w:t>
      </w:r>
      <w:r w:rsidR="004D0264">
        <w:rPr>
          <w:noProof/>
          <w:szCs w:val="24"/>
          <w:lang w:eastAsia="en-GB"/>
        </w:rPr>
        <w:t xml:space="preserve"> to </w:t>
      </w:r>
      <w:r w:rsidR="00C76702">
        <w:rPr>
          <w:noProof/>
          <w:szCs w:val="24"/>
          <w:lang w:eastAsia="en-GB"/>
        </w:rPr>
        <w:t>improv</w:t>
      </w:r>
      <w:r>
        <w:rPr>
          <w:noProof/>
          <w:szCs w:val="24"/>
          <w:lang w:eastAsia="en-GB"/>
        </w:rPr>
        <w:t>e</w:t>
      </w:r>
      <w:r w:rsidR="00C76702">
        <w:rPr>
          <w:noProof/>
          <w:szCs w:val="24"/>
          <w:lang w:eastAsia="en-GB"/>
        </w:rPr>
        <w:t xml:space="preserve"> the efficiency and effectiveness of law enfor</w:t>
      </w:r>
      <w:r w:rsidR="00D32F94">
        <w:rPr>
          <w:noProof/>
          <w:szCs w:val="24"/>
          <w:lang w:eastAsia="en-GB"/>
        </w:rPr>
        <w:t xml:space="preserve">cement </w:t>
      </w:r>
      <w:r w:rsidR="00C76702">
        <w:rPr>
          <w:noProof/>
          <w:szCs w:val="24"/>
          <w:lang w:eastAsia="en-GB"/>
        </w:rPr>
        <w:t>cooperation</w:t>
      </w:r>
      <w:r w:rsidR="004D0264">
        <w:rPr>
          <w:noProof/>
          <w:szCs w:val="24"/>
          <w:lang w:eastAsia="en-GB"/>
        </w:rPr>
        <w:t xml:space="preserve"> in the EU</w:t>
      </w:r>
      <w:r w:rsidR="00C76702" w:rsidRPr="00BF2A8C">
        <w:rPr>
          <w:noProof/>
          <w:szCs w:val="24"/>
          <w:lang w:eastAsia="en-GB"/>
        </w:rPr>
        <w:t>. The</w:t>
      </w:r>
      <w:r w:rsidR="004D0264">
        <w:rPr>
          <w:noProof/>
          <w:szCs w:val="24"/>
          <w:lang w:eastAsia="en-GB"/>
        </w:rPr>
        <w:t>se</w:t>
      </w:r>
      <w:r w:rsidR="00C76702" w:rsidRPr="00BF2A8C">
        <w:rPr>
          <w:noProof/>
          <w:szCs w:val="24"/>
          <w:lang w:eastAsia="en-GB"/>
        </w:rPr>
        <w:t xml:space="preserve"> </w:t>
      </w:r>
      <w:r w:rsidR="004D0264">
        <w:rPr>
          <w:noProof/>
          <w:szCs w:val="24"/>
          <w:lang w:eastAsia="en-GB"/>
        </w:rPr>
        <w:t>include</w:t>
      </w:r>
      <w:r w:rsidR="00C76702" w:rsidRPr="00BF2A8C">
        <w:rPr>
          <w:noProof/>
          <w:szCs w:val="24"/>
          <w:lang w:eastAsia="en-GB"/>
        </w:rPr>
        <w:t xml:space="preserve"> the </w:t>
      </w:r>
      <w:r w:rsidR="00C76702" w:rsidRPr="00273CFC">
        <w:rPr>
          <w:b/>
          <w:noProof/>
          <w:szCs w:val="24"/>
          <w:lang w:eastAsia="en-GB"/>
        </w:rPr>
        <w:t>Security Union strategy</w:t>
      </w:r>
      <w:r w:rsidR="00C76702" w:rsidRPr="00BF2A8C">
        <w:rPr>
          <w:rStyle w:val="FootnoteReference"/>
          <w:noProof/>
          <w:szCs w:val="24"/>
        </w:rPr>
        <w:footnoteReference w:id="12"/>
      </w:r>
      <w:r w:rsidR="00C76702" w:rsidRPr="00BF2A8C">
        <w:rPr>
          <w:noProof/>
          <w:szCs w:val="24"/>
          <w:lang w:eastAsia="en-GB"/>
        </w:rPr>
        <w:t xml:space="preserve">, the new </w:t>
      </w:r>
      <w:r w:rsidR="00C76702" w:rsidRPr="00273CFC">
        <w:rPr>
          <w:b/>
          <w:noProof/>
          <w:szCs w:val="24"/>
          <w:lang w:eastAsia="en-GB"/>
        </w:rPr>
        <w:t>counter-terrorism agenda</w:t>
      </w:r>
      <w:r w:rsidR="00C76702" w:rsidRPr="00BF2A8C">
        <w:rPr>
          <w:noProof/>
          <w:szCs w:val="24"/>
          <w:lang w:eastAsia="en-GB"/>
        </w:rPr>
        <w:t xml:space="preserve"> for the EU</w:t>
      </w:r>
      <w:r w:rsidR="00C76702" w:rsidRPr="00BF2A8C">
        <w:rPr>
          <w:rStyle w:val="FootnoteReference"/>
          <w:noProof/>
          <w:szCs w:val="24"/>
          <w:lang w:eastAsia="en-GB"/>
        </w:rPr>
        <w:footnoteReference w:id="13"/>
      </w:r>
      <w:r w:rsidR="00C76702" w:rsidRPr="00BF2A8C">
        <w:rPr>
          <w:noProof/>
          <w:szCs w:val="24"/>
          <w:lang w:eastAsia="en-GB"/>
        </w:rPr>
        <w:t xml:space="preserve">, the </w:t>
      </w:r>
      <w:r w:rsidR="00C76702" w:rsidRPr="00273CFC">
        <w:rPr>
          <w:b/>
          <w:noProof/>
          <w:szCs w:val="24"/>
          <w:lang w:eastAsia="en-GB"/>
        </w:rPr>
        <w:t>EU Strategy to tackle Organised Crime 2021-2025</w:t>
      </w:r>
      <w:r w:rsidR="00C76702" w:rsidRPr="00BF2A8C">
        <w:rPr>
          <w:rStyle w:val="FootnoteReference"/>
          <w:noProof/>
          <w:szCs w:val="24"/>
          <w:lang w:eastAsia="en-GB"/>
        </w:rPr>
        <w:footnoteReference w:id="14"/>
      </w:r>
      <w:r w:rsidR="00C76702" w:rsidRPr="00BF2A8C">
        <w:rPr>
          <w:noProof/>
          <w:szCs w:val="24"/>
          <w:lang w:eastAsia="en-GB"/>
        </w:rPr>
        <w:t xml:space="preserve"> and the new </w:t>
      </w:r>
      <w:r w:rsidR="00C76702" w:rsidRPr="00273CFC">
        <w:rPr>
          <w:b/>
          <w:noProof/>
          <w:szCs w:val="24"/>
          <w:lang w:eastAsia="en-GB"/>
        </w:rPr>
        <w:t>Schengen Strategy</w:t>
      </w:r>
      <w:r w:rsidR="00C76702" w:rsidRPr="00BF2A8C">
        <w:rPr>
          <w:rStyle w:val="FootnoteReference"/>
          <w:noProof/>
          <w:szCs w:val="24"/>
          <w:lang w:eastAsia="en-GB"/>
        </w:rPr>
        <w:footnoteReference w:id="15"/>
      </w:r>
      <w:r w:rsidR="00C76702" w:rsidRPr="00BF2A8C">
        <w:rPr>
          <w:noProof/>
          <w:szCs w:val="24"/>
          <w:lang w:eastAsia="en-GB"/>
        </w:rPr>
        <w:t xml:space="preserve">. </w:t>
      </w:r>
      <w:r w:rsidR="004D0264">
        <w:rPr>
          <w:noProof/>
          <w:szCs w:val="24"/>
          <w:lang w:eastAsia="en-GB"/>
        </w:rPr>
        <w:t>A</w:t>
      </w:r>
      <w:r w:rsidR="00C76702" w:rsidRPr="00BF2A8C">
        <w:rPr>
          <w:noProof/>
          <w:szCs w:val="24"/>
          <w:lang w:eastAsia="en-GB"/>
        </w:rPr>
        <w:t xml:space="preserve">ll stress the need to improve the </w:t>
      </w:r>
      <w:r w:rsidR="00C76702">
        <w:rPr>
          <w:noProof/>
          <w:szCs w:val="24"/>
          <w:lang w:eastAsia="en-GB"/>
        </w:rPr>
        <w:t>timely</w:t>
      </w:r>
      <w:r w:rsidR="00C76702" w:rsidRPr="00BF2A8C">
        <w:rPr>
          <w:noProof/>
          <w:szCs w:val="24"/>
          <w:lang w:eastAsia="en-GB"/>
        </w:rPr>
        <w:t xml:space="preserve"> access and smooth exchange of information </w:t>
      </w:r>
      <w:r w:rsidR="00C76702">
        <w:rPr>
          <w:noProof/>
          <w:szCs w:val="24"/>
          <w:lang w:eastAsia="en-GB"/>
        </w:rPr>
        <w:t xml:space="preserve">for law </w:t>
      </w:r>
      <w:r w:rsidR="00C76702" w:rsidRPr="00BF2A8C">
        <w:rPr>
          <w:noProof/>
          <w:szCs w:val="24"/>
          <w:lang w:eastAsia="en-GB"/>
        </w:rPr>
        <w:t xml:space="preserve">enforcement </w:t>
      </w:r>
      <w:r w:rsidR="00C76702">
        <w:rPr>
          <w:noProof/>
          <w:szCs w:val="24"/>
          <w:lang w:eastAsia="en-GB"/>
        </w:rPr>
        <w:t>purposes</w:t>
      </w:r>
      <w:r w:rsidR="00C76702" w:rsidRPr="00BF2A8C">
        <w:rPr>
          <w:noProof/>
          <w:szCs w:val="24"/>
          <w:lang w:eastAsia="en-GB"/>
        </w:rPr>
        <w:t xml:space="preserve">, </w:t>
      </w:r>
      <w:r w:rsidR="004D0264">
        <w:rPr>
          <w:noProof/>
          <w:szCs w:val="24"/>
          <w:lang w:eastAsia="en-GB"/>
        </w:rPr>
        <w:t xml:space="preserve">both </w:t>
      </w:r>
      <w:r w:rsidR="00C76702" w:rsidRPr="00BF2A8C">
        <w:rPr>
          <w:noProof/>
          <w:szCs w:val="24"/>
          <w:lang w:eastAsia="en-GB"/>
        </w:rPr>
        <w:t xml:space="preserve">between Member States </w:t>
      </w:r>
      <w:r w:rsidR="004D0264">
        <w:rPr>
          <w:noProof/>
          <w:szCs w:val="24"/>
          <w:lang w:eastAsia="en-GB"/>
        </w:rPr>
        <w:t>and</w:t>
      </w:r>
      <w:r w:rsidR="00C76702" w:rsidRPr="00BF2A8C">
        <w:rPr>
          <w:noProof/>
          <w:szCs w:val="24"/>
          <w:lang w:eastAsia="en-GB"/>
        </w:rPr>
        <w:t xml:space="preserve"> with Schenge</w:t>
      </w:r>
      <w:r w:rsidR="00C76702">
        <w:rPr>
          <w:noProof/>
          <w:szCs w:val="24"/>
          <w:lang w:eastAsia="en-GB"/>
        </w:rPr>
        <w:t>n Associated Countries (SAC).</w:t>
      </w:r>
    </w:p>
    <w:p w14:paraId="33DDA17A" w14:textId="06161547" w:rsidR="00230EEE" w:rsidRDefault="008A2E4C" w:rsidP="00C76702">
      <w:pPr>
        <w:pStyle w:val="Text1"/>
        <w:spacing w:after="120"/>
        <w:ind w:left="0"/>
        <w:rPr>
          <w:noProof/>
          <w:szCs w:val="24"/>
        </w:rPr>
      </w:pPr>
      <w:r w:rsidRPr="00380EEA">
        <w:rPr>
          <w:b/>
          <w:noProof/>
          <w:szCs w:val="24"/>
        </w:rPr>
        <w:t>In spite</w:t>
      </w:r>
      <w:r w:rsidR="00711378" w:rsidRPr="00380EEA">
        <w:rPr>
          <w:b/>
          <w:noProof/>
          <w:szCs w:val="24"/>
        </w:rPr>
        <w:t xml:space="preserve"> of </w:t>
      </w:r>
      <w:r w:rsidR="00EC3590" w:rsidRPr="00380EEA">
        <w:rPr>
          <w:b/>
          <w:noProof/>
          <w:szCs w:val="24"/>
        </w:rPr>
        <w:t xml:space="preserve">the </w:t>
      </w:r>
      <w:r w:rsidR="00711378" w:rsidRPr="00380EEA">
        <w:rPr>
          <w:b/>
          <w:noProof/>
          <w:szCs w:val="24"/>
        </w:rPr>
        <w:t xml:space="preserve">progress made </w:t>
      </w:r>
      <w:r w:rsidR="008D4492" w:rsidRPr="00380EEA">
        <w:rPr>
          <w:b/>
          <w:noProof/>
          <w:szCs w:val="24"/>
        </w:rPr>
        <w:t>in recent years</w:t>
      </w:r>
      <w:r w:rsidR="00EC3590" w:rsidRPr="00380EEA">
        <w:rPr>
          <w:b/>
          <w:noProof/>
          <w:szCs w:val="24"/>
        </w:rPr>
        <w:t>,</w:t>
      </w:r>
      <w:r w:rsidR="008D4492" w:rsidRPr="00380EEA">
        <w:rPr>
          <w:b/>
          <w:noProof/>
          <w:szCs w:val="24"/>
        </w:rPr>
        <w:t xml:space="preserve"> important</w:t>
      </w:r>
      <w:r w:rsidR="008D4492">
        <w:rPr>
          <w:noProof/>
          <w:szCs w:val="24"/>
        </w:rPr>
        <w:t xml:space="preserve"> </w:t>
      </w:r>
      <w:r w:rsidR="008D4492" w:rsidRPr="00273CFC">
        <w:rPr>
          <w:b/>
          <w:noProof/>
          <w:szCs w:val="24"/>
        </w:rPr>
        <w:t>c</w:t>
      </w:r>
      <w:r w:rsidR="00711378">
        <w:rPr>
          <w:b/>
          <w:noProof/>
        </w:rPr>
        <w:t>hallenges</w:t>
      </w:r>
      <w:r w:rsidR="00711378" w:rsidRPr="00951489">
        <w:rPr>
          <w:b/>
          <w:noProof/>
        </w:rPr>
        <w:t xml:space="preserve"> remain</w:t>
      </w:r>
      <w:r w:rsidR="008D4492" w:rsidRPr="00380EEA">
        <w:rPr>
          <w:noProof/>
        </w:rPr>
        <w:t>,</w:t>
      </w:r>
      <w:r w:rsidR="00711378" w:rsidRPr="00380EEA">
        <w:rPr>
          <w:noProof/>
        </w:rPr>
        <w:t xml:space="preserve"> </w:t>
      </w:r>
      <w:r w:rsidR="00183628">
        <w:rPr>
          <w:noProof/>
        </w:rPr>
        <w:t>a very pressing one</w:t>
      </w:r>
      <w:r w:rsidR="00EC3590">
        <w:rPr>
          <w:noProof/>
        </w:rPr>
        <w:t xml:space="preserve"> among these</w:t>
      </w:r>
      <w:r w:rsidR="00711378">
        <w:rPr>
          <w:noProof/>
        </w:rPr>
        <w:t xml:space="preserve"> being that l</w:t>
      </w:r>
      <w:r w:rsidR="00711378" w:rsidRPr="00855F6C">
        <w:rPr>
          <w:noProof/>
        </w:rPr>
        <w:t xml:space="preserve">aw enforcement authorities </w:t>
      </w:r>
      <w:r w:rsidR="00711378" w:rsidRPr="00810DE6">
        <w:rPr>
          <w:noProof/>
        </w:rPr>
        <w:t xml:space="preserve">do </w:t>
      </w:r>
      <w:r w:rsidR="00711378" w:rsidRPr="00380EEA">
        <w:rPr>
          <w:noProof/>
        </w:rPr>
        <w:t>not</w:t>
      </w:r>
      <w:r w:rsidR="00711378" w:rsidRPr="00810DE6">
        <w:rPr>
          <w:noProof/>
        </w:rPr>
        <w:t xml:space="preserve"> </w:t>
      </w:r>
      <w:r w:rsidR="00711378">
        <w:rPr>
          <w:noProof/>
        </w:rPr>
        <w:t xml:space="preserve">always </w:t>
      </w:r>
      <w:r w:rsidR="00711378" w:rsidRPr="00810DE6">
        <w:rPr>
          <w:noProof/>
        </w:rPr>
        <w:t>effectively and efficiently exchange information</w:t>
      </w:r>
      <w:r w:rsidR="00711378" w:rsidRPr="00855F6C">
        <w:rPr>
          <w:noProof/>
        </w:rPr>
        <w:t xml:space="preserve"> with their partners in other Member States</w:t>
      </w:r>
      <w:r w:rsidR="00711378">
        <w:rPr>
          <w:noProof/>
          <w:szCs w:val="24"/>
        </w:rPr>
        <w:t>.</w:t>
      </w:r>
    </w:p>
    <w:p w14:paraId="33BE6C18" w14:textId="208F60D3" w:rsidR="00711378" w:rsidRPr="00BF2A8C" w:rsidRDefault="00230EEE" w:rsidP="00C76702">
      <w:pPr>
        <w:pStyle w:val="Text1"/>
        <w:spacing w:after="120"/>
        <w:ind w:left="0"/>
        <w:rPr>
          <w:noProof/>
          <w:szCs w:val="24"/>
        </w:rPr>
      </w:pPr>
      <w:r>
        <w:rPr>
          <w:noProof/>
          <w:szCs w:val="24"/>
        </w:rPr>
        <w:t xml:space="preserve">The </w:t>
      </w:r>
      <w:r w:rsidRPr="00380EEA">
        <w:rPr>
          <w:b/>
          <w:noProof/>
          <w:szCs w:val="24"/>
        </w:rPr>
        <w:t>co-legislators have repeatedly called for further EU action</w:t>
      </w:r>
      <w:r>
        <w:rPr>
          <w:noProof/>
          <w:szCs w:val="24"/>
        </w:rPr>
        <w:t xml:space="preserve"> to address these challenges.</w:t>
      </w:r>
      <w:r w:rsidR="008D4492">
        <w:rPr>
          <w:noProof/>
          <w:szCs w:val="24"/>
        </w:rPr>
        <w:t xml:space="preserve"> </w:t>
      </w:r>
      <w:r>
        <w:rPr>
          <w:noProof/>
          <w:szCs w:val="24"/>
        </w:rPr>
        <w:t>T</w:t>
      </w:r>
      <w:r w:rsidR="008D4492">
        <w:rPr>
          <w:noProof/>
          <w:szCs w:val="24"/>
        </w:rPr>
        <w:t xml:space="preserve">he </w:t>
      </w:r>
      <w:r w:rsidR="008D4492" w:rsidRPr="008D4492">
        <w:rPr>
          <w:noProof/>
          <w:szCs w:val="24"/>
        </w:rPr>
        <w:t>European Parliament resolution ofDecember 2020 on the EU Security Union Strategy</w:t>
      </w:r>
      <w:r w:rsidR="008D4492">
        <w:rPr>
          <w:noProof/>
          <w:szCs w:val="24"/>
        </w:rPr>
        <w:t xml:space="preserve"> </w:t>
      </w:r>
      <w:r w:rsidR="00EC3590" w:rsidRPr="00273CFC">
        <w:rPr>
          <w:noProof/>
          <w:szCs w:val="24"/>
          <w:shd w:val="clear" w:color="auto" w:fill="FFFFFF"/>
        </w:rPr>
        <w:t>stresse</w:t>
      </w:r>
      <w:r w:rsidR="00EC3590">
        <w:rPr>
          <w:noProof/>
          <w:szCs w:val="24"/>
          <w:shd w:val="clear" w:color="auto" w:fill="FFFFFF"/>
        </w:rPr>
        <w:t>s</w:t>
      </w:r>
      <w:r w:rsidR="00EC3590" w:rsidRPr="00273CFC">
        <w:rPr>
          <w:noProof/>
          <w:szCs w:val="24"/>
          <w:shd w:val="clear" w:color="auto" w:fill="FFFFFF"/>
        </w:rPr>
        <w:t xml:space="preserve"> </w:t>
      </w:r>
      <w:r w:rsidR="00273CFC" w:rsidRPr="00273CFC">
        <w:rPr>
          <w:noProof/>
          <w:szCs w:val="24"/>
          <w:shd w:val="clear" w:color="auto" w:fill="FFFFFF"/>
        </w:rPr>
        <w:t xml:space="preserve">that </w:t>
      </w:r>
      <w:r w:rsidR="00380EEA">
        <w:rPr>
          <w:noProof/>
          <w:szCs w:val="24"/>
          <w:shd w:val="clear" w:color="auto" w:fill="FFFFFF"/>
        </w:rPr>
        <w:t>"</w:t>
      </w:r>
      <w:r w:rsidR="00273CFC" w:rsidRPr="00273CFC">
        <w:rPr>
          <w:i/>
          <w:noProof/>
          <w:szCs w:val="24"/>
          <w:shd w:val="clear" w:color="auto" w:fill="FFFFFF"/>
        </w:rPr>
        <w:t>measures in the framework of the Security Union Strategy must be sufficiently flexible to respond to constantly changing circumstances and criminal organisations changing their modus operandi</w:t>
      </w:r>
      <w:r w:rsidR="00380EEA" w:rsidRPr="00380EEA">
        <w:rPr>
          <w:noProof/>
          <w:color w:val="666666"/>
          <w:szCs w:val="18"/>
          <w:shd w:val="clear" w:color="auto" w:fill="FFFFFF"/>
        </w:rPr>
        <w:t>"</w:t>
      </w:r>
      <w:r w:rsidR="00380EEA">
        <w:rPr>
          <w:noProof/>
          <w:color w:val="666666"/>
          <w:szCs w:val="18"/>
          <w:shd w:val="clear" w:color="auto" w:fill="FFFFFF"/>
        </w:rPr>
        <w:t>.</w:t>
      </w:r>
      <w:r w:rsidR="00273CFC" w:rsidRPr="00380EEA">
        <w:rPr>
          <w:noProof/>
          <w:color w:val="666666"/>
          <w:szCs w:val="18"/>
          <w:shd w:val="clear" w:color="auto" w:fill="FFFFFF"/>
        </w:rPr>
        <w:t xml:space="preserve"> </w:t>
      </w:r>
      <w:r w:rsidR="00273CFC" w:rsidRPr="00273CFC">
        <w:rPr>
          <w:noProof/>
          <w:szCs w:val="18"/>
          <w:shd w:val="clear" w:color="auto" w:fill="FFFFFF"/>
        </w:rPr>
        <w:t>The Council t</w:t>
      </w:r>
      <w:r w:rsidR="00EC3590">
        <w:rPr>
          <w:noProof/>
          <w:szCs w:val="18"/>
          <w:shd w:val="clear" w:color="auto" w:fill="FFFFFF"/>
        </w:rPr>
        <w:t>akes</w:t>
      </w:r>
      <w:r w:rsidR="00273CFC" w:rsidRPr="00273CFC">
        <w:rPr>
          <w:noProof/>
          <w:szCs w:val="18"/>
          <w:shd w:val="clear" w:color="auto" w:fill="FFFFFF"/>
        </w:rPr>
        <w:t xml:space="preserve"> a comparable stance</w:t>
      </w:r>
      <w:r w:rsidR="003E2F03" w:rsidRPr="00273CFC">
        <w:rPr>
          <w:rFonts w:ascii="Arial" w:hAnsi="Arial" w:cs="Arial"/>
          <w:noProof/>
          <w:szCs w:val="18"/>
          <w:shd w:val="clear" w:color="auto" w:fill="FFFFFF"/>
        </w:rPr>
        <w:t xml:space="preserve"> </w:t>
      </w:r>
      <w:r w:rsidR="008D4492">
        <w:rPr>
          <w:noProof/>
          <w:szCs w:val="24"/>
        </w:rPr>
        <w:t xml:space="preserve">in the </w:t>
      </w:r>
      <w:r w:rsidR="008D4492" w:rsidRPr="008D4492">
        <w:rPr>
          <w:noProof/>
          <w:szCs w:val="24"/>
        </w:rPr>
        <w:t xml:space="preserve">Council Conclusions </w:t>
      </w:r>
      <w:r w:rsidR="008D4492">
        <w:rPr>
          <w:noProof/>
          <w:szCs w:val="24"/>
        </w:rPr>
        <w:t xml:space="preserve">of </w:t>
      </w:r>
      <w:r w:rsidR="008D4492" w:rsidRPr="008D4492">
        <w:rPr>
          <w:noProof/>
          <w:szCs w:val="24"/>
        </w:rPr>
        <w:t>November 2020 on Internal Security and European Police Partnership</w:t>
      </w:r>
      <w:r w:rsidR="00EC3590">
        <w:rPr>
          <w:noProof/>
          <w:szCs w:val="24"/>
        </w:rPr>
        <w:t>,</w:t>
      </w:r>
      <w:r w:rsidR="008D4492">
        <w:rPr>
          <w:noProof/>
          <w:szCs w:val="24"/>
        </w:rPr>
        <w:t xml:space="preserve"> which asked</w:t>
      </w:r>
      <w:r w:rsidR="003E2F03">
        <w:rPr>
          <w:noProof/>
          <w:szCs w:val="24"/>
        </w:rPr>
        <w:t xml:space="preserve"> the Commission </w:t>
      </w:r>
      <w:r w:rsidR="00EC3590">
        <w:rPr>
          <w:noProof/>
          <w:szCs w:val="24"/>
        </w:rPr>
        <w:t>“</w:t>
      </w:r>
      <w:r w:rsidR="00273CFC" w:rsidRPr="00273CFC">
        <w:rPr>
          <w:i/>
          <w:noProof/>
        </w:rPr>
        <w:t>to consider consolidating the EU legal framework to further strengthen cross-border law enforcement cooperation</w:t>
      </w:r>
      <w:r w:rsidR="00EC3590">
        <w:rPr>
          <w:noProof/>
        </w:rPr>
        <w:t>”</w:t>
      </w:r>
      <w:r w:rsidR="008D4492" w:rsidRPr="003141A6">
        <w:rPr>
          <w:rStyle w:val="FootnoteReference"/>
          <w:noProof/>
          <w:szCs w:val="24"/>
          <w:lang w:eastAsia="en-GB"/>
        </w:rPr>
        <w:footnoteReference w:id="16"/>
      </w:r>
      <w:r w:rsidR="008D4492" w:rsidRPr="003141A6">
        <w:rPr>
          <w:noProof/>
          <w:szCs w:val="24"/>
          <w:lang w:eastAsia="en-GB"/>
        </w:rPr>
        <w:t>.</w:t>
      </w:r>
    </w:p>
    <w:p w14:paraId="29D0C66F" w14:textId="77777777" w:rsidR="00711378" w:rsidRPr="00AE777C" w:rsidRDefault="00711378" w:rsidP="00094199">
      <w:pPr>
        <w:pStyle w:val="Heading2"/>
        <w:rPr>
          <w:noProof/>
        </w:rPr>
      </w:pPr>
      <w:r w:rsidRPr="00AE777C">
        <w:rPr>
          <w:noProof/>
        </w:rPr>
        <w:t xml:space="preserve"> </w:t>
      </w:r>
      <w:r w:rsidR="00094199">
        <w:rPr>
          <w:noProof/>
        </w:rPr>
        <w:t xml:space="preserve"> </w:t>
      </w:r>
      <w:bookmarkStart w:id="10" w:name="_Toc83801010"/>
      <w:r w:rsidRPr="00AE777C">
        <w:rPr>
          <w:noProof/>
        </w:rPr>
        <w:t>The Police Cooperation Code</w:t>
      </w:r>
      <w:bookmarkEnd w:id="10"/>
    </w:p>
    <w:p w14:paraId="4959685D" w14:textId="05E3ACE5" w:rsidR="003141A6" w:rsidRDefault="00C76702" w:rsidP="00273CFC">
      <w:pPr>
        <w:spacing w:after="120" w:line="240" w:lineRule="auto"/>
        <w:jc w:val="both"/>
        <w:rPr>
          <w:noProof/>
          <w:szCs w:val="24"/>
          <w:lang w:eastAsia="en-GB"/>
        </w:rPr>
      </w:pPr>
      <w:r w:rsidRPr="003141A6">
        <w:rPr>
          <w:rFonts w:ascii="Times New Roman" w:hAnsi="Times New Roman" w:cs="Times New Roman"/>
          <w:noProof/>
          <w:sz w:val="24"/>
          <w:szCs w:val="24"/>
          <w:lang w:eastAsia="en-GB"/>
        </w:rPr>
        <w:t xml:space="preserve">In line with the call by </w:t>
      </w:r>
      <w:r w:rsidR="00EC3590">
        <w:rPr>
          <w:rFonts w:ascii="Times New Roman" w:hAnsi="Times New Roman" w:cs="Times New Roman"/>
          <w:noProof/>
          <w:sz w:val="24"/>
          <w:szCs w:val="24"/>
          <w:lang w:eastAsia="en-GB"/>
        </w:rPr>
        <w:t>President von der Leyen in her</w:t>
      </w:r>
      <w:r w:rsidRPr="003141A6">
        <w:rPr>
          <w:rFonts w:ascii="Times New Roman" w:hAnsi="Times New Roman" w:cs="Times New Roman"/>
          <w:noProof/>
          <w:sz w:val="24"/>
          <w:szCs w:val="24"/>
          <w:lang w:eastAsia="en-GB"/>
        </w:rPr>
        <w:t xml:space="preserve"> Political Guidelines</w:t>
      </w:r>
      <w:r w:rsidRPr="003141A6">
        <w:rPr>
          <w:rStyle w:val="FootnoteReference"/>
          <w:rFonts w:ascii="Times New Roman" w:hAnsi="Times New Roman" w:cs="Times New Roman"/>
          <w:noProof/>
          <w:sz w:val="24"/>
          <w:szCs w:val="24"/>
        </w:rPr>
        <w:footnoteReference w:id="17"/>
      </w:r>
      <w:r w:rsidRPr="003141A6">
        <w:rPr>
          <w:rFonts w:ascii="Times New Roman" w:hAnsi="Times New Roman" w:cs="Times New Roman"/>
          <w:noProof/>
          <w:sz w:val="24"/>
          <w:szCs w:val="24"/>
          <w:lang w:eastAsia="en-GB"/>
        </w:rPr>
        <w:t xml:space="preserve"> to </w:t>
      </w:r>
      <w:r w:rsidR="00380EEA">
        <w:rPr>
          <w:rFonts w:ascii="Times New Roman" w:hAnsi="Times New Roman" w:cs="Times New Roman"/>
          <w:noProof/>
          <w:sz w:val="24"/>
          <w:szCs w:val="24"/>
          <w:lang w:eastAsia="en-GB"/>
        </w:rPr>
        <w:t>"</w:t>
      </w:r>
      <w:r w:rsidRPr="003141A6">
        <w:rPr>
          <w:rFonts w:ascii="Times New Roman" w:hAnsi="Times New Roman" w:cs="Times New Roman"/>
          <w:i/>
          <w:noProof/>
          <w:sz w:val="24"/>
          <w:szCs w:val="24"/>
          <w:lang w:eastAsia="en-GB"/>
        </w:rPr>
        <w:t>leave no stone unturned when it comes to protecting our citizens</w:t>
      </w:r>
      <w:r w:rsidR="00380EEA">
        <w:rPr>
          <w:rFonts w:ascii="Times New Roman" w:hAnsi="Times New Roman" w:cs="Times New Roman"/>
          <w:noProof/>
          <w:sz w:val="24"/>
          <w:szCs w:val="24"/>
          <w:lang w:eastAsia="en-GB"/>
        </w:rPr>
        <w:t>"</w:t>
      </w:r>
      <w:r w:rsidRPr="003141A6">
        <w:rPr>
          <w:rFonts w:ascii="Times New Roman" w:hAnsi="Times New Roman" w:cs="Times New Roman"/>
          <w:noProof/>
          <w:sz w:val="24"/>
          <w:szCs w:val="24"/>
          <w:lang w:eastAsia="en-GB"/>
        </w:rPr>
        <w:t xml:space="preserve">, </w:t>
      </w:r>
      <w:r w:rsidR="003141A6" w:rsidRPr="00273CFC">
        <w:rPr>
          <w:rFonts w:ascii="Times New Roman" w:hAnsi="Times New Roman" w:cs="Times New Roman"/>
          <w:noProof/>
          <w:sz w:val="24"/>
          <w:szCs w:val="24"/>
          <w:lang w:eastAsia="en-GB"/>
        </w:rPr>
        <w:t xml:space="preserve">the Commission Work Programme for 2021 announced a legislative initiative to </w:t>
      </w:r>
      <w:r w:rsidR="00380EEA">
        <w:rPr>
          <w:rFonts w:ascii="Times New Roman" w:hAnsi="Times New Roman" w:cs="Times New Roman"/>
          <w:noProof/>
          <w:sz w:val="24"/>
          <w:szCs w:val="24"/>
          <w:lang w:eastAsia="en-GB"/>
        </w:rPr>
        <w:t>"</w:t>
      </w:r>
      <w:r w:rsidR="003141A6" w:rsidRPr="00273CFC">
        <w:rPr>
          <w:rFonts w:ascii="Times New Roman" w:hAnsi="Times New Roman" w:cs="Times New Roman"/>
          <w:i/>
          <w:noProof/>
          <w:sz w:val="24"/>
          <w:szCs w:val="24"/>
          <w:lang w:eastAsia="en-GB"/>
        </w:rPr>
        <w:t>modernise existing intra-EU law enforcement cooperation by creating an EU police cooperation code</w:t>
      </w:r>
      <w:r w:rsidR="00380EEA">
        <w:rPr>
          <w:rFonts w:ascii="Times New Roman" w:hAnsi="Times New Roman" w:cs="Times New Roman"/>
          <w:noProof/>
          <w:sz w:val="24"/>
          <w:szCs w:val="24"/>
          <w:lang w:eastAsia="en-GB"/>
        </w:rPr>
        <w:t>"</w:t>
      </w:r>
      <w:r w:rsidR="003141A6" w:rsidRPr="00273CFC">
        <w:rPr>
          <w:rStyle w:val="FootnoteReference"/>
          <w:rFonts w:ascii="Times New Roman" w:hAnsi="Times New Roman" w:cs="Times New Roman"/>
          <w:noProof/>
          <w:sz w:val="24"/>
          <w:szCs w:val="24"/>
        </w:rPr>
        <w:footnoteReference w:id="18"/>
      </w:r>
      <w:r w:rsidR="003141A6" w:rsidRPr="00273CFC">
        <w:rPr>
          <w:rFonts w:ascii="Times New Roman" w:hAnsi="Times New Roman" w:cs="Times New Roman"/>
          <w:noProof/>
          <w:sz w:val="24"/>
          <w:szCs w:val="24"/>
          <w:lang w:eastAsia="en-GB"/>
        </w:rPr>
        <w:t>.</w:t>
      </w:r>
    </w:p>
    <w:p w14:paraId="7268C8D0" w14:textId="77777777" w:rsidR="00EA24A5" w:rsidRDefault="00EC3590" w:rsidP="00C76702">
      <w:pPr>
        <w:pStyle w:val="Text1"/>
        <w:spacing w:after="120"/>
        <w:ind w:left="0"/>
        <w:rPr>
          <w:noProof/>
        </w:rPr>
      </w:pPr>
      <w:r>
        <w:rPr>
          <w:noProof/>
          <w:szCs w:val="24"/>
          <w:lang w:eastAsia="en-GB"/>
        </w:rPr>
        <w:t>A</w:t>
      </w:r>
      <w:r w:rsidRPr="008F780A">
        <w:rPr>
          <w:noProof/>
          <w:szCs w:val="24"/>
          <w:lang w:eastAsia="en-GB"/>
        </w:rPr>
        <w:t xml:space="preserve"> </w:t>
      </w:r>
      <w:r w:rsidR="007964F6" w:rsidRPr="008F780A">
        <w:rPr>
          <w:noProof/>
          <w:szCs w:val="24"/>
          <w:lang w:eastAsia="en-GB"/>
        </w:rPr>
        <w:t>pro</w:t>
      </w:r>
      <w:r w:rsidR="007964F6">
        <w:rPr>
          <w:noProof/>
          <w:szCs w:val="24"/>
          <w:lang w:eastAsia="en-GB"/>
        </w:rPr>
        <w:t>p</w:t>
      </w:r>
      <w:r w:rsidR="007964F6" w:rsidRPr="0089161D">
        <w:rPr>
          <w:noProof/>
          <w:szCs w:val="24"/>
          <w:lang w:eastAsia="en-GB"/>
        </w:rPr>
        <w:t>osal</w:t>
      </w:r>
      <w:r>
        <w:rPr>
          <w:noProof/>
          <w:szCs w:val="24"/>
          <w:lang w:eastAsia="en-GB"/>
        </w:rPr>
        <w:t xml:space="preserve"> for</w:t>
      </w:r>
      <w:r w:rsidR="007964F6" w:rsidRPr="0089161D">
        <w:rPr>
          <w:noProof/>
          <w:szCs w:val="24"/>
          <w:lang w:eastAsia="en-GB"/>
        </w:rPr>
        <w:t xml:space="preserve"> settin</w:t>
      </w:r>
      <w:r w:rsidR="007964F6">
        <w:rPr>
          <w:noProof/>
          <w:szCs w:val="24"/>
          <w:lang w:eastAsia="en-GB"/>
        </w:rPr>
        <w:t>g</w:t>
      </w:r>
      <w:r w:rsidR="007964F6" w:rsidRPr="0089161D">
        <w:rPr>
          <w:noProof/>
          <w:szCs w:val="24"/>
          <w:lang w:eastAsia="en-GB"/>
        </w:rPr>
        <w:t xml:space="preserve"> up a </w:t>
      </w:r>
      <w:r w:rsidR="007964F6" w:rsidRPr="0089161D">
        <w:rPr>
          <w:b/>
          <w:noProof/>
          <w:szCs w:val="24"/>
          <w:u w:val="single"/>
        </w:rPr>
        <w:t>Police Cooperation Code</w:t>
      </w:r>
      <w:r w:rsidR="007964F6" w:rsidRPr="0089161D">
        <w:rPr>
          <w:b/>
          <w:noProof/>
          <w:szCs w:val="24"/>
        </w:rPr>
        <w:t xml:space="preserve"> on Information Exchange and Communication</w:t>
      </w:r>
      <w:r w:rsidR="005646B7">
        <w:rPr>
          <w:b/>
          <w:noProof/>
          <w:szCs w:val="24"/>
        </w:rPr>
        <w:t xml:space="preserve"> (PCC)</w:t>
      </w:r>
      <w:r w:rsidR="007964F6">
        <w:rPr>
          <w:b/>
          <w:noProof/>
          <w:szCs w:val="24"/>
        </w:rPr>
        <w:t xml:space="preserve"> </w:t>
      </w:r>
      <w:r w:rsidR="007964F6" w:rsidRPr="00273CFC">
        <w:rPr>
          <w:noProof/>
          <w:szCs w:val="24"/>
        </w:rPr>
        <w:t xml:space="preserve">would </w:t>
      </w:r>
      <w:r w:rsidR="007964F6" w:rsidRPr="0089161D">
        <w:rPr>
          <w:noProof/>
          <w:szCs w:val="24"/>
        </w:rPr>
        <w:t xml:space="preserve">aim at the </w:t>
      </w:r>
      <w:r w:rsidR="007964F6" w:rsidRPr="0089161D">
        <w:rPr>
          <w:noProof/>
        </w:rPr>
        <w:t>codification of organisational and procedural aspects of information exchange and communication</w:t>
      </w:r>
      <w:r w:rsidR="007964F6">
        <w:rPr>
          <w:noProof/>
        </w:rPr>
        <w:t xml:space="preserve"> between law enforcement authorities in the EU. </w:t>
      </w:r>
    </w:p>
    <w:p w14:paraId="023A5877" w14:textId="77777777" w:rsidR="00EA24A5" w:rsidRDefault="007964F6" w:rsidP="00C76702">
      <w:pPr>
        <w:pStyle w:val="Text1"/>
        <w:spacing w:after="120"/>
        <w:ind w:left="0"/>
        <w:rPr>
          <w:noProof/>
          <w:szCs w:val="24"/>
        </w:rPr>
      </w:pPr>
      <w:r>
        <w:rPr>
          <w:noProof/>
        </w:rPr>
        <w:t xml:space="preserve">It would deal with the cross-cutting </w:t>
      </w:r>
      <w:r w:rsidR="003E2F03">
        <w:rPr>
          <w:noProof/>
        </w:rPr>
        <w:t>'</w:t>
      </w:r>
      <w:r>
        <w:rPr>
          <w:noProof/>
        </w:rPr>
        <w:t>horizontal</w:t>
      </w:r>
      <w:r w:rsidR="003E2F03">
        <w:rPr>
          <w:noProof/>
        </w:rPr>
        <w:t>'</w:t>
      </w:r>
      <w:r>
        <w:rPr>
          <w:noProof/>
        </w:rPr>
        <w:t xml:space="preserve"> aspects of information exchange between Member States.</w:t>
      </w:r>
      <w:r w:rsidR="00C968D1">
        <w:rPr>
          <w:noProof/>
        </w:rPr>
        <w:t xml:space="preserve"> This </w:t>
      </w:r>
      <w:r w:rsidR="004F5C5B">
        <w:rPr>
          <w:noProof/>
        </w:rPr>
        <w:t xml:space="preserve">proposal </w:t>
      </w:r>
      <w:r w:rsidR="00882BCE" w:rsidRPr="00516D48">
        <w:rPr>
          <w:noProof/>
          <w:szCs w:val="24"/>
        </w:rPr>
        <w:t xml:space="preserve">would not touch upon the system-specific dimensions of individual systems or frameworks such as the Schengen Information System, Passenger Name Record (PNR) or </w:t>
      </w:r>
      <w:r w:rsidR="00882BCE" w:rsidRPr="00882BCE">
        <w:rPr>
          <w:noProof/>
          <w:szCs w:val="24"/>
        </w:rPr>
        <w:t>Prüm</w:t>
      </w:r>
      <w:r w:rsidR="00882BCE" w:rsidRPr="00516D48">
        <w:rPr>
          <w:b/>
          <w:noProof/>
          <w:szCs w:val="24"/>
        </w:rPr>
        <w:t>,</w:t>
      </w:r>
      <w:r w:rsidR="00882BCE" w:rsidRPr="00516D48">
        <w:rPr>
          <w:noProof/>
          <w:szCs w:val="24"/>
        </w:rPr>
        <w:t xml:space="preserve"> which address the processing of specific data categories for specific purposes and are therefore regulated by specific legal instruments.</w:t>
      </w:r>
      <w:r w:rsidR="00882BCE">
        <w:rPr>
          <w:noProof/>
          <w:szCs w:val="24"/>
        </w:rPr>
        <w:t xml:space="preserve"> </w:t>
      </w:r>
    </w:p>
    <w:p w14:paraId="0F986A35" w14:textId="1A9932B0" w:rsidR="00CF2C79" w:rsidRDefault="00882BCE" w:rsidP="00C76702">
      <w:pPr>
        <w:pStyle w:val="Text1"/>
        <w:spacing w:after="120"/>
        <w:ind w:left="0"/>
        <w:rPr>
          <w:noProof/>
        </w:rPr>
      </w:pPr>
      <w:r>
        <w:rPr>
          <w:noProof/>
          <w:szCs w:val="24"/>
        </w:rPr>
        <w:t xml:space="preserve">The proposal for a PCC would </w:t>
      </w:r>
      <w:r>
        <w:rPr>
          <w:b/>
          <w:noProof/>
          <w:szCs w:val="24"/>
        </w:rPr>
        <w:t>repeal and replace</w:t>
      </w:r>
      <w:r>
        <w:rPr>
          <w:noProof/>
          <w:szCs w:val="24"/>
        </w:rPr>
        <w:t xml:space="preserve"> the 2006 SFD. In doing so, the SFD will be "lisbonised", i.e. it will be turned into a legislative instrument to be adopted by both the Council and the European Parliament in the ordinary legislative procedure.</w:t>
      </w:r>
    </w:p>
    <w:p w14:paraId="5D690D87" w14:textId="1377626F" w:rsidR="00C968D1" w:rsidRDefault="00C968D1" w:rsidP="00C968D1">
      <w:pPr>
        <w:pStyle w:val="Text1"/>
        <w:spacing w:after="120"/>
        <w:ind w:left="0"/>
        <w:rPr>
          <w:noProof/>
          <w:szCs w:val="24"/>
          <w:lang w:eastAsia="en-GB"/>
        </w:rPr>
      </w:pPr>
      <w:r>
        <w:rPr>
          <w:noProof/>
          <w:szCs w:val="24"/>
          <w:lang w:eastAsia="en-GB"/>
        </w:rPr>
        <w:t xml:space="preserve">Moreover, a PCC proposal would form part of a </w:t>
      </w:r>
      <w:r w:rsidRPr="00380EEA">
        <w:rPr>
          <w:b/>
          <w:noProof/>
          <w:szCs w:val="24"/>
          <w:lang w:eastAsia="en-GB"/>
        </w:rPr>
        <w:t>coherent</w:t>
      </w:r>
      <w:r>
        <w:rPr>
          <w:noProof/>
          <w:szCs w:val="24"/>
          <w:lang w:eastAsia="en-GB"/>
        </w:rPr>
        <w:t xml:space="preserve"> </w:t>
      </w:r>
      <w:r w:rsidRPr="00380EEA">
        <w:rPr>
          <w:b/>
          <w:noProof/>
          <w:szCs w:val="24"/>
          <w:lang w:eastAsia="en-GB"/>
        </w:rPr>
        <w:t>package</w:t>
      </w:r>
      <w:r>
        <w:rPr>
          <w:noProof/>
          <w:szCs w:val="24"/>
          <w:lang w:eastAsia="en-GB"/>
        </w:rPr>
        <w:t xml:space="preserve"> with upcoming measures to reinforce </w:t>
      </w:r>
      <w:r w:rsidRPr="00380EEA">
        <w:rPr>
          <w:b/>
          <w:noProof/>
          <w:szCs w:val="24"/>
          <w:lang w:eastAsia="en-GB"/>
        </w:rPr>
        <w:t>operational cross-border police cooperation</w:t>
      </w:r>
      <w:r>
        <w:rPr>
          <w:noProof/>
          <w:szCs w:val="24"/>
          <w:lang w:eastAsia="en-GB"/>
        </w:rPr>
        <w:t xml:space="preserve"> and the upcoming proposal revising the </w:t>
      </w:r>
      <w:r w:rsidRPr="00001FE6">
        <w:rPr>
          <w:noProof/>
        </w:rPr>
        <w:t>Automated Data Exchange Mechanism for Police Cooperation</w:t>
      </w:r>
      <w:r>
        <w:rPr>
          <w:b/>
          <w:noProof/>
        </w:rPr>
        <w:t xml:space="preserve"> ("Prüm II")</w:t>
      </w:r>
      <w:r>
        <w:rPr>
          <w:noProof/>
          <w:szCs w:val="24"/>
          <w:lang w:eastAsia="en-GB"/>
        </w:rPr>
        <w:t xml:space="preserve">. The "Prüm II" proposal will aim at strengthening the technical architecture of the Prüm exchange, broadening its scope of data categories and streamlining and accelarating its post-hit data exchange. </w:t>
      </w:r>
      <w:r>
        <w:rPr>
          <w:noProof/>
          <w:szCs w:val="24"/>
        </w:rPr>
        <w:t xml:space="preserve">The reinforced </w:t>
      </w:r>
      <w:r>
        <w:rPr>
          <w:noProof/>
          <w:szCs w:val="24"/>
          <w:lang w:eastAsia="en-GB"/>
        </w:rPr>
        <w:t>"Prüm II" proposal w</w:t>
      </w:r>
      <w:r>
        <w:rPr>
          <w:noProof/>
          <w:szCs w:val="24"/>
        </w:rPr>
        <w:t xml:space="preserve">ould provide specific rules and possibilities for the </w:t>
      </w:r>
      <w:r w:rsidRPr="00787C11">
        <w:rPr>
          <w:b/>
          <w:noProof/>
          <w:szCs w:val="24"/>
        </w:rPr>
        <w:t>automated</w:t>
      </w:r>
      <w:r>
        <w:rPr>
          <w:noProof/>
          <w:szCs w:val="24"/>
        </w:rPr>
        <w:t xml:space="preserve"> exchange of specific – and particularly important – data categories </w:t>
      </w:r>
      <w:r w:rsidRPr="00F44A63">
        <w:rPr>
          <w:noProof/>
          <w:szCs w:val="24"/>
        </w:rPr>
        <w:t>(e.g. fingerprints, DNA, facial images)</w:t>
      </w:r>
      <w:r>
        <w:rPr>
          <w:noProof/>
          <w:szCs w:val="24"/>
        </w:rPr>
        <w:t xml:space="preserve"> within the overall framework and general rules for general information exchange that the Police Cooperation Code will provide.</w:t>
      </w:r>
    </w:p>
    <w:p w14:paraId="5BF558FB" w14:textId="62073F2E" w:rsidR="00CF2C79" w:rsidRDefault="00EC3590" w:rsidP="00C76702">
      <w:pPr>
        <w:pStyle w:val="Text1"/>
        <w:spacing w:after="120"/>
        <w:ind w:left="0"/>
        <w:rPr>
          <w:noProof/>
          <w:szCs w:val="24"/>
          <w:lang w:eastAsia="en-GB"/>
        </w:rPr>
      </w:pPr>
      <w:r>
        <w:rPr>
          <w:noProof/>
        </w:rPr>
        <w:t xml:space="preserve">A </w:t>
      </w:r>
      <w:r w:rsidR="005D2382">
        <w:rPr>
          <w:noProof/>
        </w:rPr>
        <w:t xml:space="preserve">PCC proposal </w:t>
      </w:r>
      <w:r w:rsidR="005646B7">
        <w:rPr>
          <w:noProof/>
        </w:rPr>
        <w:t xml:space="preserve">would </w:t>
      </w:r>
      <w:r>
        <w:rPr>
          <w:noProof/>
          <w:szCs w:val="24"/>
          <w:lang w:eastAsia="en-GB"/>
        </w:rPr>
        <w:t xml:space="preserve">fit together </w:t>
      </w:r>
      <w:r w:rsidR="003141A6">
        <w:rPr>
          <w:noProof/>
          <w:szCs w:val="24"/>
          <w:lang w:eastAsia="en-GB"/>
        </w:rPr>
        <w:t>with t</w:t>
      </w:r>
      <w:r w:rsidR="00C76702" w:rsidRPr="00E4628B">
        <w:rPr>
          <w:noProof/>
          <w:szCs w:val="24"/>
          <w:lang w:eastAsia="en-GB"/>
        </w:rPr>
        <w:t xml:space="preserve">he </w:t>
      </w:r>
      <w:r w:rsidR="005D2382">
        <w:rPr>
          <w:noProof/>
          <w:szCs w:val="24"/>
          <w:lang w:eastAsia="en-GB"/>
        </w:rPr>
        <w:t xml:space="preserve">2020 </w:t>
      </w:r>
      <w:r w:rsidR="00C76702">
        <w:rPr>
          <w:noProof/>
          <w:szCs w:val="24"/>
          <w:lang w:eastAsia="en-GB"/>
        </w:rPr>
        <w:t xml:space="preserve">proposal revising the </w:t>
      </w:r>
      <w:r w:rsidR="00C76702" w:rsidRPr="00001FE6">
        <w:rPr>
          <w:b/>
          <w:noProof/>
          <w:szCs w:val="24"/>
          <w:lang w:eastAsia="en-GB"/>
        </w:rPr>
        <w:t xml:space="preserve">Europol </w:t>
      </w:r>
      <w:r w:rsidR="00C76702">
        <w:rPr>
          <w:noProof/>
          <w:szCs w:val="24"/>
          <w:lang w:eastAsia="en-GB"/>
        </w:rPr>
        <w:t>mandate</w:t>
      </w:r>
      <w:r w:rsidR="00C76702">
        <w:rPr>
          <w:rStyle w:val="FootnoteReference"/>
          <w:noProof/>
          <w:szCs w:val="24"/>
          <w:lang w:eastAsia="en-GB"/>
        </w:rPr>
        <w:footnoteReference w:id="19"/>
      </w:r>
      <w:r w:rsidR="007C317D">
        <w:rPr>
          <w:noProof/>
          <w:szCs w:val="24"/>
          <w:lang w:eastAsia="en-GB"/>
        </w:rPr>
        <w:t>.</w:t>
      </w:r>
      <w:r w:rsidR="00CF2C79">
        <w:rPr>
          <w:noProof/>
          <w:szCs w:val="24"/>
          <w:lang w:eastAsia="en-GB"/>
        </w:rPr>
        <w:t xml:space="preserve"> The </w:t>
      </w:r>
      <w:r w:rsidR="00855658">
        <w:rPr>
          <w:noProof/>
          <w:szCs w:val="24"/>
          <w:lang w:eastAsia="en-GB"/>
        </w:rPr>
        <w:t>latter</w:t>
      </w:r>
      <w:r w:rsidR="00CF2C79">
        <w:rPr>
          <w:noProof/>
          <w:szCs w:val="24"/>
          <w:lang w:eastAsia="en-GB"/>
        </w:rPr>
        <w:t xml:space="preserve"> </w:t>
      </w:r>
      <w:r w:rsidR="007C317D">
        <w:rPr>
          <w:noProof/>
          <w:szCs w:val="24"/>
          <w:lang w:eastAsia="en-GB"/>
        </w:rPr>
        <w:t>aims at strenghening the agency'</w:t>
      </w:r>
      <w:r w:rsidR="00CF2C79">
        <w:rPr>
          <w:noProof/>
          <w:szCs w:val="24"/>
          <w:lang w:eastAsia="en-GB"/>
        </w:rPr>
        <w:t xml:space="preserve">s mandate </w:t>
      </w:r>
      <w:r w:rsidR="00855658">
        <w:rPr>
          <w:noProof/>
          <w:szCs w:val="24"/>
          <w:lang w:eastAsia="en-GB"/>
        </w:rPr>
        <w:t>on</w:t>
      </w:r>
      <w:r w:rsidR="00CF2C79">
        <w:rPr>
          <w:noProof/>
          <w:szCs w:val="24"/>
          <w:lang w:eastAsia="en-GB"/>
        </w:rPr>
        <w:t xml:space="preserve"> the processing of large and complex datasets, cooperation with privates parties, and the use of the Schengen Information System. A PCC proposal would build on and further develop Europol as a criminal information hub in the EU.</w:t>
      </w:r>
    </w:p>
    <w:p w14:paraId="34A3D5AA" w14:textId="640103B6" w:rsidR="000203D4" w:rsidRDefault="007040C6" w:rsidP="00273CFC">
      <w:pPr>
        <w:pStyle w:val="Text1"/>
        <w:spacing w:after="120"/>
        <w:ind w:left="0"/>
        <w:rPr>
          <w:noProof/>
        </w:rPr>
      </w:pPr>
      <w:r>
        <w:rPr>
          <w:noProof/>
          <w:szCs w:val="24"/>
          <w:lang w:eastAsia="en-GB"/>
        </w:rPr>
        <w:t xml:space="preserve">As an important measure to enhance security within the EU, </w:t>
      </w:r>
      <w:r w:rsidR="00C51B57">
        <w:rPr>
          <w:noProof/>
          <w:szCs w:val="24"/>
          <w:lang w:eastAsia="en-GB"/>
        </w:rPr>
        <w:t xml:space="preserve">a </w:t>
      </w:r>
      <w:r>
        <w:rPr>
          <w:noProof/>
          <w:szCs w:val="24"/>
          <w:lang w:eastAsia="en-GB"/>
        </w:rPr>
        <w:t>PCC proposal would also contribute to a</w:t>
      </w:r>
      <w:r>
        <w:rPr>
          <w:noProof/>
        </w:rPr>
        <w:t xml:space="preserve"> fully functioning and resilient </w:t>
      </w:r>
      <w:r w:rsidRPr="00D73121">
        <w:rPr>
          <w:b/>
          <w:noProof/>
        </w:rPr>
        <w:t>Schengen</w:t>
      </w:r>
      <w:r>
        <w:rPr>
          <w:noProof/>
        </w:rPr>
        <w:t xml:space="preserve"> area as set out in the Schengen Strategy. </w:t>
      </w:r>
      <w:r w:rsidR="0094353F">
        <w:rPr>
          <w:noProof/>
        </w:rPr>
        <w:t xml:space="preserve">It </w:t>
      </w:r>
      <w:r>
        <w:rPr>
          <w:noProof/>
        </w:rPr>
        <w:t xml:space="preserve">would help </w:t>
      </w:r>
      <w:r w:rsidRPr="007040C6">
        <w:rPr>
          <w:noProof/>
        </w:rPr>
        <w:t>ensur</w:t>
      </w:r>
      <w:r>
        <w:rPr>
          <w:noProof/>
        </w:rPr>
        <w:t>e</w:t>
      </w:r>
      <w:r w:rsidRPr="007040C6">
        <w:rPr>
          <w:noProof/>
        </w:rPr>
        <w:t xml:space="preserve"> a high level of security within the territory</w:t>
      </w:r>
      <w:r>
        <w:rPr>
          <w:noProof/>
        </w:rPr>
        <w:t xml:space="preserve"> of Member States and hence support a Schengen </w:t>
      </w:r>
      <w:r w:rsidRPr="007040C6">
        <w:rPr>
          <w:noProof/>
        </w:rPr>
        <w:t>area without controls at internal borders</w:t>
      </w:r>
      <w:r>
        <w:rPr>
          <w:noProof/>
        </w:rPr>
        <w:t>.</w:t>
      </w:r>
      <w:r w:rsidR="00183628">
        <w:rPr>
          <w:noProof/>
        </w:rPr>
        <w:t xml:space="preserve"> It would therefore complement the proposal announced in the June 2021 Schengen Strategy</w:t>
      </w:r>
      <w:r w:rsidR="00183628">
        <w:rPr>
          <w:rStyle w:val="FootnoteReference"/>
          <w:noProof/>
        </w:rPr>
        <w:footnoteReference w:id="20"/>
      </w:r>
      <w:r w:rsidR="00183628">
        <w:rPr>
          <w:noProof/>
        </w:rPr>
        <w:t xml:space="preserve"> to amend the Schengen Borders Code</w:t>
      </w:r>
      <w:r w:rsidR="00183628">
        <w:rPr>
          <w:rStyle w:val="FootnoteReference"/>
          <w:noProof/>
        </w:rPr>
        <w:footnoteReference w:id="21"/>
      </w:r>
      <w:r w:rsidR="00183628">
        <w:rPr>
          <w:noProof/>
        </w:rPr>
        <w:t>.</w:t>
      </w:r>
      <w:r w:rsidR="00CF2C79">
        <w:rPr>
          <w:noProof/>
        </w:rPr>
        <w:t xml:space="preserve"> </w:t>
      </w:r>
    </w:p>
    <w:p w14:paraId="3B90A2C6" w14:textId="608077AA" w:rsidR="00C76702" w:rsidRDefault="009C0D5E" w:rsidP="00273CFC">
      <w:pPr>
        <w:pStyle w:val="Text1"/>
        <w:spacing w:after="120"/>
        <w:ind w:left="0"/>
        <w:rPr>
          <w:b/>
          <w:noProof/>
          <w:szCs w:val="24"/>
          <w:lang w:eastAsia="en-GB"/>
        </w:rPr>
      </w:pPr>
      <w:r>
        <w:rPr>
          <w:noProof/>
          <w:szCs w:val="24"/>
          <w:lang w:eastAsia="en-GB"/>
        </w:rPr>
        <w:t>Whilst taking these complementary developments fully into account, this impact assessment focus</w:t>
      </w:r>
      <w:r w:rsidR="00C51B57">
        <w:rPr>
          <w:noProof/>
          <w:szCs w:val="24"/>
          <w:lang w:eastAsia="en-GB"/>
        </w:rPr>
        <w:t>es</w:t>
      </w:r>
      <w:r>
        <w:rPr>
          <w:noProof/>
          <w:szCs w:val="24"/>
          <w:lang w:eastAsia="en-GB"/>
        </w:rPr>
        <w:t xml:space="preserve"> on the envisaged scope of </w:t>
      </w:r>
      <w:r w:rsidR="00C51B57">
        <w:rPr>
          <w:noProof/>
          <w:szCs w:val="24"/>
          <w:lang w:eastAsia="en-GB"/>
        </w:rPr>
        <w:t xml:space="preserve">a proposal for a </w:t>
      </w:r>
      <w:r>
        <w:rPr>
          <w:noProof/>
          <w:szCs w:val="24"/>
          <w:lang w:eastAsia="en-GB"/>
        </w:rPr>
        <w:t>Police Cooperation Code</w:t>
      </w:r>
      <w:r w:rsidR="00C51B57">
        <w:rPr>
          <w:noProof/>
          <w:szCs w:val="24"/>
          <w:lang w:eastAsia="en-GB"/>
        </w:rPr>
        <w:t xml:space="preserve">, namely </w:t>
      </w:r>
      <w:r w:rsidRPr="00273CFC">
        <w:rPr>
          <w:b/>
          <w:noProof/>
          <w:szCs w:val="24"/>
          <w:lang w:eastAsia="en-GB"/>
        </w:rPr>
        <w:t xml:space="preserve">the </w:t>
      </w:r>
      <w:r w:rsidR="00273CFC">
        <w:rPr>
          <w:b/>
          <w:noProof/>
          <w:szCs w:val="24"/>
          <w:lang w:eastAsia="en-GB"/>
        </w:rPr>
        <w:t>'</w:t>
      </w:r>
      <w:r w:rsidRPr="00273CFC">
        <w:rPr>
          <w:b/>
          <w:noProof/>
          <w:szCs w:val="24"/>
          <w:lang w:eastAsia="en-GB"/>
        </w:rPr>
        <w:t>horizontal</w:t>
      </w:r>
      <w:r w:rsidR="00273CFC">
        <w:rPr>
          <w:b/>
          <w:noProof/>
          <w:szCs w:val="24"/>
          <w:lang w:eastAsia="en-GB"/>
        </w:rPr>
        <w:t>'</w:t>
      </w:r>
      <w:r w:rsidR="00C51B57">
        <w:rPr>
          <w:b/>
          <w:noProof/>
          <w:szCs w:val="24"/>
          <w:lang w:eastAsia="en-GB"/>
        </w:rPr>
        <w:t xml:space="preserve"> cross-cutting</w:t>
      </w:r>
      <w:r w:rsidRPr="00273CFC">
        <w:rPr>
          <w:b/>
          <w:noProof/>
          <w:szCs w:val="24"/>
          <w:lang w:eastAsia="en-GB"/>
        </w:rPr>
        <w:t xml:space="preserve"> aspects of information exchange and communication between competent law enforcement authorities in EU Member States.</w:t>
      </w:r>
    </w:p>
    <w:p w14:paraId="3781AC1F" w14:textId="77777777" w:rsidR="00273CFC" w:rsidRPr="001246D3" w:rsidRDefault="00273CFC" w:rsidP="00273CFC">
      <w:pPr>
        <w:pStyle w:val="Text1"/>
        <w:spacing w:after="120"/>
        <w:ind w:left="0"/>
        <w:rPr>
          <w:noProof/>
          <w:szCs w:val="24"/>
          <w:lang w:eastAsia="en-GB"/>
        </w:rPr>
        <w:sectPr w:rsidR="00273CFC" w:rsidRPr="001246D3" w:rsidSect="00C64E21">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20"/>
          <w:docGrid w:linePitch="360"/>
        </w:sectPr>
      </w:pPr>
    </w:p>
    <w:p w14:paraId="04B4E12E" w14:textId="77777777" w:rsidR="00C76702" w:rsidRPr="009F67CD" w:rsidRDefault="00C76702" w:rsidP="00C76702">
      <w:pPr>
        <w:spacing w:after="120" w:line="240" w:lineRule="auto"/>
        <w:jc w:val="center"/>
        <w:rPr>
          <w:rFonts w:ascii="Times New Roman" w:eastAsia="Times New Roman" w:hAnsi="Times New Roman" w:cs="Times New Roman"/>
          <w:b/>
          <w:noProof/>
          <w:sz w:val="24"/>
          <w:szCs w:val="24"/>
        </w:rPr>
      </w:pPr>
      <w:r w:rsidRPr="009F67CD">
        <w:rPr>
          <w:rFonts w:ascii="Times New Roman" w:eastAsia="Times New Roman" w:hAnsi="Times New Roman" w:cs="Times New Roman"/>
          <w:b/>
          <w:noProof/>
          <w:sz w:val="24"/>
          <w:szCs w:val="24"/>
        </w:rPr>
        <w:t>Intervention logic: Problems, problem dri</w:t>
      </w:r>
      <w:r>
        <w:rPr>
          <w:rFonts w:ascii="Times New Roman" w:eastAsia="Times New Roman" w:hAnsi="Times New Roman" w:cs="Times New Roman"/>
          <w:b/>
          <w:noProof/>
          <w:sz w:val="24"/>
          <w:szCs w:val="24"/>
        </w:rPr>
        <w:t>v</w:t>
      </w:r>
      <w:r w:rsidRPr="009F67CD">
        <w:rPr>
          <w:rFonts w:ascii="Times New Roman" w:eastAsia="Times New Roman" w:hAnsi="Times New Roman" w:cs="Times New Roman"/>
          <w:b/>
          <w:noProof/>
          <w:sz w:val="24"/>
          <w:szCs w:val="24"/>
        </w:rPr>
        <w:t>ers, objectives and options</w:t>
      </w:r>
    </w:p>
    <w:p w14:paraId="2A2F52DE" w14:textId="0CA0B815" w:rsidR="00750BC4" w:rsidRPr="00650181" w:rsidRDefault="00750BC4" w:rsidP="00C76702">
      <w:pPr>
        <w:spacing w:after="120" w:line="240" w:lineRule="auto"/>
        <w:jc w:val="center"/>
        <w:rPr>
          <w:rFonts w:ascii="Times New Roman" w:hAnsi="Times New Roman" w:cs="Times New Roman"/>
          <w:b/>
          <w:i/>
          <w:noProof/>
          <w:sz w:val="22"/>
          <w:szCs w:val="24"/>
        </w:rPr>
      </w:pPr>
      <w:r w:rsidRPr="00650181">
        <w:rPr>
          <w:rFonts w:ascii="Times New Roman" w:hAnsi="Times New Roman" w:cs="Times New Roman"/>
          <w:b/>
          <w:i/>
          <w:noProof/>
          <w:sz w:val="22"/>
          <w:szCs w:val="24"/>
        </w:rPr>
        <w:t xml:space="preserve">High level problem: </w:t>
      </w:r>
      <w:r w:rsidR="00650181" w:rsidRPr="00650181">
        <w:rPr>
          <w:rFonts w:ascii="Times New Roman" w:hAnsi="Times New Roman" w:cs="Times New Roman"/>
          <w:i/>
          <w:noProof/>
          <w:sz w:val="22"/>
          <w:szCs w:val="24"/>
        </w:rPr>
        <w:t xml:space="preserve">A number of criminal markets are </w:t>
      </w:r>
      <w:r w:rsidR="002A6A3D">
        <w:rPr>
          <w:rFonts w:ascii="Times New Roman" w:hAnsi="Times New Roman" w:cs="Times New Roman"/>
          <w:i/>
          <w:noProof/>
          <w:sz w:val="22"/>
          <w:szCs w:val="24"/>
        </w:rPr>
        <w:t xml:space="preserve">evolving and </w:t>
      </w:r>
      <w:r w:rsidR="00650181" w:rsidRPr="00650181">
        <w:rPr>
          <w:rFonts w:ascii="Times New Roman" w:hAnsi="Times New Roman" w:cs="Times New Roman"/>
          <w:i/>
          <w:noProof/>
          <w:sz w:val="22"/>
          <w:szCs w:val="24"/>
        </w:rPr>
        <w:t>expanding while cross-border mobility is increasing</w:t>
      </w:r>
      <w:r w:rsidR="00650181" w:rsidRPr="00650181">
        <w:rPr>
          <w:rStyle w:val="FootnoteReference"/>
          <w:rFonts w:ascii="Times New Roman" w:eastAsia="Times New Roman" w:hAnsi="Times New Roman" w:cs="Times New Roman"/>
          <w:noProof/>
          <w:sz w:val="22"/>
          <w:szCs w:val="24"/>
        </w:rPr>
        <w:footnoteReference w:id="22"/>
      </w:r>
      <w:r w:rsidR="00650181">
        <w:rPr>
          <w:rFonts w:ascii="Times New Roman" w:hAnsi="Times New Roman" w:cs="Times New Roman"/>
          <w:noProof/>
          <w:sz w:val="22"/>
          <w:szCs w:val="24"/>
        </w:rPr>
        <w:t>.</w:t>
      </w:r>
    </w:p>
    <w:p w14:paraId="0B2C0CF4" w14:textId="7B1A176B" w:rsidR="00C76702" w:rsidRDefault="00C360B8" w:rsidP="00C76702">
      <w:pPr>
        <w:spacing w:after="120" w:line="240" w:lineRule="auto"/>
        <w:jc w:val="center"/>
        <w:rPr>
          <w:rFonts w:ascii="Times New Roman" w:hAnsi="Times New Roman" w:cs="Times New Roman"/>
          <w:b/>
          <w:i/>
          <w:noProof/>
          <w:sz w:val="24"/>
          <w:szCs w:val="24"/>
        </w:rPr>
      </w:pPr>
      <w:r>
        <w:rPr>
          <w:rFonts w:ascii="Times New Roman" w:hAnsi="Times New Roman" w:cs="Times New Roman"/>
          <w:b/>
          <w:i/>
          <w:noProof/>
          <w:sz w:val="22"/>
          <w:szCs w:val="24"/>
        </w:rPr>
        <w:t>C</w:t>
      </w:r>
      <w:r w:rsidR="00650181" w:rsidRPr="00650181">
        <w:rPr>
          <w:rFonts w:ascii="Times New Roman" w:hAnsi="Times New Roman" w:cs="Times New Roman"/>
          <w:b/>
          <w:i/>
          <w:noProof/>
          <w:sz w:val="22"/>
          <w:szCs w:val="24"/>
        </w:rPr>
        <w:t xml:space="preserve">ore </w:t>
      </w:r>
      <w:r w:rsidR="00C76702" w:rsidRPr="00650181">
        <w:rPr>
          <w:rFonts w:ascii="Times New Roman" w:hAnsi="Times New Roman" w:cs="Times New Roman"/>
          <w:b/>
          <w:i/>
          <w:noProof/>
          <w:sz w:val="22"/>
          <w:szCs w:val="24"/>
        </w:rPr>
        <w:t xml:space="preserve">problem: </w:t>
      </w:r>
      <w:r w:rsidR="00C76702" w:rsidRPr="00CD1FC7">
        <w:rPr>
          <w:rFonts w:ascii="Times New Roman" w:hAnsi="Times New Roman" w:cs="Times New Roman"/>
          <w:i/>
          <w:noProof/>
          <w:sz w:val="22"/>
        </w:rPr>
        <w:t xml:space="preserve">Law enforcement authorities do not </w:t>
      </w:r>
      <w:r w:rsidR="005E229E">
        <w:rPr>
          <w:rFonts w:ascii="Times New Roman" w:hAnsi="Times New Roman" w:cs="Times New Roman"/>
          <w:i/>
          <w:noProof/>
          <w:sz w:val="22"/>
        </w:rPr>
        <w:t xml:space="preserve">always </w:t>
      </w:r>
      <w:r w:rsidR="00C76702" w:rsidRPr="00CD1FC7">
        <w:rPr>
          <w:rFonts w:ascii="Times New Roman" w:hAnsi="Times New Roman" w:cs="Times New Roman"/>
          <w:i/>
          <w:noProof/>
          <w:sz w:val="22"/>
        </w:rPr>
        <w:t xml:space="preserve">effectively and efficiently exchange information with their partners in other Member States. </w:t>
      </w:r>
    </w:p>
    <w:tbl>
      <w:tblPr>
        <w:tblStyle w:val="TableGrid"/>
        <w:tblW w:w="16161" w:type="dxa"/>
        <w:tblInd w:w="-885" w:type="dxa"/>
        <w:tblLayout w:type="fixed"/>
        <w:tblLook w:val="04A0" w:firstRow="1" w:lastRow="0" w:firstColumn="1" w:lastColumn="0" w:noHBand="0" w:noVBand="1"/>
      </w:tblPr>
      <w:tblGrid>
        <w:gridCol w:w="284"/>
        <w:gridCol w:w="3403"/>
        <w:gridCol w:w="4536"/>
        <w:gridCol w:w="2976"/>
        <w:gridCol w:w="4962"/>
      </w:tblGrid>
      <w:tr w:rsidR="00C76702" w14:paraId="70EC89B0" w14:textId="77777777" w:rsidTr="00CD1FC7">
        <w:tc>
          <w:tcPr>
            <w:tcW w:w="284" w:type="dxa"/>
            <w:tcBorders>
              <w:top w:val="nil"/>
              <w:left w:val="nil"/>
              <w:bottom w:val="single" w:sz="4" w:space="0" w:color="auto"/>
              <w:right w:val="single" w:sz="4" w:space="0" w:color="auto"/>
            </w:tcBorders>
          </w:tcPr>
          <w:p w14:paraId="33F9AF67" w14:textId="77777777" w:rsidR="00C76702" w:rsidRDefault="00C76702" w:rsidP="00EB7963">
            <w:pPr>
              <w:jc w:val="both"/>
              <w:rPr>
                <w:b/>
                <w:noProof/>
                <w:sz w:val="24"/>
                <w:szCs w:val="24"/>
              </w:rPr>
            </w:pP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CCAD631" w14:textId="072FEF58" w:rsidR="00C76702" w:rsidRPr="00CC24EC" w:rsidRDefault="00C76702" w:rsidP="00650181">
            <w:pPr>
              <w:spacing w:before="60" w:after="60"/>
              <w:jc w:val="both"/>
              <w:rPr>
                <w:rFonts w:ascii="Verdana" w:hAnsi="Verdana"/>
                <w:b/>
                <w:bCs/>
                <w:noProof/>
                <w:sz w:val="16"/>
                <w:szCs w:val="16"/>
              </w:rPr>
            </w:pPr>
            <w:r w:rsidRPr="00CC24EC">
              <w:rPr>
                <w:rFonts w:ascii="Verdana" w:hAnsi="Verdana"/>
                <w:b/>
                <w:bCs/>
                <w:noProof/>
                <w:sz w:val="16"/>
                <w:szCs w:val="16"/>
              </w:rPr>
              <w:t>Problem</w:t>
            </w:r>
            <w:r w:rsidR="00921B59">
              <w:rPr>
                <w:rFonts w:ascii="Verdana" w:hAnsi="Verdana"/>
                <w:b/>
                <w:bCs/>
                <w:noProof/>
                <w:sz w:val="16"/>
                <w:szCs w:val="16"/>
              </w:rPr>
              <w:t>s</w:t>
            </w:r>
          </w:p>
        </w:tc>
        <w:tc>
          <w:tcPr>
            <w:tcW w:w="453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C87CC1F" w14:textId="77777777" w:rsidR="00C76702" w:rsidRPr="00CC24EC" w:rsidRDefault="00C76702" w:rsidP="00EB7963">
            <w:pPr>
              <w:spacing w:before="60" w:after="60"/>
              <w:jc w:val="both"/>
              <w:rPr>
                <w:rFonts w:ascii="Verdana" w:hAnsi="Verdana"/>
                <w:b/>
                <w:bCs/>
                <w:noProof/>
                <w:sz w:val="16"/>
                <w:szCs w:val="16"/>
              </w:rPr>
            </w:pPr>
            <w:r w:rsidRPr="00CC24EC">
              <w:rPr>
                <w:rFonts w:ascii="Verdana" w:hAnsi="Verdana"/>
                <w:b/>
                <w:bCs/>
                <w:noProof/>
                <w:sz w:val="16"/>
                <w:szCs w:val="16"/>
              </w:rPr>
              <w:t>Drivers</w:t>
            </w:r>
          </w:p>
        </w:tc>
        <w:tc>
          <w:tcPr>
            <w:tcW w:w="29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AEB58C" w14:textId="77777777" w:rsidR="00C76702" w:rsidRPr="00CC24EC" w:rsidRDefault="00C76702" w:rsidP="00EB7963">
            <w:pPr>
              <w:spacing w:before="60" w:after="60"/>
              <w:jc w:val="both"/>
              <w:rPr>
                <w:rFonts w:ascii="Verdana" w:hAnsi="Verdana"/>
                <w:b/>
                <w:bCs/>
                <w:iCs/>
                <w:noProof/>
                <w:sz w:val="16"/>
                <w:szCs w:val="16"/>
              </w:rPr>
            </w:pPr>
            <w:r w:rsidRPr="00CC24EC">
              <w:rPr>
                <w:rFonts w:ascii="Verdana" w:hAnsi="Verdana"/>
                <w:b/>
                <w:bCs/>
                <w:iCs/>
                <w:noProof/>
                <w:sz w:val="16"/>
                <w:szCs w:val="16"/>
              </w:rPr>
              <w:t>Objective</w:t>
            </w:r>
            <w:r w:rsidR="002A6A3D">
              <w:rPr>
                <w:rFonts w:ascii="Verdana" w:hAnsi="Verdana"/>
                <w:b/>
                <w:bCs/>
                <w:iCs/>
                <w:noProof/>
                <w:sz w:val="16"/>
                <w:szCs w:val="16"/>
              </w:rPr>
              <w:t>s</w:t>
            </w:r>
          </w:p>
        </w:tc>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77B878" w14:textId="77777777" w:rsidR="00C76702" w:rsidRPr="00CC24EC" w:rsidRDefault="00C76702" w:rsidP="00EB7963">
            <w:pPr>
              <w:spacing w:before="60" w:after="60"/>
              <w:jc w:val="both"/>
              <w:rPr>
                <w:rFonts w:ascii="Verdana" w:hAnsi="Verdana"/>
                <w:b/>
                <w:bCs/>
                <w:noProof/>
                <w:sz w:val="16"/>
                <w:szCs w:val="16"/>
              </w:rPr>
            </w:pPr>
            <w:r w:rsidRPr="00CC24EC">
              <w:rPr>
                <w:rFonts w:ascii="Verdana" w:hAnsi="Verdana"/>
                <w:b/>
                <w:bCs/>
                <w:noProof/>
                <w:sz w:val="16"/>
                <w:szCs w:val="16"/>
              </w:rPr>
              <w:t>Options</w:t>
            </w:r>
          </w:p>
        </w:tc>
      </w:tr>
      <w:tr w:rsidR="00C76702" w14:paraId="561ECF33" w14:textId="77777777" w:rsidTr="00CD1FC7">
        <w:trPr>
          <w:trHeight w:val="3206"/>
        </w:trPr>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D6B2AAF" w14:textId="77777777" w:rsidR="00C76702" w:rsidRDefault="00C76702" w:rsidP="00EB7963">
            <w:pPr>
              <w:jc w:val="center"/>
              <w:rPr>
                <w:b/>
                <w:bCs/>
                <w:noProof/>
                <w:sz w:val="24"/>
                <w:szCs w:val="24"/>
              </w:rPr>
            </w:pPr>
            <w:r>
              <w:rPr>
                <w:b/>
                <w:bCs/>
                <w:noProof/>
                <w:szCs w:val="24"/>
              </w:rPr>
              <w:t>1</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3515E41" w14:textId="77777777" w:rsidR="00C76702" w:rsidRPr="00CC24EC" w:rsidRDefault="00C76702" w:rsidP="00CD1FC7">
            <w:pPr>
              <w:spacing w:before="60" w:after="120" w:line="240" w:lineRule="auto"/>
              <w:jc w:val="both"/>
              <w:rPr>
                <w:rFonts w:ascii="Verdana" w:hAnsi="Verdana"/>
                <w:b/>
                <w:noProof/>
                <w:sz w:val="16"/>
                <w:szCs w:val="16"/>
              </w:rPr>
            </w:pPr>
            <w:r w:rsidRPr="00CC24EC">
              <w:rPr>
                <w:rFonts w:ascii="Verdana" w:hAnsi="Verdana"/>
                <w:b/>
                <w:noProof/>
                <w:sz w:val="16"/>
                <w:szCs w:val="16"/>
              </w:rPr>
              <w:t>Rules at national level</w:t>
            </w:r>
            <w:r>
              <w:rPr>
                <w:rFonts w:ascii="Verdana" w:hAnsi="Verdana"/>
                <w:b/>
                <w:noProof/>
                <w:sz w:val="16"/>
                <w:szCs w:val="16"/>
              </w:rPr>
              <w:t xml:space="preserve"> </w:t>
            </w:r>
            <w:r w:rsidRPr="00C94CDA">
              <w:rPr>
                <w:rFonts w:ascii="Verdana" w:hAnsi="Verdana"/>
                <w:b/>
                <w:bCs/>
                <w:noProof/>
                <w:sz w:val="16"/>
                <w:szCs w:val="16"/>
              </w:rPr>
              <w:t>impede the effective and efficient flow of information</w:t>
            </w:r>
            <w:r w:rsidRPr="00C94CDA">
              <w:rPr>
                <w:rFonts w:ascii="Verdana" w:hAnsi="Verdana"/>
                <w:b/>
                <w:noProof/>
                <w:sz w:val="16"/>
                <w:szCs w:val="16"/>
              </w:rPr>
              <w:t>:</w:t>
            </w:r>
            <w:r w:rsidRPr="00CC24EC">
              <w:rPr>
                <w:rFonts w:ascii="Verdana" w:hAnsi="Verdana"/>
                <w:b/>
                <w:noProof/>
                <w:sz w:val="16"/>
                <w:szCs w:val="16"/>
              </w:rPr>
              <w:t xml:space="preserve"> </w:t>
            </w:r>
          </w:p>
          <w:p w14:paraId="7399C5EB" w14:textId="77777777" w:rsidR="00C76702" w:rsidRPr="00CC24EC" w:rsidRDefault="005E229E" w:rsidP="007F6E55">
            <w:pPr>
              <w:spacing w:before="60"/>
              <w:jc w:val="both"/>
              <w:rPr>
                <w:rFonts w:ascii="Verdana" w:hAnsi="Verdana"/>
                <w:noProof/>
                <w:sz w:val="16"/>
                <w:szCs w:val="16"/>
              </w:rPr>
            </w:pPr>
            <w:r>
              <w:rPr>
                <w:rFonts w:ascii="Verdana" w:hAnsi="Verdana"/>
                <w:noProof/>
                <w:sz w:val="16"/>
                <w:szCs w:val="16"/>
              </w:rPr>
              <w:t xml:space="preserve">The </w:t>
            </w:r>
            <w:r w:rsidR="007F6E55">
              <w:rPr>
                <w:rFonts w:ascii="Verdana" w:hAnsi="Verdana"/>
                <w:b/>
                <w:noProof/>
                <w:sz w:val="16"/>
                <w:szCs w:val="16"/>
              </w:rPr>
              <w:t xml:space="preserve">2006 </w:t>
            </w:r>
            <w:r w:rsidRPr="00704502">
              <w:rPr>
                <w:rFonts w:ascii="Verdana" w:hAnsi="Verdana"/>
                <w:b/>
                <w:noProof/>
                <w:sz w:val="16"/>
                <w:szCs w:val="16"/>
              </w:rPr>
              <w:t>Swedish Framework Decision</w:t>
            </w:r>
            <w:r w:rsidR="007F6E55">
              <w:rPr>
                <w:rFonts w:ascii="Verdana" w:hAnsi="Verdana"/>
                <w:b/>
                <w:noProof/>
                <w:sz w:val="16"/>
                <w:szCs w:val="16"/>
              </w:rPr>
              <w:t xml:space="preserve"> is not fully implemented</w:t>
            </w:r>
            <w:r w:rsidR="008A2E4C">
              <w:rPr>
                <w:rFonts w:ascii="Verdana" w:hAnsi="Verdana"/>
                <w:b/>
                <w:noProof/>
                <w:sz w:val="16"/>
                <w:szCs w:val="16"/>
              </w:rPr>
              <w:t>,</w:t>
            </w:r>
            <w:r w:rsidR="007F6E55">
              <w:rPr>
                <w:rFonts w:ascii="Verdana" w:hAnsi="Verdana"/>
                <w:b/>
                <w:noProof/>
                <w:sz w:val="16"/>
                <w:szCs w:val="16"/>
              </w:rPr>
              <w:t xml:space="preserve"> </w:t>
            </w:r>
            <w:r w:rsidR="00C76702" w:rsidRPr="00CC24EC">
              <w:rPr>
                <w:rFonts w:ascii="Verdana" w:hAnsi="Verdana"/>
                <w:noProof/>
                <w:sz w:val="16"/>
                <w:szCs w:val="16"/>
              </w:rPr>
              <w:t>prevent</w:t>
            </w:r>
            <w:r w:rsidR="007F6E55">
              <w:rPr>
                <w:rFonts w:ascii="Verdana" w:hAnsi="Verdana"/>
                <w:noProof/>
                <w:sz w:val="16"/>
                <w:szCs w:val="16"/>
              </w:rPr>
              <w:t>ing</w:t>
            </w:r>
            <w:r w:rsidR="00C76702" w:rsidRPr="00CC24EC">
              <w:rPr>
                <w:rFonts w:ascii="Verdana" w:hAnsi="Verdana"/>
                <w:noProof/>
                <w:sz w:val="16"/>
                <w:szCs w:val="16"/>
              </w:rPr>
              <w:t xml:space="preserve"> law enforcement authorities from other Member States from receiving such information in an effective and efficient way.</w:t>
            </w:r>
          </w:p>
        </w:tc>
        <w:tc>
          <w:tcPr>
            <w:tcW w:w="453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4AAE32" w14:textId="77777777" w:rsidR="00C76702" w:rsidRPr="00CC24EC" w:rsidRDefault="00C76702" w:rsidP="00E760E4">
            <w:pPr>
              <w:pStyle w:val="ListParagraph"/>
              <w:numPr>
                <w:ilvl w:val="0"/>
                <w:numId w:val="9"/>
              </w:numPr>
              <w:spacing w:before="60" w:after="0" w:line="240" w:lineRule="auto"/>
              <w:jc w:val="both"/>
              <w:rPr>
                <w:rFonts w:ascii="Verdana" w:hAnsi="Verdana"/>
                <w:noProof/>
                <w:sz w:val="16"/>
                <w:szCs w:val="16"/>
              </w:rPr>
            </w:pPr>
            <w:r w:rsidRPr="00CC24EC">
              <w:rPr>
                <w:rFonts w:ascii="Verdana" w:hAnsi="Verdana"/>
                <w:noProof/>
                <w:sz w:val="16"/>
                <w:szCs w:val="16"/>
              </w:rPr>
              <w:t>Law enforcement authorities do not fully apply the principles agreed under the 2006 Swedish Framework Decision.</w:t>
            </w:r>
          </w:p>
          <w:p w14:paraId="6509AEAB" w14:textId="77777777" w:rsidR="00C76702" w:rsidRPr="00CC24EC" w:rsidRDefault="00C76702" w:rsidP="00E760E4">
            <w:pPr>
              <w:pStyle w:val="ListParagraph"/>
              <w:numPr>
                <w:ilvl w:val="0"/>
                <w:numId w:val="9"/>
              </w:numPr>
              <w:spacing w:before="60" w:after="0" w:line="240" w:lineRule="auto"/>
              <w:jc w:val="both"/>
              <w:rPr>
                <w:rFonts w:ascii="Verdana" w:hAnsi="Verdana"/>
                <w:noProof/>
                <w:sz w:val="16"/>
                <w:szCs w:val="16"/>
              </w:rPr>
            </w:pPr>
            <w:r w:rsidRPr="00CC24EC">
              <w:rPr>
                <w:rFonts w:ascii="Verdana" w:hAnsi="Verdana"/>
                <w:noProof/>
                <w:sz w:val="16"/>
                <w:szCs w:val="16"/>
              </w:rPr>
              <w:t xml:space="preserve">There is no </w:t>
            </w:r>
            <w:r w:rsidR="00B879F2">
              <w:rPr>
                <w:rFonts w:ascii="Verdana" w:hAnsi="Verdana"/>
                <w:noProof/>
                <w:sz w:val="16"/>
                <w:szCs w:val="16"/>
              </w:rPr>
              <w:t>clear understanding of the data available for possible exchange from another Member State</w:t>
            </w:r>
            <w:r w:rsidRPr="00CC24EC">
              <w:rPr>
                <w:rFonts w:ascii="Verdana" w:hAnsi="Verdana"/>
                <w:noProof/>
                <w:sz w:val="16"/>
                <w:szCs w:val="16"/>
              </w:rPr>
              <w:t>.</w:t>
            </w:r>
          </w:p>
          <w:p w14:paraId="3F7ED5B9" w14:textId="77777777" w:rsidR="00C76702" w:rsidRPr="00CC24EC" w:rsidRDefault="00C76702" w:rsidP="00E760E4">
            <w:pPr>
              <w:pStyle w:val="ListParagraph"/>
              <w:numPr>
                <w:ilvl w:val="0"/>
                <w:numId w:val="9"/>
              </w:numPr>
              <w:spacing w:before="60" w:after="0" w:line="240" w:lineRule="auto"/>
              <w:jc w:val="both"/>
              <w:rPr>
                <w:rFonts w:ascii="Verdana" w:hAnsi="Verdana"/>
                <w:noProof/>
                <w:sz w:val="16"/>
                <w:szCs w:val="16"/>
              </w:rPr>
            </w:pPr>
            <w:r w:rsidRPr="00CC24EC">
              <w:rPr>
                <w:rFonts w:ascii="Verdana" w:hAnsi="Verdana"/>
                <w:noProof/>
                <w:sz w:val="16"/>
                <w:szCs w:val="16"/>
              </w:rPr>
              <w:t>Deadlines are usually not met when a judicial authorisation is required to deliver the requested information.</w:t>
            </w:r>
          </w:p>
          <w:p w14:paraId="7FDA00DB" w14:textId="77777777" w:rsidR="00C76702" w:rsidRPr="00CC24EC" w:rsidRDefault="00C76702" w:rsidP="00E760E4">
            <w:pPr>
              <w:pStyle w:val="ListParagraph"/>
              <w:numPr>
                <w:ilvl w:val="0"/>
                <w:numId w:val="9"/>
              </w:numPr>
              <w:spacing w:before="60" w:after="0" w:line="240" w:lineRule="auto"/>
              <w:jc w:val="both"/>
              <w:rPr>
                <w:rFonts w:ascii="Verdana" w:hAnsi="Verdana"/>
                <w:noProof/>
                <w:sz w:val="16"/>
                <w:szCs w:val="16"/>
              </w:rPr>
            </w:pPr>
            <w:r w:rsidRPr="00CC24EC">
              <w:rPr>
                <w:rFonts w:ascii="Verdana" w:hAnsi="Verdana"/>
                <w:noProof/>
                <w:sz w:val="16"/>
                <w:szCs w:val="16"/>
              </w:rPr>
              <w:t xml:space="preserve">The distinction between "urgent", "non-urgent" and "other cases" provided for in the Swedish Framework Decision is unnecessarily complex. </w:t>
            </w:r>
          </w:p>
          <w:p w14:paraId="695FCBEA" w14:textId="77777777" w:rsidR="00C76702" w:rsidRPr="00CC24EC" w:rsidRDefault="00C76702" w:rsidP="00E760E4">
            <w:pPr>
              <w:pStyle w:val="ListParagraph"/>
              <w:numPr>
                <w:ilvl w:val="0"/>
                <w:numId w:val="9"/>
              </w:numPr>
              <w:spacing w:before="60" w:after="0" w:line="240" w:lineRule="auto"/>
              <w:jc w:val="both"/>
              <w:rPr>
                <w:rFonts w:ascii="Verdana" w:hAnsi="Verdana"/>
                <w:noProof/>
                <w:sz w:val="16"/>
                <w:szCs w:val="16"/>
              </w:rPr>
            </w:pPr>
            <w:r w:rsidRPr="00CC24EC">
              <w:rPr>
                <w:rFonts w:ascii="Verdana" w:hAnsi="Verdana"/>
                <w:noProof/>
                <w:sz w:val="16"/>
                <w:szCs w:val="16"/>
              </w:rPr>
              <w:t>The Swedish Framework Decision is not aligned with the 2016 Law Enforcement Data Protection Directive.</w:t>
            </w:r>
          </w:p>
        </w:tc>
        <w:tc>
          <w:tcPr>
            <w:tcW w:w="29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1EC1AD" w14:textId="77777777" w:rsidR="00C76702" w:rsidRPr="00CC24EC" w:rsidRDefault="00C76702" w:rsidP="00EB7963">
            <w:pPr>
              <w:spacing w:before="60" w:after="60"/>
              <w:jc w:val="both"/>
              <w:rPr>
                <w:rFonts w:ascii="Verdana" w:hAnsi="Verdana"/>
                <w:noProof/>
                <w:sz w:val="16"/>
                <w:szCs w:val="16"/>
                <w:u w:val="single"/>
              </w:rPr>
            </w:pPr>
            <w:r w:rsidRPr="00CC24EC">
              <w:rPr>
                <w:rFonts w:ascii="Verdana" w:hAnsi="Verdana"/>
                <w:noProof/>
                <w:sz w:val="16"/>
                <w:szCs w:val="16"/>
              </w:rPr>
              <w:t xml:space="preserve">To facilitate </w:t>
            </w:r>
            <w:r w:rsidRPr="00CC24EC">
              <w:rPr>
                <w:rFonts w:ascii="Verdana" w:hAnsi="Verdana"/>
                <w:b/>
                <w:noProof/>
                <w:sz w:val="16"/>
                <w:szCs w:val="16"/>
              </w:rPr>
              <w:t xml:space="preserve">equivalent access for law enforcement authorities </w:t>
            </w:r>
            <w:r w:rsidRPr="00CC24EC">
              <w:rPr>
                <w:rFonts w:ascii="Verdana" w:hAnsi="Verdana"/>
                <w:noProof/>
                <w:sz w:val="16"/>
                <w:szCs w:val="16"/>
              </w:rPr>
              <w:t>to information held in another Member State (similar to the access granted to information within a Member State), while complying with fundamental rights and data protection requirements.</w:t>
            </w:r>
          </w:p>
        </w:tc>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F8D262" w14:textId="63E22390" w:rsidR="00C76702" w:rsidRPr="00CC24EC" w:rsidRDefault="00C76702" w:rsidP="00E760E4">
            <w:pPr>
              <w:pStyle w:val="ListParagraph"/>
              <w:numPr>
                <w:ilvl w:val="0"/>
                <w:numId w:val="10"/>
              </w:numPr>
              <w:spacing w:before="60" w:after="0" w:line="240" w:lineRule="auto"/>
              <w:jc w:val="both"/>
              <w:rPr>
                <w:rFonts w:ascii="Verdana" w:hAnsi="Verdana" w:cstheme="minorBidi"/>
                <w:noProof/>
                <w:color w:val="000000" w:themeColor="text1"/>
                <w:sz w:val="16"/>
                <w:szCs w:val="16"/>
                <w:lang w:val="en-IE"/>
              </w:rPr>
            </w:pPr>
            <w:r w:rsidRPr="00CC24EC">
              <w:rPr>
                <w:rFonts w:ascii="Verdana" w:hAnsi="Verdana"/>
                <w:i/>
                <w:iCs/>
                <w:noProof/>
                <w:sz w:val="16"/>
                <w:szCs w:val="16"/>
                <w:u w:val="single"/>
              </w:rPr>
              <w:t>Option</w:t>
            </w:r>
            <w:r w:rsidR="00D03B8A">
              <w:rPr>
                <w:rFonts w:ascii="Verdana" w:hAnsi="Verdana"/>
                <w:i/>
                <w:iCs/>
                <w:noProof/>
                <w:sz w:val="16"/>
                <w:szCs w:val="16"/>
                <w:u w:val="single"/>
              </w:rPr>
              <w:t xml:space="preserve"> 1.1</w:t>
            </w:r>
            <w:r w:rsidRPr="00CC24EC">
              <w:rPr>
                <w:rFonts w:ascii="Verdana" w:hAnsi="Verdana"/>
                <w:noProof/>
                <w:sz w:val="16"/>
                <w:szCs w:val="16"/>
              </w:rPr>
              <w:t xml:space="preserve">: </w:t>
            </w:r>
            <w:r w:rsidR="004F5C5B">
              <w:rPr>
                <w:rFonts w:ascii="Verdana" w:hAnsi="Verdana"/>
                <w:noProof/>
                <w:sz w:val="16"/>
                <w:szCs w:val="16"/>
              </w:rPr>
              <w:t>N</w:t>
            </w:r>
            <w:r w:rsidR="001E26F1" w:rsidRPr="00380EEA">
              <w:rPr>
                <w:rFonts w:ascii="Verdana" w:hAnsi="Verdana"/>
                <w:b/>
                <w:noProof/>
                <w:sz w:val="16"/>
                <w:szCs w:val="16"/>
              </w:rPr>
              <w:t>ew</w:t>
            </w:r>
            <w:r w:rsidR="001E26F1">
              <w:rPr>
                <w:rFonts w:ascii="Verdana" w:hAnsi="Verdana"/>
                <w:noProof/>
                <w:sz w:val="16"/>
                <w:szCs w:val="16"/>
              </w:rPr>
              <w:t xml:space="preserve"> </w:t>
            </w:r>
            <w:r w:rsidRPr="00CC24EC">
              <w:rPr>
                <w:rFonts w:ascii="Verdana" w:hAnsi="Verdana"/>
                <w:b/>
                <w:noProof/>
                <w:sz w:val="16"/>
                <w:szCs w:val="16"/>
              </w:rPr>
              <w:t>flanking</w:t>
            </w:r>
            <w:r w:rsidRPr="00CC24EC">
              <w:rPr>
                <w:rFonts w:ascii="Verdana" w:hAnsi="Verdana"/>
                <w:noProof/>
                <w:sz w:val="16"/>
                <w:szCs w:val="16"/>
              </w:rPr>
              <w:t xml:space="preserve"> </w:t>
            </w:r>
            <w:r w:rsidRPr="00CC24EC">
              <w:rPr>
                <w:rFonts w:ascii="Verdana" w:hAnsi="Verdana"/>
                <w:b/>
                <w:noProof/>
                <w:sz w:val="16"/>
                <w:szCs w:val="16"/>
              </w:rPr>
              <w:t>soft measures</w:t>
            </w:r>
            <w:r w:rsidRPr="00CC24EC">
              <w:rPr>
                <w:rFonts w:ascii="Verdana" w:hAnsi="Verdana"/>
                <w:noProof/>
                <w:sz w:val="16"/>
                <w:szCs w:val="16"/>
              </w:rPr>
              <w:t xml:space="preserve"> (training,</w:t>
            </w:r>
            <w:r w:rsidR="001E26F1" w:rsidRPr="00CC24EC">
              <w:rPr>
                <w:rFonts w:ascii="Verdana" w:hAnsi="Verdana"/>
                <w:noProof/>
                <w:sz w:val="16"/>
                <w:szCs w:val="16"/>
              </w:rPr>
              <w:t xml:space="preserve"> </w:t>
            </w:r>
            <w:r w:rsidR="005619F6">
              <w:rPr>
                <w:rFonts w:ascii="Verdana" w:hAnsi="Verdana"/>
                <w:noProof/>
                <w:sz w:val="16"/>
                <w:szCs w:val="16"/>
              </w:rPr>
              <w:t xml:space="preserve">Commission </w:t>
            </w:r>
            <w:r w:rsidRPr="00CC24EC">
              <w:rPr>
                <w:rFonts w:ascii="Verdana" w:hAnsi="Verdana"/>
                <w:noProof/>
                <w:sz w:val="16"/>
                <w:szCs w:val="16"/>
              </w:rPr>
              <w:t>guidance)</w:t>
            </w:r>
          </w:p>
          <w:p w14:paraId="35ABA67C" w14:textId="77777777" w:rsidR="00C76702" w:rsidRPr="00CC24EC" w:rsidRDefault="00C76702" w:rsidP="00E760E4">
            <w:pPr>
              <w:pStyle w:val="ListParagraph"/>
              <w:numPr>
                <w:ilvl w:val="0"/>
                <w:numId w:val="10"/>
              </w:numPr>
              <w:spacing w:before="60" w:after="60" w:line="240" w:lineRule="auto"/>
              <w:ind w:left="357" w:hanging="357"/>
              <w:jc w:val="both"/>
              <w:rPr>
                <w:rFonts w:ascii="Verdana" w:hAnsi="Verdana"/>
                <w:noProof/>
                <w:color w:val="000000" w:themeColor="text1"/>
                <w:sz w:val="16"/>
                <w:szCs w:val="16"/>
                <w:lang w:val="en-IE"/>
              </w:rPr>
            </w:pPr>
            <w:r w:rsidRPr="00CC24EC">
              <w:rPr>
                <w:rFonts w:ascii="Verdana" w:hAnsi="Verdana"/>
                <w:i/>
                <w:iCs/>
                <w:noProof/>
                <w:sz w:val="16"/>
                <w:szCs w:val="16"/>
                <w:u w:val="single"/>
                <w:lang w:val="en-IE"/>
              </w:rPr>
              <w:t>Option</w:t>
            </w:r>
            <w:r w:rsidR="00D03B8A">
              <w:rPr>
                <w:rFonts w:ascii="Verdana" w:hAnsi="Verdana"/>
                <w:i/>
                <w:iCs/>
                <w:noProof/>
                <w:sz w:val="16"/>
                <w:szCs w:val="16"/>
                <w:u w:val="single"/>
                <w:lang w:val="en-IE"/>
              </w:rPr>
              <w:t xml:space="preserve"> 1.2</w:t>
            </w:r>
            <w:r w:rsidRPr="00CC24EC">
              <w:rPr>
                <w:rFonts w:ascii="Verdana" w:hAnsi="Verdana"/>
                <w:i/>
                <w:iCs/>
                <w:noProof/>
                <w:sz w:val="16"/>
                <w:szCs w:val="16"/>
                <w:u w:val="single"/>
                <w:lang w:val="en-IE"/>
              </w:rPr>
              <w:t>:</w:t>
            </w:r>
            <w:r w:rsidRPr="00CC24EC">
              <w:rPr>
                <w:rFonts w:ascii="Verdana" w:hAnsi="Verdana"/>
                <w:i/>
                <w:iCs/>
                <w:noProof/>
                <w:sz w:val="16"/>
                <w:szCs w:val="16"/>
                <w:lang w:val="en-IE"/>
              </w:rPr>
              <w:t xml:space="preserve"> </w:t>
            </w:r>
            <w:r w:rsidRPr="00CC24EC">
              <w:rPr>
                <w:rFonts w:ascii="Verdana" w:hAnsi="Verdana"/>
                <w:noProof/>
                <w:sz w:val="16"/>
                <w:szCs w:val="16"/>
              </w:rPr>
              <w:t>Option 1</w:t>
            </w:r>
            <w:r w:rsidR="00D03B8A">
              <w:rPr>
                <w:rFonts w:ascii="Verdana" w:hAnsi="Verdana"/>
                <w:noProof/>
                <w:sz w:val="16"/>
                <w:szCs w:val="16"/>
              </w:rPr>
              <w:t>.1</w:t>
            </w:r>
            <w:r w:rsidRPr="00CC24EC">
              <w:rPr>
                <w:rFonts w:ascii="Verdana" w:hAnsi="Verdana"/>
                <w:noProof/>
                <w:sz w:val="16"/>
                <w:szCs w:val="16"/>
              </w:rPr>
              <w:t xml:space="preserve"> + </w:t>
            </w:r>
            <w:r w:rsidR="007F6E55">
              <w:rPr>
                <w:rFonts w:ascii="Verdana" w:hAnsi="Verdana"/>
                <w:b/>
                <w:noProof/>
                <w:sz w:val="16"/>
                <w:szCs w:val="16"/>
              </w:rPr>
              <w:t>simplify the SFD</w:t>
            </w:r>
            <w:r w:rsidR="007F6E55" w:rsidRPr="00EE37CE">
              <w:rPr>
                <w:rFonts w:ascii="Verdana" w:hAnsi="Verdana"/>
                <w:b/>
                <w:noProof/>
                <w:sz w:val="16"/>
                <w:szCs w:val="16"/>
              </w:rPr>
              <w:t xml:space="preserve"> use</w:t>
            </w:r>
            <w:r w:rsidR="007F6E55">
              <w:rPr>
                <w:rFonts w:ascii="Verdana" w:hAnsi="Verdana"/>
                <w:b/>
                <w:noProof/>
                <w:sz w:val="16"/>
                <w:szCs w:val="16"/>
              </w:rPr>
              <w:t xml:space="preserve"> + </w:t>
            </w:r>
            <w:r w:rsidR="0098423E">
              <w:rPr>
                <w:rFonts w:ascii="Verdana" w:hAnsi="Verdana"/>
                <w:b/>
                <w:noProof/>
                <w:sz w:val="16"/>
                <w:szCs w:val="16"/>
              </w:rPr>
              <w:t xml:space="preserve">improve clarity on the national data sets available for possible exchange </w:t>
            </w:r>
            <w:r w:rsidR="00C576BA" w:rsidRPr="00704502">
              <w:rPr>
                <w:rFonts w:ascii="Verdana" w:hAnsi="Verdana"/>
                <w:noProof/>
                <w:sz w:val="16"/>
                <w:szCs w:val="16"/>
              </w:rPr>
              <w:t>with</w:t>
            </w:r>
            <w:r w:rsidR="00C576BA">
              <w:rPr>
                <w:rFonts w:ascii="Verdana" w:hAnsi="Verdana"/>
                <w:b/>
                <w:noProof/>
                <w:sz w:val="16"/>
                <w:szCs w:val="16"/>
              </w:rPr>
              <w:t xml:space="preserve"> </w:t>
            </w:r>
            <w:r w:rsidRPr="00CC24EC">
              <w:rPr>
                <w:rFonts w:ascii="Verdana" w:hAnsi="Verdana"/>
                <w:noProof/>
                <w:sz w:val="16"/>
                <w:szCs w:val="16"/>
              </w:rPr>
              <w:t>law enforcement authorities of other Member States;</w:t>
            </w:r>
          </w:p>
          <w:p w14:paraId="151EB552" w14:textId="34E9AE26" w:rsidR="00762D7A" w:rsidRDefault="00C76702" w:rsidP="003134A2">
            <w:pPr>
              <w:pStyle w:val="ListParagraph"/>
              <w:numPr>
                <w:ilvl w:val="0"/>
                <w:numId w:val="10"/>
              </w:numPr>
              <w:spacing w:before="60" w:after="60" w:line="240" w:lineRule="auto"/>
              <w:ind w:left="357" w:hanging="357"/>
              <w:jc w:val="both"/>
              <w:rPr>
                <w:rFonts w:ascii="Verdana" w:hAnsi="Verdana"/>
                <w:b/>
                <w:noProof/>
                <w:sz w:val="16"/>
                <w:szCs w:val="16"/>
                <w:lang w:val="en-IE"/>
              </w:rPr>
            </w:pPr>
            <w:r w:rsidRPr="00CC24EC">
              <w:rPr>
                <w:rFonts w:ascii="Verdana" w:hAnsi="Verdana"/>
                <w:i/>
                <w:noProof/>
                <w:sz w:val="16"/>
                <w:szCs w:val="16"/>
                <w:u w:val="single"/>
              </w:rPr>
              <w:t xml:space="preserve">Option </w:t>
            </w:r>
            <w:r w:rsidR="00D03B8A">
              <w:rPr>
                <w:rFonts w:ascii="Verdana" w:hAnsi="Verdana"/>
                <w:i/>
                <w:noProof/>
                <w:sz w:val="16"/>
                <w:szCs w:val="16"/>
                <w:u w:val="single"/>
              </w:rPr>
              <w:t>1.3</w:t>
            </w:r>
            <w:r w:rsidRPr="00CC24EC">
              <w:rPr>
                <w:rFonts w:ascii="Verdana" w:hAnsi="Verdana"/>
                <w:i/>
                <w:noProof/>
                <w:sz w:val="16"/>
                <w:szCs w:val="16"/>
                <w:u w:val="single"/>
              </w:rPr>
              <w:t>:</w:t>
            </w:r>
            <w:r w:rsidRPr="00CC24EC">
              <w:rPr>
                <w:rFonts w:ascii="Verdana" w:hAnsi="Verdana"/>
                <w:noProof/>
                <w:sz w:val="16"/>
                <w:szCs w:val="16"/>
              </w:rPr>
              <w:t xml:space="preserve"> Option </w:t>
            </w:r>
            <w:r w:rsidR="00D03B8A">
              <w:rPr>
                <w:rFonts w:ascii="Verdana" w:hAnsi="Verdana"/>
                <w:noProof/>
                <w:sz w:val="16"/>
                <w:szCs w:val="16"/>
              </w:rPr>
              <w:t>1.</w:t>
            </w:r>
            <w:r w:rsidRPr="00CC24EC">
              <w:rPr>
                <w:rFonts w:ascii="Verdana" w:hAnsi="Verdana"/>
                <w:noProof/>
                <w:sz w:val="16"/>
                <w:szCs w:val="16"/>
              </w:rPr>
              <w:t xml:space="preserve">2 + provisions ensuring compliance with </w:t>
            </w:r>
            <w:r w:rsidRPr="00CC24EC">
              <w:rPr>
                <w:rFonts w:ascii="Verdana" w:hAnsi="Verdana"/>
                <w:b/>
                <w:noProof/>
                <w:sz w:val="16"/>
                <w:szCs w:val="16"/>
              </w:rPr>
              <w:t>deadlines</w:t>
            </w:r>
            <w:r w:rsidRPr="00CC24EC">
              <w:rPr>
                <w:rFonts w:ascii="Verdana" w:hAnsi="Verdana"/>
                <w:noProof/>
                <w:sz w:val="16"/>
                <w:szCs w:val="16"/>
              </w:rPr>
              <w:t xml:space="preserve"> requirements by which data is to be made available to another Member State (including when a judicial authorisation is required).</w:t>
            </w:r>
            <w:r w:rsidRPr="00CC24EC">
              <w:rPr>
                <w:rFonts w:ascii="Verdana" w:hAnsi="Verdana"/>
                <w:b/>
                <w:noProof/>
                <w:sz w:val="16"/>
                <w:szCs w:val="16"/>
              </w:rPr>
              <w:t xml:space="preserve"> </w:t>
            </w:r>
          </w:p>
          <w:p w14:paraId="03CAB549" w14:textId="073B3A5F" w:rsidR="00C76702" w:rsidRPr="00380EEA" w:rsidRDefault="00762D7A" w:rsidP="00380EEA">
            <w:pPr>
              <w:tabs>
                <w:tab w:val="left" w:pos="3010"/>
              </w:tabs>
              <w:rPr>
                <w:noProof/>
                <w:lang w:val="en-IE"/>
              </w:rPr>
            </w:pPr>
            <w:r>
              <w:rPr>
                <w:noProof/>
                <w:lang w:val="en-IE"/>
              </w:rPr>
              <w:tab/>
            </w:r>
          </w:p>
        </w:tc>
      </w:tr>
      <w:tr w:rsidR="00C76702" w14:paraId="20CF3714" w14:textId="77777777" w:rsidTr="00CD1FC7">
        <w:trPr>
          <w:trHeight w:val="274"/>
        </w:trPr>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FFAB25" w14:textId="77777777" w:rsidR="00C76702" w:rsidRDefault="00C76702" w:rsidP="00EB7963">
            <w:pPr>
              <w:jc w:val="center"/>
              <w:rPr>
                <w:b/>
                <w:bCs/>
                <w:noProof/>
                <w:szCs w:val="24"/>
              </w:rPr>
            </w:pPr>
            <w:r>
              <w:rPr>
                <w:b/>
                <w:bCs/>
                <w:noProof/>
                <w:szCs w:val="24"/>
              </w:rPr>
              <w:t>2</w:t>
            </w:r>
          </w:p>
          <w:p w14:paraId="49559F8E" w14:textId="77777777" w:rsidR="00C76702" w:rsidRDefault="00C76702" w:rsidP="00EB7963">
            <w:pPr>
              <w:jc w:val="both"/>
              <w:rPr>
                <w:b/>
                <w:bCs/>
                <w:noProof/>
                <w:sz w:val="24"/>
                <w:szCs w:val="24"/>
              </w:rPr>
            </w:pP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4D6E0D3" w14:textId="77777777" w:rsidR="00C76702" w:rsidRPr="00CC24EC" w:rsidRDefault="00C76702" w:rsidP="00CD1FC7">
            <w:pPr>
              <w:spacing w:before="60" w:after="120" w:line="240" w:lineRule="auto"/>
              <w:jc w:val="both"/>
              <w:rPr>
                <w:rFonts w:ascii="Verdana" w:hAnsi="Verdana"/>
                <w:b/>
                <w:noProof/>
                <w:sz w:val="16"/>
                <w:szCs w:val="16"/>
              </w:rPr>
            </w:pPr>
            <w:r w:rsidRPr="00CC24EC">
              <w:rPr>
                <w:rFonts w:ascii="Verdana" w:hAnsi="Verdana"/>
                <w:b/>
                <w:noProof/>
                <w:sz w:val="16"/>
                <w:szCs w:val="16"/>
              </w:rPr>
              <w:t>Structures at national level</w:t>
            </w:r>
            <w:r>
              <w:rPr>
                <w:rFonts w:ascii="Verdana" w:hAnsi="Verdana"/>
                <w:b/>
                <w:noProof/>
                <w:sz w:val="16"/>
                <w:szCs w:val="16"/>
              </w:rPr>
              <w:t xml:space="preserve"> </w:t>
            </w:r>
            <w:r w:rsidRPr="00C94CDA">
              <w:rPr>
                <w:rFonts w:ascii="Verdana" w:hAnsi="Verdana"/>
                <w:b/>
                <w:bCs/>
                <w:noProof/>
                <w:sz w:val="16"/>
                <w:szCs w:val="16"/>
              </w:rPr>
              <w:t>are not set up and equipped in a sufficiently efficient and effective manner</w:t>
            </w:r>
            <w:r w:rsidRPr="00C94CDA">
              <w:rPr>
                <w:rFonts w:ascii="Verdana" w:hAnsi="Verdana"/>
                <w:b/>
                <w:noProof/>
                <w:sz w:val="16"/>
                <w:szCs w:val="16"/>
              </w:rPr>
              <w:t>:</w:t>
            </w:r>
          </w:p>
          <w:p w14:paraId="727C0179" w14:textId="77777777" w:rsidR="00C76702" w:rsidRPr="00CC24EC" w:rsidRDefault="00C76702" w:rsidP="00EB7963">
            <w:pPr>
              <w:spacing w:before="60" w:after="120"/>
              <w:jc w:val="both"/>
              <w:rPr>
                <w:rFonts w:ascii="Verdana" w:hAnsi="Verdana"/>
                <w:b/>
                <w:noProof/>
                <w:sz w:val="16"/>
                <w:szCs w:val="16"/>
              </w:rPr>
            </w:pPr>
            <w:r w:rsidRPr="00CC24EC">
              <w:rPr>
                <w:rFonts w:ascii="Verdana" w:hAnsi="Verdana"/>
                <w:noProof/>
                <w:sz w:val="16"/>
                <w:szCs w:val="16"/>
              </w:rPr>
              <w:t xml:space="preserve">Member States do </w:t>
            </w:r>
            <w:r w:rsidRPr="00CC24EC">
              <w:rPr>
                <w:rFonts w:ascii="Verdana" w:hAnsi="Verdana"/>
                <w:b/>
                <w:bCs/>
                <w:noProof/>
                <w:sz w:val="16"/>
                <w:szCs w:val="16"/>
                <w:u w:val="single"/>
              </w:rPr>
              <w:t>not</w:t>
            </w:r>
            <w:r w:rsidRPr="00CC24EC">
              <w:rPr>
                <w:rFonts w:ascii="Verdana" w:hAnsi="Verdana"/>
                <w:b/>
                <w:bCs/>
                <w:noProof/>
                <w:sz w:val="16"/>
                <w:szCs w:val="16"/>
              </w:rPr>
              <w:t xml:space="preserve"> </w:t>
            </w:r>
            <w:r w:rsidR="00D03B8A">
              <w:rPr>
                <w:rFonts w:ascii="Verdana" w:hAnsi="Verdana"/>
                <w:b/>
                <w:bCs/>
                <w:noProof/>
                <w:sz w:val="16"/>
                <w:szCs w:val="16"/>
              </w:rPr>
              <w:t>always</w:t>
            </w:r>
            <w:r w:rsidRPr="00CC24EC">
              <w:rPr>
                <w:rFonts w:ascii="Verdana" w:hAnsi="Verdana"/>
                <w:b/>
                <w:bCs/>
                <w:noProof/>
                <w:sz w:val="16"/>
                <w:szCs w:val="16"/>
              </w:rPr>
              <w:t xml:space="preserve"> have the necessary structures</w:t>
            </w:r>
            <w:r w:rsidRPr="00CC24EC">
              <w:rPr>
                <w:rFonts w:ascii="Verdana" w:hAnsi="Verdana"/>
                <w:noProof/>
                <w:sz w:val="16"/>
                <w:szCs w:val="16"/>
              </w:rPr>
              <w:t xml:space="preserve"> in place to exchange information effectively and efficiently with other Member States: Member States do not have the necessary structures in place to receive information requests from other Member States, channel them to the right authorities at national level, and provide the requested information in an effective and efficient way.</w:t>
            </w:r>
          </w:p>
        </w:tc>
        <w:tc>
          <w:tcPr>
            <w:tcW w:w="453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A5184DB" w14:textId="77777777" w:rsidR="00C76702" w:rsidRPr="00CC24EC" w:rsidRDefault="00C76702" w:rsidP="00E760E4">
            <w:pPr>
              <w:pStyle w:val="ListParagraph"/>
              <w:numPr>
                <w:ilvl w:val="0"/>
                <w:numId w:val="11"/>
              </w:numPr>
              <w:spacing w:before="60" w:after="0" w:line="240" w:lineRule="auto"/>
              <w:ind w:left="360"/>
              <w:jc w:val="both"/>
              <w:rPr>
                <w:rFonts w:ascii="Verdana" w:hAnsi="Verdana"/>
                <w:noProof/>
                <w:sz w:val="16"/>
                <w:szCs w:val="16"/>
              </w:rPr>
            </w:pPr>
            <w:r w:rsidRPr="00CC24EC">
              <w:rPr>
                <w:rFonts w:ascii="Verdana" w:hAnsi="Verdana"/>
                <w:noProof/>
                <w:sz w:val="16"/>
                <w:szCs w:val="16"/>
              </w:rPr>
              <w:t xml:space="preserve">Single Points of Contact (SPOCs), Police and Customs Cooperation Centres and other equivalent structures are set up differently, having different supervising authorities, roles, means and capabilities. </w:t>
            </w:r>
          </w:p>
          <w:p w14:paraId="44628FD0" w14:textId="13F49782" w:rsidR="00C76702" w:rsidRPr="00CC24EC" w:rsidRDefault="00C76702" w:rsidP="00E760E4">
            <w:pPr>
              <w:pStyle w:val="ListParagraph"/>
              <w:numPr>
                <w:ilvl w:val="0"/>
                <w:numId w:val="11"/>
              </w:numPr>
              <w:spacing w:before="60" w:after="0" w:line="240" w:lineRule="auto"/>
              <w:ind w:left="360"/>
              <w:jc w:val="both"/>
              <w:rPr>
                <w:rFonts w:ascii="Verdana" w:hAnsi="Verdana"/>
                <w:noProof/>
                <w:sz w:val="16"/>
                <w:szCs w:val="16"/>
              </w:rPr>
            </w:pPr>
            <w:r w:rsidRPr="00CC24EC">
              <w:rPr>
                <w:rFonts w:ascii="Verdana" w:hAnsi="Verdana"/>
                <w:noProof/>
                <w:sz w:val="16"/>
                <w:szCs w:val="16"/>
              </w:rPr>
              <w:t xml:space="preserve">They are not always structured or manned appropriately, nor equipped with necessary information management tools. </w:t>
            </w:r>
          </w:p>
          <w:p w14:paraId="1433F8A1" w14:textId="5980C227" w:rsidR="00C76702" w:rsidRPr="00CC24EC" w:rsidRDefault="00C76702" w:rsidP="00E760E4">
            <w:pPr>
              <w:pStyle w:val="ListParagraph"/>
              <w:numPr>
                <w:ilvl w:val="0"/>
                <w:numId w:val="13"/>
              </w:numPr>
              <w:spacing w:beforeLines="60" w:before="144" w:after="0" w:line="240" w:lineRule="auto"/>
              <w:jc w:val="both"/>
              <w:rPr>
                <w:rFonts w:ascii="Verdana" w:hAnsi="Verdana"/>
                <w:noProof/>
                <w:sz w:val="16"/>
                <w:szCs w:val="16"/>
              </w:rPr>
            </w:pPr>
            <w:r w:rsidRPr="00CC24EC">
              <w:rPr>
                <w:rFonts w:ascii="Verdana" w:hAnsi="Verdana"/>
                <w:noProof/>
                <w:sz w:val="16"/>
                <w:szCs w:val="16"/>
              </w:rPr>
              <w:t xml:space="preserve">There </w:t>
            </w:r>
            <w:r w:rsidR="00973D81">
              <w:rPr>
                <w:rFonts w:ascii="Verdana" w:hAnsi="Verdana"/>
                <w:noProof/>
                <w:sz w:val="16"/>
                <w:szCs w:val="16"/>
              </w:rPr>
              <w:t>are delays in</w:t>
            </w:r>
            <w:r w:rsidRPr="00CC24EC">
              <w:rPr>
                <w:rFonts w:ascii="Verdana" w:hAnsi="Verdana"/>
                <w:noProof/>
                <w:sz w:val="16"/>
                <w:szCs w:val="16"/>
              </w:rPr>
              <w:t xml:space="preserve"> the judicial authorisation process</w:t>
            </w:r>
            <w:r w:rsidR="00973D81">
              <w:rPr>
                <w:rFonts w:ascii="Verdana" w:hAnsi="Verdana"/>
                <w:noProof/>
                <w:sz w:val="16"/>
                <w:szCs w:val="16"/>
              </w:rPr>
              <w:t xml:space="preserve"> in cases</w:t>
            </w:r>
            <w:r w:rsidRPr="00CC24EC">
              <w:rPr>
                <w:rFonts w:ascii="Verdana" w:hAnsi="Verdana"/>
                <w:noProof/>
                <w:sz w:val="16"/>
                <w:szCs w:val="16"/>
              </w:rPr>
              <w:t xml:space="preserve"> where</w:t>
            </w:r>
            <w:r w:rsidR="00973D81">
              <w:rPr>
                <w:rFonts w:ascii="Verdana" w:hAnsi="Verdana"/>
                <w:noProof/>
                <w:sz w:val="16"/>
                <w:szCs w:val="16"/>
              </w:rPr>
              <w:t xml:space="preserve"> this is</w:t>
            </w:r>
            <w:r w:rsidRPr="00CC24EC">
              <w:rPr>
                <w:rFonts w:ascii="Verdana" w:hAnsi="Verdana"/>
                <w:noProof/>
                <w:sz w:val="16"/>
                <w:szCs w:val="16"/>
              </w:rPr>
              <w:t xml:space="preserve"> needed.</w:t>
            </w:r>
          </w:p>
          <w:p w14:paraId="28D5F8B4" w14:textId="77777777" w:rsidR="00C76702" w:rsidRPr="00CC24EC" w:rsidRDefault="00C76702" w:rsidP="00E760E4">
            <w:pPr>
              <w:pStyle w:val="ListParagraph"/>
              <w:numPr>
                <w:ilvl w:val="0"/>
                <w:numId w:val="13"/>
              </w:numPr>
              <w:spacing w:beforeLines="60" w:before="144" w:after="0" w:line="240" w:lineRule="auto"/>
              <w:jc w:val="both"/>
              <w:rPr>
                <w:rFonts w:ascii="Verdana" w:hAnsi="Verdana"/>
                <w:noProof/>
                <w:sz w:val="16"/>
                <w:szCs w:val="16"/>
              </w:rPr>
            </w:pPr>
            <w:r w:rsidRPr="00CC24EC">
              <w:rPr>
                <w:rFonts w:ascii="Verdana" w:hAnsi="Verdana"/>
                <w:noProof/>
                <w:sz w:val="16"/>
                <w:szCs w:val="16"/>
              </w:rPr>
              <w:t>Language barriers hamper the efficient cross-border exchange of information.</w:t>
            </w:r>
          </w:p>
          <w:p w14:paraId="33B2DE6B" w14:textId="77777777" w:rsidR="00C76702" w:rsidRPr="00CC24EC" w:rsidRDefault="00C76702" w:rsidP="00E760E4">
            <w:pPr>
              <w:pStyle w:val="ListParagraph"/>
              <w:numPr>
                <w:ilvl w:val="0"/>
                <w:numId w:val="13"/>
              </w:numPr>
              <w:spacing w:beforeLines="60" w:before="144" w:after="0" w:line="240" w:lineRule="auto"/>
              <w:jc w:val="both"/>
              <w:rPr>
                <w:rFonts w:ascii="Verdana" w:hAnsi="Verdana" w:cstheme="minorBidi"/>
                <w:noProof/>
                <w:sz w:val="16"/>
                <w:szCs w:val="16"/>
              </w:rPr>
            </w:pPr>
            <w:r w:rsidRPr="00CC24EC">
              <w:rPr>
                <w:rFonts w:ascii="Verdana" w:hAnsi="Verdana"/>
                <w:noProof/>
                <w:sz w:val="16"/>
                <w:szCs w:val="16"/>
              </w:rPr>
              <w:t>Limited training available for staff involved in information exchange and cooperation.</w:t>
            </w:r>
          </w:p>
        </w:tc>
        <w:tc>
          <w:tcPr>
            <w:tcW w:w="29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0B7E38" w14:textId="4EAA2F76" w:rsidR="00C76702" w:rsidRPr="00CC24EC" w:rsidRDefault="00C76702" w:rsidP="005619F6">
            <w:pPr>
              <w:spacing w:before="60"/>
              <w:jc w:val="both"/>
              <w:rPr>
                <w:rFonts w:ascii="Verdana" w:hAnsi="Verdana"/>
                <w:b/>
                <w:bCs/>
                <w:noProof/>
                <w:sz w:val="16"/>
                <w:szCs w:val="16"/>
              </w:rPr>
            </w:pPr>
            <w:r w:rsidRPr="00CC24EC">
              <w:rPr>
                <w:rFonts w:ascii="Verdana" w:hAnsi="Verdana"/>
                <w:noProof/>
                <w:sz w:val="16"/>
                <w:szCs w:val="16"/>
              </w:rPr>
              <w:t xml:space="preserve">To ensure that all Member States have an effective functioning </w:t>
            </w:r>
            <w:r w:rsidRPr="00CC24EC">
              <w:rPr>
                <w:rFonts w:ascii="Verdana" w:hAnsi="Verdana"/>
                <w:b/>
                <w:bCs/>
                <w:noProof/>
                <w:sz w:val="16"/>
                <w:szCs w:val="16"/>
              </w:rPr>
              <w:t xml:space="preserve">Single Point of Contact </w:t>
            </w:r>
            <w:r w:rsidRPr="00CC24EC">
              <w:rPr>
                <w:rFonts w:ascii="Verdana" w:hAnsi="Verdana"/>
                <w:bCs/>
                <w:noProof/>
                <w:sz w:val="16"/>
                <w:szCs w:val="16"/>
              </w:rPr>
              <w:t>(SPOC),</w:t>
            </w:r>
            <w:r w:rsidRPr="00CC24EC">
              <w:rPr>
                <w:rFonts w:ascii="Verdana" w:hAnsi="Verdana"/>
                <w:b/>
                <w:bCs/>
                <w:noProof/>
                <w:sz w:val="16"/>
                <w:szCs w:val="16"/>
              </w:rPr>
              <w:t xml:space="preserve"> </w:t>
            </w:r>
            <w:r w:rsidRPr="00CC24EC">
              <w:rPr>
                <w:rFonts w:ascii="Verdana" w:hAnsi="Verdana"/>
                <w:bCs/>
                <w:noProof/>
                <w:sz w:val="16"/>
                <w:szCs w:val="16"/>
              </w:rPr>
              <w:t xml:space="preserve">including when a </w:t>
            </w:r>
            <w:r w:rsidRPr="00CC24EC">
              <w:rPr>
                <w:rFonts w:ascii="Verdana" w:hAnsi="Verdana"/>
                <w:b/>
                <w:bCs/>
                <w:noProof/>
                <w:sz w:val="16"/>
                <w:szCs w:val="16"/>
              </w:rPr>
              <w:t>judicial authorisation</w:t>
            </w:r>
            <w:r w:rsidRPr="00CC24EC">
              <w:rPr>
                <w:rFonts w:ascii="Verdana" w:hAnsi="Verdana"/>
                <w:bCs/>
                <w:noProof/>
                <w:sz w:val="16"/>
                <w:szCs w:val="16"/>
              </w:rPr>
              <w:t xml:space="preserve"> is required to provide the data upon request of another Member State,</w:t>
            </w:r>
            <w:r w:rsidRPr="00CC24EC">
              <w:rPr>
                <w:rFonts w:ascii="Verdana" w:hAnsi="Verdana"/>
                <w:b/>
                <w:bCs/>
                <w:noProof/>
                <w:sz w:val="16"/>
                <w:szCs w:val="16"/>
              </w:rPr>
              <w:t xml:space="preserve"> </w:t>
            </w:r>
            <w:r w:rsidRPr="00CC24EC">
              <w:rPr>
                <w:rFonts w:ascii="Verdana" w:hAnsi="Verdana"/>
                <w:bCs/>
                <w:noProof/>
                <w:sz w:val="16"/>
                <w:szCs w:val="16"/>
              </w:rPr>
              <w:t xml:space="preserve">and ensuring its effective cooperation with </w:t>
            </w:r>
            <w:r w:rsidRPr="00CC24EC">
              <w:rPr>
                <w:rFonts w:ascii="Verdana" w:hAnsi="Verdana"/>
                <w:b/>
                <w:bCs/>
                <w:noProof/>
                <w:sz w:val="16"/>
                <w:szCs w:val="16"/>
              </w:rPr>
              <w:t xml:space="preserve">Police and Customs Cooperation Centres </w:t>
            </w:r>
            <w:r w:rsidRPr="00CC24EC">
              <w:rPr>
                <w:rFonts w:ascii="Verdana" w:hAnsi="Verdana"/>
                <w:bCs/>
                <w:noProof/>
                <w:sz w:val="16"/>
                <w:szCs w:val="16"/>
              </w:rPr>
              <w:t>(PCCCs).</w:t>
            </w:r>
            <w:r w:rsidRPr="00CC24EC">
              <w:rPr>
                <w:rFonts w:ascii="Verdana" w:hAnsi="Verdana"/>
                <w:noProof/>
                <w:sz w:val="16"/>
                <w:szCs w:val="16"/>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19593B" w14:textId="4D3755DD" w:rsidR="00C76702" w:rsidRPr="00CC24EC" w:rsidRDefault="00C76702" w:rsidP="00E760E4">
            <w:pPr>
              <w:pStyle w:val="ListParagraph"/>
              <w:numPr>
                <w:ilvl w:val="0"/>
                <w:numId w:val="12"/>
              </w:numPr>
              <w:spacing w:beforeLines="60" w:before="144" w:after="0" w:line="240" w:lineRule="auto"/>
              <w:jc w:val="both"/>
              <w:rPr>
                <w:rFonts w:ascii="Verdana" w:hAnsi="Verdana"/>
                <w:noProof/>
                <w:sz w:val="16"/>
                <w:szCs w:val="16"/>
              </w:rPr>
            </w:pPr>
            <w:r w:rsidRPr="00CC24EC">
              <w:rPr>
                <w:rFonts w:ascii="Verdana" w:hAnsi="Verdana"/>
                <w:i/>
                <w:iCs/>
                <w:noProof/>
                <w:sz w:val="16"/>
                <w:szCs w:val="16"/>
                <w:u w:val="single"/>
              </w:rPr>
              <w:t>Option</w:t>
            </w:r>
            <w:r w:rsidR="00D03B8A">
              <w:rPr>
                <w:rFonts w:ascii="Verdana" w:hAnsi="Verdana"/>
                <w:i/>
                <w:iCs/>
                <w:noProof/>
                <w:sz w:val="16"/>
                <w:szCs w:val="16"/>
                <w:u w:val="single"/>
              </w:rPr>
              <w:t xml:space="preserve"> 2.1</w:t>
            </w:r>
            <w:r w:rsidRPr="00CC24EC">
              <w:rPr>
                <w:rFonts w:ascii="Verdana" w:hAnsi="Verdana"/>
                <w:i/>
                <w:iCs/>
                <w:noProof/>
                <w:sz w:val="16"/>
                <w:szCs w:val="16"/>
                <w:u w:val="single"/>
              </w:rPr>
              <w:t>:</w:t>
            </w:r>
            <w:r w:rsidRPr="00CC24EC">
              <w:rPr>
                <w:rFonts w:ascii="Verdana" w:hAnsi="Verdana"/>
                <w:noProof/>
                <w:sz w:val="16"/>
                <w:szCs w:val="16"/>
              </w:rPr>
              <w:t xml:space="preserve"> Continue with Council non-binding guidelines on Single Points of Contact + </w:t>
            </w:r>
            <w:r w:rsidR="00762D7A" w:rsidRPr="00380EEA">
              <w:rPr>
                <w:rFonts w:ascii="Verdana" w:hAnsi="Verdana"/>
                <w:b/>
                <w:noProof/>
                <w:sz w:val="16"/>
                <w:szCs w:val="16"/>
              </w:rPr>
              <w:t>new</w:t>
            </w:r>
            <w:r w:rsidR="00762D7A">
              <w:rPr>
                <w:rFonts w:ascii="Verdana" w:hAnsi="Verdana"/>
                <w:noProof/>
                <w:sz w:val="16"/>
                <w:szCs w:val="16"/>
              </w:rPr>
              <w:t xml:space="preserve"> </w:t>
            </w:r>
            <w:r w:rsidRPr="00CC24EC">
              <w:rPr>
                <w:rFonts w:ascii="Verdana" w:hAnsi="Verdana"/>
                <w:b/>
                <w:iCs/>
                <w:noProof/>
                <w:sz w:val="16"/>
                <w:szCs w:val="16"/>
              </w:rPr>
              <w:t>flanking</w:t>
            </w:r>
            <w:r w:rsidRPr="00CC24EC">
              <w:rPr>
                <w:rFonts w:ascii="Verdana" w:hAnsi="Verdana"/>
                <w:iCs/>
                <w:noProof/>
                <w:sz w:val="16"/>
                <w:szCs w:val="16"/>
              </w:rPr>
              <w:t xml:space="preserve"> </w:t>
            </w:r>
            <w:r w:rsidRPr="00CC24EC">
              <w:rPr>
                <w:rFonts w:ascii="Verdana" w:hAnsi="Verdana"/>
                <w:b/>
                <w:iCs/>
                <w:noProof/>
                <w:sz w:val="16"/>
                <w:szCs w:val="16"/>
              </w:rPr>
              <w:t>soft measures</w:t>
            </w:r>
            <w:r w:rsidRPr="00CC24EC">
              <w:rPr>
                <w:rFonts w:ascii="Verdana" w:hAnsi="Verdana"/>
                <w:iCs/>
                <w:noProof/>
                <w:sz w:val="16"/>
                <w:szCs w:val="16"/>
              </w:rPr>
              <w:t xml:space="preserve"> (training, financial support, </w:t>
            </w:r>
            <w:r w:rsidR="001E26F1">
              <w:rPr>
                <w:rFonts w:ascii="Verdana" w:hAnsi="Verdana"/>
                <w:iCs/>
                <w:noProof/>
                <w:sz w:val="16"/>
                <w:szCs w:val="16"/>
              </w:rPr>
              <w:t xml:space="preserve">Commission </w:t>
            </w:r>
            <w:r w:rsidRPr="00CC24EC">
              <w:rPr>
                <w:rFonts w:ascii="Verdana" w:hAnsi="Verdana"/>
                <w:iCs/>
                <w:noProof/>
                <w:sz w:val="16"/>
                <w:szCs w:val="16"/>
              </w:rPr>
              <w:t>guidance);</w:t>
            </w:r>
          </w:p>
          <w:p w14:paraId="7180FA82" w14:textId="592A7258" w:rsidR="00C76702" w:rsidRPr="00CC24EC" w:rsidRDefault="00C76702" w:rsidP="00FE0E3B">
            <w:pPr>
              <w:pStyle w:val="ListParagraph"/>
              <w:numPr>
                <w:ilvl w:val="0"/>
                <w:numId w:val="10"/>
              </w:numPr>
              <w:spacing w:before="60" w:after="0" w:line="240" w:lineRule="auto"/>
              <w:jc w:val="both"/>
              <w:rPr>
                <w:rFonts w:ascii="Verdana" w:hAnsi="Verdana"/>
                <w:noProof/>
                <w:sz w:val="16"/>
                <w:szCs w:val="16"/>
              </w:rPr>
            </w:pPr>
            <w:r w:rsidRPr="00CC24EC">
              <w:rPr>
                <w:rFonts w:ascii="Verdana" w:hAnsi="Verdana"/>
                <w:i/>
                <w:iCs/>
                <w:noProof/>
                <w:sz w:val="16"/>
                <w:szCs w:val="16"/>
                <w:u w:val="single"/>
              </w:rPr>
              <w:t>Option</w:t>
            </w:r>
            <w:r w:rsidR="00D03B8A">
              <w:rPr>
                <w:rFonts w:ascii="Verdana" w:hAnsi="Verdana"/>
                <w:i/>
                <w:iCs/>
                <w:noProof/>
                <w:sz w:val="16"/>
                <w:szCs w:val="16"/>
                <w:u w:val="single"/>
              </w:rPr>
              <w:t xml:space="preserve"> 2.2</w:t>
            </w:r>
            <w:r w:rsidRPr="00CC24EC">
              <w:rPr>
                <w:rFonts w:ascii="Verdana" w:hAnsi="Verdana"/>
                <w:i/>
                <w:iCs/>
                <w:noProof/>
                <w:sz w:val="16"/>
                <w:szCs w:val="16"/>
                <w:u w:val="single"/>
              </w:rPr>
              <w:t>:</w:t>
            </w:r>
            <w:r w:rsidRPr="00CC24EC">
              <w:rPr>
                <w:rFonts w:ascii="Verdana" w:hAnsi="Verdana"/>
                <w:i/>
                <w:iCs/>
                <w:noProof/>
                <w:sz w:val="16"/>
                <w:szCs w:val="16"/>
              </w:rPr>
              <w:t xml:space="preserve"> </w:t>
            </w:r>
            <w:r w:rsidRPr="00CC24EC">
              <w:rPr>
                <w:rFonts w:ascii="Verdana" w:hAnsi="Verdana"/>
                <w:b/>
                <w:noProof/>
                <w:sz w:val="16"/>
                <w:szCs w:val="16"/>
              </w:rPr>
              <w:t>approximation of minimum standards</w:t>
            </w:r>
            <w:r w:rsidRPr="00CC24EC">
              <w:rPr>
                <w:rFonts w:ascii="Verdana" w:hAnsi="Verdana"/>
                <w:noProof/>
                <w:sz w:val="16"/>
                <w:szCs w:val="16"/>
              </w:rPr>
              <w:t xml:space="preserve"> on the composition of the Single Points of Contact (including </w:t>
            </w:r>
            <w:r w:rsidR="00FE0E3B" w:rsidRPr="00FE0E3B">
              <w:rPr>
                <w:rFonts w:ascii="Verdana" w:hAnsi="Verdana"/>
                <w:noProof/>
                <w:sz w:val="16"/>
                <w:szCs w:val="16"/>
              </w:rPr>
              <w:t xml:space="preserve">when a </w:t>
            </w:r>
            <w:r w:rsidR="00FE0E3B" w:rsidRPr="00380EEA">
              <w:rPr>
                <w:rFonts w:ascii="Verdana" w:hAnsi="Verdana"/>
                <w:b/>
                <w:noProof/>
                <w:sz w:val="16"/>
                <w:szCs w:val="16"/>
              </w:rPr>
              <w:t>judicial authorisation</w:t>
            </w:r>
            <w:r w:rsidR="00FE0E3B">
              <w:rPr>
                <w:rFonts w:ascii="Verdana" w:hAnsi="Verdana"/>
                <w:noProof/>
                <w:sz w:val="16"/>
                <w:szCs w:val="16"/>
              </w:rPr>
              <w:t xml:space="preserve"> is required</w:t>
            </w:r>
            <w:r w:rsidRPr="00CC24EC">
              <w:rPr>
                <w:rFonts w:ascii="Verdana" w:hAnsi="Verdana"/>
                <w:noProof/>
                <w:sz w:val="16"/>
                <w:szCs w:val="16"/>
              </w:rPr>
              <w:t xml:space="preserve">), its functions, staffing and IT systems, and its cooperation with </w:t>
            </w:r>
            <w:r w:rsidR="006977B6">
              <w:rPr>
                <w:rFonts w:ascii="Verdana" w:hAnsi="Verdana"/>
                <w:noProof/>
                <w:sz w:val="16"/>
                <w:szCs w:val="16"/>
              </w:rPr>
              <w:t xml:space="preserve">regional </w:t>
            </w:r>
            <w:r w:rsidRPr="00CC24EC">
              <w:rPr>
                <w:rFonts w:ascii="Verdana" w:hAnsi="Verdana"/>
                <w:noProof/>
                <w:sz w:val="16"/>
                <w:szCs w:val="16"/>
              </w:rPr>
              <w:t>structures such as Police and Customs Cooperation Centres</w:t>
            </w:r>
            <w:r w:rsidR="005619F6">
              <w:rPr>
                <w:rFonts w:ascii="Verdana" w:hAnsi="Verdana"/>
                <w:noProof/>
                <w:sz w:val="16"/>
                <w:szCs w:val="16"/>
              </w:rPr>
              <w:t xml:space="preserve"> + flanking soft measures (as in option 2.1</w:t>
            </w:r>
            <w:r w:rsidR="00B81D71">
              <w:rPr>
                <w:rFonts w:ascii="Verdana" w:hAnsi="Verdana"/>
                <w:noProof/>
                <w:sz w:val="16"/>
                <w:szCs w:val="16"/>
              </w:rPr>
              <w:t>)</w:t>
            </w:r>
            <w:r w:rsidRPr="00CC24EC">
              <w:rPr>
                <w:rFonts w:ascii="Verdana" w:hAnsi="Verdana"/>
                <w:noProof/>
                <w:sz w:val="16"/>
                <w:szCs w:val="16"/>
              </w:rPr>
              <w:t>;</w:t>
            </w:r>
          </w:p>
          <w:p w14:paraId="7C173167" w14:textId="49936A6A" w:rsidR="00C76702" w:rsidRPr="00CC24EC" w:rsidRDefault="00C76702" w:rsidP="00FE0E3B">
            <w:pPr>
              <w:pStyle w:val="ListParagraph"/>
              <w:numPr>
                <w:ilvl w:val="0"/>
                <w:numId w:val="10"/>
              </w:numPr>
              <w:spacing w:before="60" w:after="0" w:line="240" w:lineRule="auto"/>
              <w:jc w:val="both"/>
              <w:rPr>
                <w:rFonts w:ascii="Verdana" w:hAnsi="Verdana" w:cstheme="minorBidi"/>
                <w:b/>
                <w:noProof/>
                <w:sz w:val="16"/>
                <w:szCs w:val="16"/>
              </w:rPr>
            </w:pPr>
            <w:r w:rsidRPr="00CC24EC">
              <w:rPr>
                <w:rFonts w:ascii="Verdana" w:hAnsi="Verdana"/>
                <w:i/>
                <w:iCs/>
                <w:noProof/>
                <w:sz w:val="16"/>
                <w:szCs w:val="16"/>
                <w:u w:val="single"/>
              </w:rPr>
              <w:t>Option</w:t>
            </w:r>
            <w:r w:rsidR="00D03B8A">
              <w:rPr>
                <w:rFonts w:ascii="Verdana" w:hAnsi="Verdana"/>
                <w:i/>
                <w:iCs/>
                <w:noProof/>
                <w:sz w:val="16"/>
                <w:szCs w:val="16"/>
                <w:u w:val="single"/>
              </w:rPr>
              <w:t xml:space="preserve"> 2.3</w:t>
            </w:r>
            <w:r w:rsidRPr="00CC24EC">
              <w:rPr>
                <w:rFonts w:ascii="Verdana" w:hAnsi="Verdana"/>
                <w:i/>
                <w:iCs/>
                <w:noProof/>
                <w:sz w:val="16"/>
                <w:szCs w:val="16"/>
                <w:u w:val="single"/>
              </w:rPr>
              <w:t>:</w:t>
            </w:r>
            <w:r w:rsidRPr="00CC24EC">
              <w:rPr>
                <w:rFonts w:ascii="Verdana" w:hAnsi="Verdana"/>
                <w:noProof/>
                <w:sz w:val="16"/>
                <w:szCs w:val="16"/>
              </w:rPr>
              <w:t xml:space="preserve"> </w:t>
            </w:r>
            <w:r w:rsidRPr="00CC24EC">
              <w:rPr>
                <w:rFonts w:ascii="Verdana" w:hAnsi="Verdana"/>
                <w:b/>
                <w:noProof/>
                <w:sz w:val="16"/>
                <w:szCs w:val="16"/>
              </w:rPr>
              <w:t xml:space="preserve">harmonisation of rules </w:t>
            </w:r>
            <w:r w:rsidRPr="00CC24EC">
              <w:rPr>
                <w:rFonts w:ascii="Verdana" w:hAnsi="Verdana"/>
                <w:noProof/>
                <w:sz w:val="16"/>
                <w:szCs w:val="16"/>
              </w:rPr>
              <w:t xml:space="preserve">on the composition of the Single Points of Contact (including </w:t>
            </w:r>
            <w:r w:rsidR="00FE0E3B" w:rsidRPr="00FE0E3B">
              <w:rPr>
                <w:rFonts w:ascii="Verdana" w:hAnsi="Verdana"/>
                <w:noProof/>
                <w:sz w:val="16"/>
                <w:szCs w:val="16"/>
              </w:rPr>
              <w:t xml:space="preserve">when a </w:t>
            </w:r>
            <w:r w:rsidR="00FE0E3B" w:rsidRPr="00380EEA">
              <w:rPr>
                <w:rFonts w:ascii="Verdana" w:hAnsi="Verdana"/>
                <w:b/>
                <w:noProof/>
                <w:sz w:val="16"/>
                <w:szCs w:val="16"/>
              </w:rPr>
              <w:t>judicial authorisation</w:t>
            </w:r>
            <w:r w:rsidR="00FE0E3B">
              <w:rPr>
                <w:rFonts w:ascii="Verdana" w:hAnsi="Verdana"/>
                <w:noProof/>
                <w:sz w:val="16"/>
                <w:szCs w:val="16"/>
              </w:rPr>
              <w:t xml:space="preserve"> is required</w:t>
            </w:r>
            <w:r w:rsidRPr="00CC24EC">
              <w:rPr>
                <w:rFonts w:ascii="Verdana" w:hAnsi="Verdana"/>
                <w:noProof/>
                <w:sz w:val="16"/>
                <w:szCs w:val="16"/>
              </w:rPr>
              <w:t xml:space="preserve">), its functions, staffing and IT systems, and its cooperation with </w:t>
            </w:r>
            <w:r w:rsidR="006977B6">
              <w:rPr>
                <w:rFonts w:ascii="Verdana" w:hAnsi="Verdana"/>
                <w:noProof/>
                <w:sz w:val="16"/>
                <w:szCs w:val="16"/>
              </w:rPr>
              <w:t xml:space="preserve">regional </w:t>
            </w:r>
            <w:r w:rsidRPr="00CC24EC">
              <w:rPr>
                <w:rFonts w:ascii="Verdana" w:hAnsi="Verdana"/>
                <w:noProof/>
                <w:sz w:val="16"/>
                <w:szCs w:val="16"/>
              </w:rPr>
              <w:t>structures such as Police and Customs Cooperation Centres</w:t>
            </w:r>
            <w:r w:rsidR="005619F6">
              <w:rPr>
                <w:rFonts w:ascii="Verdana" w:hAnsi="Verdana"/>
                <w:noProof/>
                <w:sz w:val="16"/>
                <w:szCs w:val="16"/>
              </w:rPr>
              <w:t xml:space="preserve"> + flanking soft measures (as in option 2.1)</w:t>
            </w:r>
            <w:r w:rsidRPr="00CC24EC">
              <w:rPr>
                <w:rFonts w:ascii="Verdana" w:hAnsi="Verdana"/>
                <w:noProof/>
                <w:sz w:val="16"/>
                <w:szCs w:val="16"/>
              </w:rPr>
              <w:t>.</w:t>
            </w:r>
          </w:p>
        </w:tc>
      </w:tr>
      <w:tr w:rsidR="00C76702" w14:paraId="31E19CB1" w14:textId="77777777" w:rsidTr="00CD1FC7">
        <w:trPr>
          <w:trHeight w:val="3251"/>
        </w:trPr>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80BB14" w14:textId="77777777" w:rsidR="00C76702" w:rsidRDefault="00C76702" w:rsidP="00EB7963">
            <w:pPr>
              <w:jc w:val="center"/>
              <w:rPr>
                <w:noProof/>
                <w:szCs w:val="24"/>
              </w:rPr>
            </w:pPr>
            <w:r>
              <w:rPr>
                <w:b/>
                <w:bCs/>
                <w:noProof/>
                <w:szCs w:val="24"/>
              </w:rPr>
              <w:t>3</w:t>
            </w:r>
          </w:p>
          <w:p w14:paraId="0D95CCAE" w14:textId="77777777" w:rsidR="00C76702" w:rsidRDefault="00C76702" w:rsidP="00EB7963">
            <w:pPr>
              <w:rPr>
                <w:noProof/>
                <w:sz w:val="24"/>
                <w:szCs w:val="24"/>
              </w:rPr>
            </w:pP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6D9DD97" w14:textId="77777777" w:rsidR="00C76702" w:rsidRDefault="00C76702" w:rsidP="00CD1FC7">
            <w:pPr>
              <w:spacing w:before="60" w:after="120" w:line="240" w:lineRule="auto"/>
              <w:jc w:val="both"/>
              <w:rPr>
                <w:rFonts w:ascii="Verdana" w:hAnsi="Verdana"/>
                <w:b/>
                <w:noProof/>
                <w:sz w:val="16"/>
                <w:szCs w:val="16"/>
              </w:rPr>
            </w:pPr>
            <w:r>
              <w:rPr>
                <w:rFonts w:ascii="Verdana" w:hAnsi="Verdana"/>
                <w:b/>
                <w:bCs/>
                <w:noProof/>
                <w:sz w:val="16"/>
                <w:szCs w:val="16"/>
              </w:rPr>
              <w:t>The free choice of c</w:t>
            </w:r>
            <w:r w:rsidRPr="00CC24EC">
              <w:rPr>
                <w:rFonts w:ascii="Verdana" w:hAnsi="Verdana"/>
                <w:b/>
                <w:bCs/>
                <w:noProof/>
                <w:sz w:val="16"/>
                <w:szCs w:val="16"/>
              </w:rPr>
              <w:t>ommunication channel(s) between Member States</w:t>
            </w:r>
            <w:r>
              <w:rPr>
                <w:rFonts w:ascii="Verdana" w:hAnsi="Verdana"/>
                <w:b/>
                <w:bCs/>
                <w:noProof/>
                <w:sz w:val="16"/>
                <w:szCs w:val="16"/>
              </w:rPr>
              <w:t xml:space="preserve"> causes </w:t>
            </w:r>
            <w:r w:rsidRPr="00581FF8">
              <w:rPr>
                <w:rFonts w:ascii="Verdana" w:hAnsi="Verdana"/>
                <w:b/>
                <w:bCs/>
                <w:noProof/>
                <w:sz w:val="16"/>
                <w:szCs w:val="16"/>
              </w:rPr>
              <w:t>recurrent</w:t>
            </w:r>
            <w:r>
              <w:rPr>
                <w:rFonts w:ascii="Verdana" w:hAnsi="Verdana"/>
                <w:b/>
                <w:bCs/>
                <w:noProof/>
                <w:sz w:val="16"/>
                <w:szCs w:val="16"/>
              </w:rPr>
              <w:t xml:space="preserve"> duplication of requests</w:t>
            </w:r>
            <w:r w:rsidRPr="00CC24EC">
              <w:rPr>
                <w:rFonts w:ascii="Verdana" w:hAnsi="Verdana"/>
                <w:b/>
                <w:noProof/>
                <w:sz w:val="16"/>
                <w:szCs w:val="16"/>
              </w:rPr>
              <w:t>:</w:t>
            </w:r>
          </w:p>
          <w:p w14:paraId="2F16D468" w14:textId="77777777" w:rsidR="00C76702" w:rsidRPr="00CC24EC" w:rsidRDefault="00C76702" w:rsidP="00450586">
            <w:pPr>
              <w:spacing w:before="60"/>
              <w:jc w:val="both"/>
              <w:rPr>
                <w:rFonts w:ascii="Verdana" w:hAnsi="Verdana"/>
                <w:b/>
                <w:bCs/>
                <w:noProof/>
                <w:sz w:val="16"/>
                <w:szCs w:val="16"/>
              </w:rPr>
            </w:pPr>
            <w:r w:rsidRPr="00CC24EC">
              <w:rPr>
                <w:rFonts w:ascii="Verdana" w:hAnsi="Verdana"/>
                <w:noProof/>
                <w:sz w:val="16"/>
                <w:szCs w:val="16"/>
              </w:rPr>
              <w:t xml:space="preserve">Member States' law enforcement authorities </w:t>
            </w:r>
            <w:r w:rsidRPr="00CC24EC">
              <w:rPr>
                <w:rFonts w:ascii="Verdana" w:hAnsi="Verdana"/>
                <w:bCs/>
                <w:noProof/>
                <w:sz w:val="16"/>
                <w:szCs w:val="16"/>
              </w:rPr>
              <w:t>use a variety of</w:t>
            </w:r>
            <w:r w:rsidRPr="00CC24EC">
              <w:rPr>
                <w:rFonts w:ascii="Verdana" w:hAnsi="Verdana"/>
                <w:noProof/>
                <w:sz w:val="16"/>
                <w:szCs w:val="16"/>
              </w:rPr>
              <w:t xml:space="preserve"> </w:t>
            </w:r>
            <w:r w:rsidRPr="00CC24EC">
              <w:rPr>
                <w:rFonts w:ascii="Verdana" w:hAnsi="Verdana"/>
                <w:bCs/>
                <w:noProof/>
                <w:sz w:val="16"/>
                <w:szCs w:val="16"/>
              </w:rPr>
              <w:t>different channels</w:t>
            </w:r>
            <w:r w:rsidRPr="00CC24EC">
              <w:rPr>
                <w:rFonts w:ascii="Verdana" w:hAnsi="Verdana"/>
                <w:noProof/>
                <w:sz w:val="16"/>
                <w:szCs w:val="16"/>
              </w:rPr>
              <w:t xml:space="preserve"> to send information request to other Member States and respond to them, which hampers effective and efficient exchange of information. </w:t>
            </w:r>
          </w:p>
        </w:tc>
        <w:tc>
          <w:tcPr>
            <w:tcW w:w="453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DF5880" w14:textId="77777777" w:rsidR="00EC7A2B" w:rsidRDefault="00C76702" w:rsidP="00EB7963">
            <w:pPr>
              <w:spacing w:before="60"/>
              <w:contextualSpacing/>
              <w:jc w:val="both"/>
              <w:rPr>
                <w:rFonts w:ascii="Verdana" w:hAnsi="Verdana"/>
                <w:b/>
                <w:bCs/>
                <w:noProof/>
                <w:sz w:val="16"/>
                <w:szCs w:val="16"/>
              </w:rPr>
            </w:pPr>
            <w:r w:rsidRPr="00CC24EC">
              <w:rPr>
                <w:rFonts w:ascii="Verdana" w:hAnsi="Verdana"/>
                <w:noProof/>
                <w:sz w:val="16"/>
                <w:szCs w:val="16"/>
              </w:rPr>
              <w:t>Member States have not agreed on a single channel of information exchange between their law enforcement authorities for cases with an EU dimension, leading to duplication of requests, undue delays and occasional information loss, and also depriving their competent authorities from Europol's support even though they call on the Agency to be the EU criminal information hub and to deliver intelligence-led products.</w:t>
            </w:r>
          </w:p>
          <w:p w14:paraId="2852DB40" w14:textId="77777777" w:rsidR="00EC7A2B" w:rsidRPr="00EC7A2B" w:rsidRDefault="00EC7A2B" w:rsidP="00EC7A2B">
            <w:pPr>
              <w:rPr>
                <w:rFonts w:ascii="Verdana" w:hAnsi="Verdana"/>
                <w:noProof/>
                <w:sz w:val="16"/>
                <w:szCs w:val="16"/>
              </w:rPr>
            </w:pPr>
          </w:p>
          <w:p w14:paraId="0DB1FB4C" w14:textId="77777777" w:rsidR="00EC7A2B" w:rsidRDefault="00EC7A2B" w:rsidP="00EC7A2B">
            <w:pPr>
              <w:rPr>
                <w:rFonts w:ascii="Verdana" w:hAnsi="Verdana"/>
                <w:noProof/>
                <w:sz w:val="16"/>
                <w:szCs w:val="16"/>
              </w:rPr>
            </w:pPr>
          </w:p>
          <w:p w14:paraId="00024C4F" w14:textId="77777777" w:rsidR="00C76702" w:rsidRPr="00EC7A2B" w:rsidRDefault="00C76702" w:rsidP="00EC7A2B">
            <w:pPr>
              <w:rPr>
                <w:rFonts w:ascii="Verdana" w:hAnsi="Verdana"/>
                <w:noProof/>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3620ED" w14:textId="1AAB432B" w:rsidR="00C76702" w:rsidRPr="00CC24EC" w:rsidRDefault="00C76702" w:rsidP="00F3270B">
            <w:pPr>
              <w:spacing w:before="60"/>
              <w:contextualSpacing/>
              <w:jc w:val="both"/>
              <w:rPr>
                <w:rFonts w:ascii="Verdana" w:hAnsi="Verdana"/>
                <w:noProof/>
                <w:sz w:val="16"/>
                <w:szCs w:val="16"/>
              </w:rPr>
            </w:pPr>
            <w:r w:rsidRPr="00F3270B">
              <w:rPr>
                <w:rFonts w:ascii="Verdana" w:hAnsi="Verdana"/>
                <w:noProof/>
                <w:sz w:val="16"/>
                <w:szCs w:val="16"/>
              </w:rPr>
              <w:t xml:space="preserve">To </w:t>
            </w:r>
            <w:r w:rsidR="00F3270B" w:rsidRPr="002F6386">
              <w:rPr>
                <w:rFonts w:ascii="Verdana" w:hAnsi="Verdana"/>
                <w:b/>
                <w:noProof/>
                <w:sz w:val="16"/>
                <w:szCs w:val="16"/>
              </w:rPr>
              <w:t>remedy the proliferation of communication channels</w:t>
            </w:r>
            <w:r w:rsidR="00F3270B" w:rsidRPr="002F6386">
              <w:rPr>
                <w:rFonts w:ascii="Verdana" w:hAnsi="Verdana"/>
                <w:noProof/>
                <w:sz w:val="16"/>
                <w:szCs w:val="16"/>
              </w:rPr>
              <w:t xml:space="preserve"> used for law enforcement information exchange between Member States </w:t>
            </w:r>
            <w:r w:rsidR="00F3270B" w:rsidRPr="002F6386">
              <w:rPr>
                <w:rFonts w:ascii="Verdana" w:hAnsi="Verdana"/>
                <w:b/>
                <w:noProof/>
                <w:sz w:val="16"/>
                <w:szCs w:val="16"/>
              </w:rPr>
              <w:t>while empowering Europol</w:t>
            </w:r>
            <w:r w:rsidR="00F3270B" w:rsidRPr="002F6386">
              <w:rPr>
                <w:rFonts w:ascii="Verdana" w:hAnsi="Verdana"/>
                <w:noProof/>
                <w:sz w:val="16"/>
                <w:szCs w:val="16"/>
              </w:rPr>
              <w:t xml:space="preserve"> as the EU criminal information hub for offences falling within its mandate (unless otherwise regulated by EU law)</w:t>
            </w:r>
            <w:r w:rsidR="006241B7">
              <w:rPr>
                <w:rFonts w:ascii="Verdana" w:hAnsi="Verdana"/>
                <w:noProof/>
                <w:sz w:val="16"/>
                <w:szCs w:val="16"/>
              </w:rPr>
              <w:t>.</w:t>
            </w:r>
            <w:r w:rsidRPr="00CC24EC">
              <w:rPr>
                <w:rFonts w:ascii="Verdana" w:hAnsi="Verdana"/>
                <w:noProof/>
                <w:sz w:val="16"/>
                <w:szCs w:val="16"/>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9A2712" w14:textId="77777777" w:rsidR="00C76702" w:rsidRPr="00CC24EC" w:rsidRDefault="00C76702" w:rsidP="00E760E4">
            <w:pPr>
              <w:pStyle w:val="ListParagraph"/>
              <w:numPr>
                <w:ilvl w:val="0"/>
                <w:numId w:val="10"/>
              </w:numPr>
              <w:spacing w:before="60" w:after="0" w:line="240" w:lineRule="auto"/>
              <w:ind w:left="357" w:hanging="357"/>
              <w:jc w:val="both"/>
              <w:rPr>
                <w:rFonts w:ascii="Verdana" w:hAnsi="Verdana"/>
                <w:noProof/>
                <w:sz w:val="16"/>
                <w:szCs w:val="16"/>
              </w:rPr>
            </w:pPr>
            <w:r w:rsidRPr="00CC24EC">
              <w:rPr>
                <w:rFonts w:ascii="Verdana" w:hAnsi="Verdana"/>
                <w:i/>
                <w:iCs/>
                <w:noProof/>
                <w:sz w:val="16"/>
                <w:szCs w:val="16"/>
                <w:u w:val="single"/>
              </w:rPr>
              <w:t>Option</w:t>
            </w:r>
            <w:r w:rsidR="00D03B8A">
              <w:rPr>
                <w:rFonts w:ascii="Verdana" w:hAnsi="Verdana"/>
                <w:i/>
                <w:iCs/>
                <w:noProof/>
                <w:sz w:val="16"/>
                <w:szCs w:val="16"/>
                <w:u w:val="single"/>
              </w:rPr>
              <w:t xml:space="preserve"> 3.1</w:t>
            </w:r>
            <w:r w:rsidRPr="00CC24EC">
              <w:rPr>
                <w:rFonts w:ascii="Verdana" w:hAnsi="Verdana"/>
                <w:i/>
                <w:iCs/>
                <w:noProof/>
                <w:sz w:val="16"/>
                <w:szCs w:val="16"/>
                <w:u w:val="single"/>
              </w:rPr>
              <w:t>:</w:t>
            </w:r>
            <w:r w:rsidRPr="00CC24EC">
              <w:rPr>
                <w:rFonts w:ascii="Verdana" w:hAnsi="Verdana"/>
                <w:i/>
                <w:iCs/>
                <w:noProof/>
                <w:sz w:val="16"/>
                <w:szCs w:val="16"/>
              </w:rPr>
              <w:t xml:space="preserve"> </w:t>
            </w:r>
            <w:r w:rsidRPr="00CC24EC">
              <w:rPr>
                <w:rFonts w:ascii="Verdana" w:hAnsi="Verdana"/>
                <w:noProof/>
                <w:sz w:val="16"/>
                <w:szCs w:val="16"/>
              </w:rPr>
              <w:t>Continue with Council non-binding guidelines and Recommendations to put Europol in copy when using SIENA</w:t>
            </w:r>
            <w:r w:rsidRPr="00CC24EC">
              <w:rPr>
                <w:rStyle w:val="FootnoteReference"/>
                <w:rFonts w:ascii="Verdana" w:hAnsi="Verdana"/>
                <w:noProof/>
                <w:sz w:val="16"/>
                <w:szCs w:val="16"/>
              </w:rPr>
              <w:footnoteReference w:id="23"/>
            </w:r>
            <w:r w:rsidRPr="00CC24EC">
              <w:rPr>
                <w:rFonts w:ascii="Verdana" w:hAnsi="Verdana"/>
                <w:noProof/>
                <w:sz w:val="16"/>
                <w:szCs w:val="16"/>
              </w:rPr>
              <w:t xml:space="preserve"> in cases within Europol' mandate + n</w:t>
            </w:r>
            <w:r w:rsidRPr="00CC24EC">
              <w:rPr>
                <w:rFonts w:ascii="Verdana" w:hAnsi="Verdana"/>
                <w:iCs/>
                <w:noProof/>
                <w:sz w:val="16"/>
                <w:szCs w:val="16"/>
              </w:rPr>
              <w:t>ew</w:t>
            </w:r>
            <w:r w:rsidRPr="00CC24EC">
              <w:rPr>
                <w:rFonts w:ascii="Verdana" w:hAnsi="Verdana"/>
                <w:b/>
                <w:iCs/>
                <w:noProof/>
                <w:sz w:val="16"/>
                <w:szCs w:val="16"/>
              </w:rPr>
              <w:t xml:space="preserve"> flanking soft measures</w:t>
            </w:r>
            <w:r w:rsidR="00F30073">
              <w:rPr>
                <w:rFonts w:ascii="Verdana" w:hAnsi="Verdana"/>
                <w:iCs/>
                <w:noProof/>
                <w:sz w:val="16"/>
                <w:szCs w:val="16"/>
              </w:rPr>
              <w:t xml:space="preserve"> (training, financial support</w:t>
            </w:r>
            <w:r w:rsidRPr="00CC24EC">
              <w:rPr>
                <w:rFonts w:ascii="Verdana" w:hAnsi="Verdana"/>
                <w:iCs/>
                <w:noProof/>
                <w:sz w:val="16"/>
                <w:szCs w:val="16"/>
              </w:rPr>
              <w:t>);</w:t>
            </w:r>
          </w:p>
          <w:p w14:paraId="125EDC4F" w14:textId="666A21B5" w:rsidR="00C76702" w:rsidRPr="00CC24EC" w:rsidRDefault="00C76702" w:rsidP="00E760E4">
            <w:pPr>
              <w:pStyle w:val="ListParagraph"/>
              <w:numPr>
                <w:ilvl w:val="0"/>
                <w:numId w:val="10"/>
              </w:numPr>
              <w:spacing w:before="60" w:after="0" w:line="240" w:lineRule="auto"/>
              <w:ind w:left="357" w:hanging="357"/>
              <w:jc w:val="both"/>
              <w:rPr>
                <w:rFonts w:ascii="Verdana" w:hAnsi="Verdana"/>
                <w:i/>
                <w:iCs/>
                <w:noProof/>
                <w:sz w:val="16"/>
                <w:szCs w:val="16"/>
                <w:u w:val="single"/>
              </w:rPr>
            </w:pPr>
            <w:r w:rsidRPr="00CC24EC">
              <w:rPr>
                <w:rFonts w:ascii="Verdana" w:hAnsi="Verdana"/>
                <w:i/>
                <w:noProof/>
                <w:sz w:val="16"/>
                <w:szCs w:val="16"/>
                <w:u w:val="single"/>
              </w:rPr>
              <w:t xml:space="preserve">Option </w:t>
            </w:r>
            <w:r w:rsidR="00D03B8A">
              <w:rPr>
                <w:rFonts w:ascii="Verdana" w:hAnsi="Verdana"/>
                <w:i/>
                <w:noProof/>
                <w:sz w:val="16"/>
                <w:szCs w:val="16"/>
                <w:u w:val="single"/>
              </w:rPr>
              <w:t>3.2</w:t>
            </w:r>
            <w:r w:rsidRPr="00CC24EC">
              <w:rPr>
                <w:rFonts w:ascii="Verdana" w:hAnsi="Verdana"/>
                <w:i/>
                <w:noProof/>
                <w:sz w:val="16"/>
                <w:szCs w:val="16"/>
              </w:rPr>
              <w:t xml:space="preserve">: </w:t>
            </w:r>
            <w:r w:rsidR="00F30073">
              <w:rPr>
                <w:rFonts w:ascii="Verdana" w:hAnsi="Verdana"/>
                <w:noProof/>
                <w:sz w:val="16"/>
                <w:szCs w:val="16"/>
              </w:rPr>
              <w:t>O</w:t>
            </w:r>
            <w:r w:rsidR="00F30073" w:rsidRPr="00CC24EC">
              <w:rPr>
                <w:rFonts w:ascii="Verdana" w:hAnsi="Verdana"/>
                <w:noProof/>
                <w:sz w:val="16"/>
                <w:szCs w:val="16"/>
              </w:rPr>
              <w:t xml:space="preserve">bligation to </w:t>
            </w:r>
            <w:r w:rsidR="00F30073" w:rsidRPr="00380EEA">
              <w:rPr>
                <w:rFonts w:ascii="Verdana" w:hAnsi="Verdana"/>
                <w:b/>
                <w:noProof/>
                <w:sz w:val="16"/>
                <w:szCs w:val="16"/>
              </w:rPr>
              <w:t>use</w:t>
            </w:r>
            <w:r w:rsidR="00F30073" w:rsidRPr="00CC24EC">
              <w:rPr>
                <w:rFonts w:ascii="Verdana" w:hAnsi="Verdana"/>
                <w:noProof/>
                <w:sz w:val="16"/>
                <w:szCs w:val="16"/>
              </w:rPr>
              <w:t xml:space="preserve"> </w:t>
            </w:r>
            <w:r w:rsidR="006F576C">
              <w:rPr>
                <w:rFonts w:ascii="Verdana" w:hAnsi="Verdana"/>
                <w:b/>
                <w:noProof/>
                <w:sz w:val="16"/>
                <w:szCs w:val="16"/>
              </w:rPr>
              <w:t xml:space="preserve">SIENA </w:t>
            </w:r>
            <w:r w:rsidR="00500A35">
              <w:rPr>
                <w:rFonts w:ascii="Verdana" w:hAnsi="Verdana"/>
                <w:b/>
                <w:noProof/>
                <w:sz w:val="16"/>
                <w:szCs w:val="16"/>
              </w:rPr>
              <w:t xml:space="preserve">as </w:t>
            </w:r>
            <w:r w:rsidR="00CA5334">
              <w:rPr>
                <w:rFonts w:ascii="Verdana" w:hAnsi="Verdana"/>
                <w:b/>
                <w:noProof/>
                <w:sz w:val="16"/>
                <w:szCs w:val="16"/>
              </w:rPr>
              <w:t xml:space="preserve">preferred </w:t>
            </w:r>
            <w:r w:rsidR="00500A35">
              <w:rPr>
                <w:rFonts w:ascii="Verdana" w:hAnsi="Verdana"/>
                <w:b/>
                <w:noProof/>
                <w:sz w:val="16"/>
                <w:szCs w:val="16"/>
              </w:rPr>
              <w:t xml:space="preserve">communication </w:t>
            </w:r>
            <w:r w:rsidR="00CA5334">
              <w:rPr>
                <w:rFonts w:ascii="Verdana" w:hAnsi="Verdana"/>
                <w:b/>
                <w:noProof/>
                <w:sz w:val="16"/>
                <w:szCs w:val="16"/>
              </w:rPr>
              <w:t>channel</w:t>
            </w:r>
            <w:r w:rsidR="00062B1E">
              <w:rPr>
                <w:rFonts w:ascii="Verdana" w:hAnsi="Verdana"/>
                <w:b/>
                <w:noProof/>
                <w:sz w:val="16"/>
                <w:szCs w:val="16"/>
              </w:rPr>
              <w:t xml:space="preserve"> </w:t>
            </w:r>
            <w:r w:rsidR="00F30073" w:rsidRPr="00CC24EC">
              <w:rPr>
                <w:rFonts w:ascii="Verdana" w:hAnsi="Verdana"/>
                <w:noProof/>
                <w:sz w:val="16"/>
                <w:szCs w:val="16"/>
              </w:rPr>
              <w:t>+ obligation to put Europol in copy when using SIENA in cases within Europol's mandate</w:t>
            </w:r>
            <w:r w:rsidR="00F30073">
              <w:rPr>
                <w:rFonts w:ascii="Verdana" w:hAnsi="Verdana"/>
                <w:noProof/>
                <w:sz w:val="16"/>
                <w:szCs w:val="16"/>
              </w:rPr>
              <w:t xml:space="preserve"> +</w:t>
            </w:r>
            <w:r w:rsidR="00F30073" w:rsidRPr="00CC24EC">
              <w:rPr>
                <w:rFonts w:ascii="Verdana" w:hAnsi="Verdana"/>
                <w:noProof/>
                <w:sz w:val="16"/>
                <w:szCs w:val="16"/>
              </w:rPr>
              <w:t xml:space="preserve"> </w:t>
            </w:r>
            <w:r w:rsidR="005619F6">
              <w:rPr>
                <w:rFonts w:ascii="Verdana" w:hAnsi="Verdana"/>
                <w:noProof/>
                <w:sz w:val="16"/>
                <w:szCs w:val="16"/>
              </w:rPr>
              <w:t>f</w:t>
            </w:r>
            <w:r w:rsidR="005619F6" w:rsidRPr="00CC24EC">
              <w:rPr>
                <w:rFonts w:ascii="Verdana" w:hAnsi="Verdana"/>
                <w:noProof/>
                <w:sz w:val="16"/>
                <w:szCs w:val="16"/>
              </w:rPr>
              <w:t xml:space="preserve">lanking </w:t>
            </w:r>
            <w:r w:rsidRPr="00CC24EC">
              <w:rPr>
                <w:rFonts w:ascii="Verdana" w:hAnsi="Verdana"/>
                <w:noProof/>
                <w:sz w:val="16"/>
                <w:szCs w:val="16"/>
              </w:rPr>
              <w:t>soft measures (</w:t>
            </w:r>
            <w:r w:rsidR="00F30073">
              <w:rPr>
                <w:rFonts w:ascii="Verdana" w:hAnsi="Verdana"/>
                <w:noProof/>
                <w:sz w:val="16"/>
                <w:szCs w:val="16"/>
              </w:rPr>
              <w:t xml:space="preserve">as in </w:t>
            </w:r>
            <w:r w:rsidRPr="00CC24EC">
              <w:rPr>
                <w:rFonts w:ascii="Verdana" w:hAnsi="Verdana"/>
                <w:noProof/>
                <w:sz w:val="16"/>
                <w:szCs w:val="16"/>
              </w:rPr>
              <w:t xml:space="preserve">option </w:t>
            </w:r>
            <w:r w:rsidR="00D03B8A">
              <w:rPr>
                <w:rFonts w:ascii="Verdana" w:hAnsi="Verdana"/>
                <w:noProof/>
                <w:sz w:val="16"/>
                <w:szCs w:val="16"/>
              </w:rPr>
              <w:t>3.1</w:t>
            </w:r>
            <w:r w:rsidR="00F30073">
              <w:rPr>
                <w:rFonts w:ascii="Verdana" w:hAnsi="Verdana"/>
                <w:noProof/>
                <w:sz w:val="16"/>
                <w:szCs w:val="16"/>
              </w:rPr>
              <w:t>)</w:t>
            </w:r>
            <w:r w:rsidRPr="00CC24EC">
              <w:rPr>
                <w:rFonts w:ascii="Verdana" w:hAnsi="Verdana"/>
                <w:noProof/>
                <w:sz w:val="16"/>
                <w:szCs w:val="16"/>
              </w:rPr>
              <w:t xml:space="preserve"> </w:t>
            </w:r>
          </w:p>
          <w:p w14:paraId="5C368037" w14:textId="08E77643" w:rsidR="00C76702" w:rsidRPr="00CC24EC" w:rsidRDefault="00C76702" w:rsidP="00F30073">
            <w:pPr>
              <w:pStyle w:val="ListParagraph"/>
              <w:numPr>
                <w:ilvl w:val="0"/>
                <w:numId w:val="10"/>
              </w:numPr>
              <w:spacing w:before="60" w:after="0" w:line="240" w:lineRule="auto"/>
              <w:ind w:left="357" w:hanging="357"/>
              <w:jc w:val="both"/>
              <w:rPr>
                <w:rFonts w:ascii="Verdana" w:hAnsi="Verdana" w:cstheme="minorBidi"/>
                <w:b/>
                <w:noProof/>
                <w:sz w:val="16"/>
                <w:szCs w:val="16"/>
              </w:rPr>
            </w:pPr>
            <w:r w:rsidRPr="00CC24EC">
              <w:rPr>
                <w:rFonts w:ascii="Verdana" w:hAnsi="Verdana"/>
                <w:i/>
                <w:iCs/>
                <w:noProof/>
                <w:sz w:val="16"/>
                <w:szCs w:val="16"/>
                <w:u w:val="single"/>
              </w:rPr>
              <w:t xml:space="preserve">Option </w:t>
            </w:r>
            <w:r w:rsidR="00D03B8A">
              <w:rPr>
                <w:rFonts w:ascii="Verdana" w:hAnsi="Verdana"/>
                <w:i/>
                <w:iCs/>
                <w:noProof/>
                <w:sz w:val="16"/>
                <w:szCs w:val="16"/>
                <w:u w:val="single"/>
              </w:rPr>
              <w:t>3.3</w:t>
            </w:r>
            <w:r w:rsidRPr="00CC24EC">
              <w:rPr>
                <w:rFonts w:ascii="Verdana" w:hAnsi="Verdana"/>
                <w:i/>
                <w:noProof/>
                <w:sz w:val="16"/>
                <w:szCs w:val="16"/>
              </w:rPr>
              <w:t>:</w:t>
            </w:r>
            <w:r w:rsidRPr="00CC24EC">
              <w:rPr>
                <w:rFonts w:ascii="Verdana" w:hAnsi="Verdana"/>
                <w:noProof/>
                <w:sz w:val="16"/>
                <w:szCs w:val="16"/>
              </w:rPr>
              <w:t xml:space="preserve"> </w:t>
            </w:r>
            <w:r w:rsidRPr="00CC24EC">
              <w:rPr>
                <w:rFonts w:ascii="Verdana" w:hAnsi="Verdana"/>
                <w:b/>
                <w:noProof/>
                <w:sz w:val="16"/>
                <w:szCs w:val="16"/>
              </w:rPr>
              <w:t xml:space="preserve">obligation to use SIENA </w:t>
            </w:r>
            <w:r w:rsidR="00450FF4">
              <w:rPr>
                <w:rFonts w:ascii="Verdana" w:hAnsi="Verdana"/>
                <w:b/>
                <w:noProof/>
                <w:sz w:val="16"/>
                <w:szCs w:val="16"/>
              </w:rPr>
              <w:t>by default</w:t>
            </w:r>
            <w:r w:rsidRPr="00CC24EC">
              <w:rPr>
                <w:rFonts w:ascii="Verdana" w:hAnsi="Verdana"/>
                <w:b/>
                <w:noProof/>
                <w:sz w:val="16"/>
                <w:szCs w:val="16"/>
              </w:rPr>
              <w:t xml:space="preserve"> for all bilateral information exchange</w:t>
            </w:r>
            <w:r w:rsidRPr="00CC24EC">
              <w:rPr>
                <w:rFonts w:ascii="Verdana" w:hAnsi="Verdana"/>
                <w:noProof/>
                <w:sz w:val="16"/>
                <w:szCs w:val="16"/>
              </w:rPr>
              <w:t xml:space="preserve"> (unless otherwise regulated by EU law) + obligation to put Europol in copy when in cases within Europol's mandate, both after the end of a </w:t>
            </w:r>
            <w:r w:rsidRPr="00CC24EC">
              <w:rPr>
                <w:rFonts w:ascii="Verdana" w:hAnsi="Verdana"/>
                <w:b/>
                <w:noProof/>
                <w:sz w:val="16"/>
                <w:szCs w:val="16"/>
              </w:rPr>
              <w:t>transition period and with Internal Security Fund support for the SIENA roll-out</w:t>
            </w:r>
            <w:r w:rsidR="00F30073">
              <w:rPr>
                <w:rFonts w:ascii="Verdana" w:hAnsi="Verdana"/>
                <w:noProof/>
                <w:sz w:val="16"/>
                <w:szCs w:val="16"/>
              </w:rPr>
              <w:t xml:space="preserve"> + </w:t>
            </w:r>
            <w:r w:rsidR="005619F6">
              <w:rPr>
                <w:rFonts w:ascii="Verdana" w:hAnsi="Verdana"/>
                <w:noProof/>
                <w:sz w:val="16"/>
                <w:szCs w:val="16"/>
              </w:rPr>
              <w:t>f</w:t>
            </w:r>
            <w:r w:rsidR="00F30073" w:rsidRPr="00CC24EC">
              <w:rPr>
                <w:rFonts w:ascii="Verdana" w:hAnsi="Verdana"/>
                <w:noProof/>
                <w:sz w:val="16"/>
                <w:szCs w:val="16"/>
              </w:rPr>
              <w:t>lanking soft measures (</w:t>
            </w:r>
            <w:r w:rsidR="00F30073">
              <w:rPr>
                <w:rFonts w:ascii="Verdana" w:hAnsi="Verdana"/>
                <w:noProof/>
                <w:sz w:val="16"/>
                <w:szCs w:val="16"/>
              </w:rPr>
              <w:t xml:space="preserve">as in </w:t>
            </w:r>
            <w:r w:rsidR="00F30073" w:rsidRPr="00CC24EC">
              <w:rPr>
                <w:rFonts w:ascii="Verdana" w:hAnsi="Verdana"/>
                <w:noProof/>
                <w:sz w:val="16"/>
                <w:szCs w:val="16"/>
              </w:rPr>
              <w:t xml:space="preserve">option </w:t>
            </w:r>
            <w:r w:rsidR="00F30073">
              <w:rPr>
                <w:rFonts w:ascii="Verdana" w:hAnsi="Verdana"/>
                <w:noProof/>
                <w:sz w:val="16"/>
                <w:szCs w:val="16"/>
              </w:rPr>
              <w:t>3.1)</w:t>
            </w:r>
          </w:p>
        </w:tc>
      </w:tr>
    </w:tbl>
    <w:p w14:paraId="3744FC8E" w14:textId="77777777" w:rsidR="00C76702" w:rsidRDefault="00C76702" w:rsidP="00C76702">
      <w:pPr>
        <w:spacing w:after="0" w:line="240" w:lineRule="auto"/>
        <w:jc w:val="both"/>
        <w:rPr>
          <w:rFonts w:ascii="Times New Roman" w:hAnsi="Times New Roman" w:cs="Times New Roman"/>
          <w:b/>
          <w:noProof/>
          <w:sz w:val="24"/>
          <w:szCs w:val="24"/>
        </w:rPr>
        <w:sectPr w:rsidR="00C76702" w:rsidSect="00C64E21">
          <w:headerReference w:type="even" r:id="rId24"/>
          <w:headerReference w:type="default" r:id="rId25"/>
          <w:footerReference w:type="even" r:id="rId26"/>
          <w:footerReference w:type="default" r:id="rId27"/>
          <w:headerReference w:type="first" r:id="rId28"/>
          <w:footerReference w:type="first" r:id="rId29"/>
          <w:pgSz w:w="16838" w:h="11906" w:orient="landscape"/>
          <w:pgMar w:top="1134" w:right="1134" w:bottom="1134" w:left="1134" w:header="709" w:footer="709" w:gutter="0"/>
          <w:cols w:space="720"/>
          <w:docGrid w:linePitch="360"/>
        </w:sectPr>
      </w:pPr>
    </w:p>
    <w:p w14:paraId="6C99ADA6" w14:textId="6876E120" w:rsidR="00C76702" w:rsidRDefault="00173E60" w:rsidP="00173E60">
      <w:pPr>
        <w:pStyle w:val="Heading1"/>
        <w:rPr>
          <w:noProof/>
        </w:rPr>
      </w:pPr>
      <w:bookmarkStart w:id="11" w:name="_Toc74838150"/>
      <w:bookmarkStart w:id="12" w:name="_Toc83801011"/>
      <w:r w:rsidRPr="00173E60">
        <w:t>2.</w:t>
      </w:r>
      <w:r w:rsidRPr="00173E60">
        <w:tab/>
      </w:r>
      <w:r w:rsidR="00C76702" w:rsidRPr="00094199">
        <w:rPr>
          <w:noProof/>
        </w:rPr>
        <w:t>Problem</w:t>
      </w:r>
      <w:r w:rsidR="00C76702" w:rsidRPr="00BA0C13">
        <w:rPr>
          <w:noProof/>
        </w:rPr>
        <w:t xml:space="preserve"> definition</w:t>
      </w:r>
      <w:bookmarkEnd w:id="11"/>
      <w:bookmarkEnd w:id="12"/>
      <w:r w:rsidR="00C76702" w:rsidRPr="00BA0C13">
        <w:rPr>
          <w:noProof/>
        </w:rPr>
        <w:t xml:space="preserve"> </w:t>
      </w:r>
    </w:p>
    <w:p w14:paraId="5EA79FE1" w14:textId="77777777" w:rsidR="00EA1AF8" w:rsidRPr="00970640" w:rsidRDefault="00EA1AF8" w:rsidP="00704502">
      <w:pPr>
        <w:pStyle w:val="Text1"/>
        <w:ind w:left="0"/>
        <w:rPr>
          <w:noProof/>
        </w:rPr>
      </w:pPr>
      <w:r>
        <w:rPr>
          <w:noProof/>
        </w:rPr>
        <w:t xml:space="preserve">The </w:t>
      </w:r>
      <w:r w:rsidRPr="00B77914">
        <w:rPr>
          <w:noProof/>
          <w:szCs w:val="24"/>
        </w:rPr>
        <w:t>evolution o</w:t>
      </w:r>
      <w:r>
        <w:rPr>
          <w:noProof/>
          <w:szCs w:val="24"/>
        </w:rPr>
        <w:t>f the EU security landscape and</w:t>
      </w:r>
      <w:r w:rsidRPr="00B77914">
        <w:rPr>
          <w:noProof/>
          <w:szCs w:val="24"/>
        </w:rPr>
        <w:t xml:space="preserve"> the </w:t>
      </w:r>
      <w:r>
        <w:rPr>
          <w:noProof/>
          <w:szCs w:val="24"/>
        </w:rPr>
        <w:t xml:space="preserve">increased cross-border mobility call for more </w:t>
      </w:r>
      <w:r w:rsidRPr="00B77914">
        <w:rPr>
          <w:noProof/>
        </w:rPr>
        <w:t>effective and efficient</w:t>
      </w:r>
      <w:r>
        <w:rPr>
          <w:noProof/>
        </w:rPr>
        <w:t xml:space="preserve"> exchange </w:t>
      </w:r>
      <w:r w:rsidR="00887831">
        <w:rPr>
          <w:noProof/>
        </w:rPr>
        <w:t xml:space="preserve">of </w:t>
      </w:r>
      <w:r>
        <w:rPr>
          <w:noProof/>
        </w:rPr>
        <w:t xml:space="preserve">information between </w:t>
      </w:r>
      <w:r w:rsidRPr="00B77914">
        <w:rPr>
          <w:noProof/>
        </w:rPr>
        <w:t>Member States</w:t>
      </w:r>
      <w:r>
        <w:rPr>
          <w:noProof/>
        </w:rPr>
        <w:t xml:space="preserve">. </w:t>
      </w:r>
      <w:r w:rsidR="00970640">
        <w:rPr>
          <w:noProof/>
        </w:rPr>
        <w:t xml:space="preserve">Noted </w:t>
      </w:r>
      <w:r>
        <w:rPr>
          <w:noProof/>
        </w:rPr>
        <w:t>inefficiencies stem from three vertical problems.</w:t>
      </w:r>
    </w:p>
    <w:p w14:paraId="5FAD6E33" w14:textId="77777777" w:rsidR="00DC6C65" w:rsidRPr="00DC6C65" w:rsidRDefault="00DC6C65" w:rsidP="00DC6C65">
      <w:pPr>
        <w:pStyle w:val="ListParagraph"/>
        <w:numPr>
          <w:ilvl w:val="0"/>
          <w:numId w:val="77"/>
        </w:numPr>
        <w:spacing w:after="120" w:line="240" w:lineRule="auto"/>
        <w:contextualSpacing w:val="0"/>
        <w:jc w:val="both"/>
        <w:outlineLvl w:val="1"/>
        <w:rPr>
          <w:rFonts w:ascii="Times New Roman" w:eastAsia="Times New Roman" w:hAnsi="Times New Roman" w:cs="Times New Roman"/>
          <w:b/>
          <w:noProof/>
          <w:vanish/>
          <w:sz w:val="24"/>
          <w:szCs w:val="24"/>
          <w:shd w:val="clear" w:color="auto" w:fill="FFFFFF"/>
        </w:rPr>
      </w:pPr>
      <w:bookmarkStart w:id="13" w:name="_Toc74838151"/>
    </w:p>
    <w:p w14:paraId="1B699736" w14:textId="77777777" w:rsidR="00F14663" w:rsidRDefault="00CF3D6A" w:rsidP="00DC6C65">
      <w:pPr>
        <w:pStyle w:val="Heading2"/>
        <w:rPr>
          <w:noProof/>
        </w:rPr>
      </w:pPr>
      <w:r>
        <w:rPr>
          <w:noProof/>
        </w:rPr>
        <w:t xml:space="preserve"> </w:t>
      </w:r>
      <w:bookmarkStart w:id="14" w:name="_Toc83801012"/>
      <w:r w:rsidR="00C76702" w:rsidRPr="00AE777C">
        <w:rPr>
          <w:noProof/>
        </w:rPr>
        <w:t>Problem 1: Rules at national level impede the effective and efficient flow of information</w:t>
      </w:r>
      <w:bookmarkStart w:id="15" w:name="_Toc74838152"/>
      <w:bookmarkEnd w:id="13"/>
      <w:bookmarkEnd w:id="14"/>
    </w:p>
    <w:p w14:paraId="3CDAAFAF" w14:textId="661255EA" w:rsidR="00CF3D6A" w:rsidRPr="00CF3D6A" w:rsidRDefault="00173E60" w:rsidP="00173E60">
      <w:pPr>
        <w:pStyle w:val="Heading3"/>
        <w:rPr>
          <w:noProof/>
        </w:rPr>
      </w:pPr>
      <w:bookmarkStart w:id="16" w:name="_Toc83801013"/>
      <w:r w:rsidRPr="00173E60">
        <w:t>2.1.1.</w:t>
      </w:r>
      <w:r w:rsidRPr="00173E60">
        <w:tab/>
      </w:r>
      <w:r w:rsidR="00CF3D6A" w:rsidRPr="00CF3D6A">
        <w:rPr>
          <w:noProof/>
        </w:rPr>
        <w:t>What is the problem?</w:t>
      </w:r>
      <w:bookmarkEnd w:id="16"/>
    </w:p>
    <w:bookmarkEnd w:id="15"/>
    <w:p w14:paraId="2C92A7D7" w14:textId="307FA8B5" w:rsidR="00C76702" w:rsidRDefault="00C76702" w:rsidP="00C76702">
      <w:pPr>
        <w:pStyle w:val="Text1"/>
        <w:spacing w:after="120"/>
        <w:ind w:left="0"/>
        <w:rPr>
          <w:bCs/>
          <w:noProof/>
        </w:rPr>
      </w:pPr>
      <w:r>
        <w:rPr>
          <w:bCs/>
          <w:noProof/>
        </w:rPr>
        <w:t>Member States</w:t>
      </w:r>
      <w:r w:rsidR="00FF7427">
        <w:rPr>
          <w:bCs/>
          <w:noProof/>
        </w:rPr>
        <w:t>'</w:t>
      </w:r>
      <w:r>
        <w:rPr>
          <w:bCs/>
          <w:noProof/>
        </w:rPr>
        <w:t xml:space="preserve"> Law Enforcement Authorities (LEAs) </w:t>
      </w:r>
      <w:r w:rsidRPr="009807D1">
        <w:rPr>
          <w:bCs/>
          <w:noProof/>
        </w:rPr>
        <w:t xml:space="preserve">are involved in </w:t>
      </w:r>
      <w:r>
        <w:rPr>
          <w:bCs/>
          <w:noProof/>
        </w:rPr>
        <w:t xml:space="preserve">daily </w:t>
      </w:r>
      <w:r w:rsidRPr="009807D1">
        <w:rPr>
          <w:bCs/>
          <w:noProof/>
        </w:rPr>
        <w:t>cross-border information exchanges</w:t>
      </w:r>
      <w:r>
        <w:rPr>
          <w:bCs/>
          <w:noProof/>
        </w:rPr>
        <w:t xml:space="preserve"> related to operations against </w:t>
      </w:r>
      <w:r w:rsidR="007D27F6">
        <w:rPr>
          <w:bCs/>
          <w:noProof/>
        </w:rPr>
        <w:t>criminal offences</w:t>
      </w:r>
      <w:r w:rsidRPr="009807D1">
        <w:rPr>
          <w:noProof/>
          <w:vertAlign w:val="superscript"/>
        </w:rPr>
        <w:footnoteReference w:id="24"/>
      </w:r>
      <w:r w:rsidRPr="009807D1">
        <w:rPr>
          <w:bCs/>
          <w:noProof/>
        </w:rPr>
        <w:t xml:space="preserve">. </w:t>
      </w:r>
    </w:p>
    <w:p w14:paraId="04255407" w14:textId="5CE358E1" w:rsidR="00C76702" w:rsidRPr="0018040E" w:rsidRDefault="00C76702" w:rsidP="00704502">
      <w:pPr>
        <w:pStyle w:val="Body"/>
        <w:jc w:val="both"/>
        <w:rPr>
          <w:noProof/>
          <w:szCs w:val="24"/>
        </w:rPr>
      </w:pPr>
      <w:r w:rsidRPr="009B672D">
        <w:rPr>
          <w:rFonts w:ascii="Times New Roman" w:hAnsi="Times New Roman"/>
          <w:b/>
          <w:bCs/>
          <w:noProof/>
          <w:sz w:val="24"/>
        </w:rPr>
        <w:t>Yet,</w:t>
      </w:r>
      <w:r w:rsidR="00FF705C">
        <w:rPr>
          <w:rFonts w:ascii="Times New Roman" w:hAnsi="Times New Roman"/>
          <w:b/>
          <w:bCs/>
          <w:noProof/>
          <w:sz w:val="24"/>
        </w:rPr>
        <w:t xml:space="preserve"> rules at national level impede the effective and efficient flow of information</w:t>
      </w:r>
      <w:r w:rsidR="00FF705C">
        <w:rPr>
          <w:rFonts w:ascii="Times New Roman" w:hAnsi="Times New Roman"/>
          <w:bCs/>
          <w:noProof/>
          <w:sz w:val="24"/>
        </w:rPr>
        <w:t>. While EU measures are supposed to ensure access to information,</w:t>
      </w:r>
      <w:r w:rsidRPr="009B672D">
        <w:rPr>
          <w:bCs/>
          <w:noProof/>
          <w:sz w:val="24"/>
        </w:rPr>
        <w:t xml:space="preserve"> </w:t>
      </w:r>
      <w:r>
        <w:rPr>
          <w:rFonts w:ascii="Times New Roman" w:hAnsi="Times New Roman"/>
          <w:bCs/>
          <w:noProof/>
          <w:sz w:val="24"/>
        </w:rPr>
        <w:t>t</w:t>
      </w:r>
      <w:r w:rsidRPr="009807D1">
        <w:rPr>
          <w:rFonts w:ascii="Times New Roman" w:hAnsi="Times New Roman"/>
          <w:noProof/>
          <w:sz w:val="24"/>
        </w:rPr>
        <w:t>he</w:t>
      </w:r>
      <w:r w:rsidR="00FF705C">
        <w:rPr>
          <w:rFonts w:ascii="Times New Roman" w:hAnsi="Times New Roman"/>
          <w:noProof/>
          <w:sz w:val="24"/>
        </w:rPr>
        <w:t>ir</w:t>
      </w:r>
      <w:r w:rsidRPr="009807D1">
        <w:rPr>
          <w:rFonts w:ascii="Times New Roman" w:hAnsi="Times New Roman"/>
          <w:noProof/>
          <w:sz w:val="24"/>
        </w:rPr>
        <w:t xml:space="preserve"> scope is </w:t>
      </w:r>
      <w:r w:rsidR="00FF705C">
        <w:rPr>
          <w:rFonts w:ascii="Times New Roman" w:hAnsi="Times New Roman"/>
          <w:noProof/>
          <w:sz w:val="24"/>
        </w:rPr>
        <w:t xml:space="preserve">often </w:t>
      </w:r>
      <w:r w:rsidRPr="009807D1">
        <w:rPr>
          <w:rFonts w:ascii="Times New Roman" w:hAnsi="Times New Roman"/>
          <w:noProof/>
          <w:sz w:val="24"/>
        </w:rPr>
        <w:t>unclear and</w:t>
      </w:r>
      <w:r>
        <w:rPr>
          <w:rFonts w:ascii="Times New Roman" w:hAnsi="Times New Roman"/>
          <w:noProof/>
          <w:sz w:val="24"/>
        </w:rPr>
        <w:t xml:space="preserve"> </w:t>
      </w:r>
      <w:r w:rsidRPr="0018040E">
        <w:rPr>
          <w:rFonts w:ascii="Times New Roman" w:hAnsi="Times New Roman"/>
          <w:bCs/>
          <w:noProof/>
          <w:sz w:val="24"/>
        </w:rPr>
        <w:t>l</w:t>
      </w:r>
      <w:r w:rsidRPr="0018040E">
        <w:rPr>
          <w:rFonts w:ascii="Times New Roman" w:hAnsi="Times New Roman"/>
          <w:noProof/>
          <w:sz w:val="24"/>
          <w:szCs w:val="16"/>
        </w:rPr>
        <w:t xml:space="preserve">aw enforcement authorities face difficulties in interpreting and </w:t>
      </w:r>
      <w:r w:rsidRPr="00380EEA">
        <w:rPr>
          <w:rFonts w:ascii="Times New Roman" w:hAnsi="Times New Roman"/>
          <w:noProof/>
          <w:sz w:val="24"/>
          <w:szCs w:val="16"/>
        </w:rPr>
        <w:t>implementing relevant EU provisions</w:t>
      </w:r>
      <w:r w:rsidRPr="00CB030C">
        <w:rPr>
          <w:rFonts w:ascii="Times New Roman" w:hAnsi="Times New Roman"/>
          <w:i/>
          <w:noProof/>
          <w:sz w:val="24"/>
          <w:szCs w:val="16"/>
        </w:rPr>
        <w:t>.</w:t>
      </w:r>
      <w:r w:rsidR="0098423E">
        <w:rPr>
          <w:rFonts w:ascii="Times New Roman" w:hAnsi="Times New Roman"/>
          <w:noProof/>
          <w:sz w:val="24"/>
          <w:szCs w:val="16"/>
        </w:rPr>
        <w:t xml:space="preserve"> </w:t>
      </w:r>
      <w:r w:rsidR="00FF705C">
        <w:rPr>
          <w:rFonts w:ascii="Times New Roman" w:hAnsi="Times New Roman"/>
          <w:noProof/>
          <w:sz w:val="24"/>
          <w:szCs w:val="16"/>
        </w:rPr>
        <w:t>As a case in point, t</w:t>
      </w:r>
      <w:r w:rsidR="0098423E">
        <w:rPr>
          <w:rFonts w:ascii="Times New Roman" w:hAnsi="Times New Roman"/>
          <w:noProof/>
          <w:sz w:val="24"/>
          <w:szCs w:val="16"/>
        </w:rPr>
        <w:t>he 2006 Swedish Framework Decision is found unclear and complex</w:t>
      </w:r>
      <w:r w:rsidR="00266E3D">
        <w:rPr>
          <w:rFonts w:ascii="Times New Roman" w:hAnsi="Times New Roman"/>
          <w:noProof/>
          <w:sz w:val="24"/>
          <w:szCs w:val="16"/>
        </w:rPr>
        <w:t xml:space="preserve">, thereby hampering </w:t>
      </w:r>
      <w:r w:rsidRPr="00704502">
        <w:rPr>
          <w:rFonts w:ascii="Times New Roman" w:hAnsi="Times New Roman"/>
          <w:noProof/>
          <w:sz w:val="24"/>
          <w:szCs w:val="24"/>
        </w:rPr>
        <w:t>the full implementation of the principle</w:t>
      </w:r>
      <w:r w:rsidR="008A2E4C">
        <w:rPr>
          <w:rFonts w:ascii="Times New Roman" w:hAnsi="Times New Roman"/>
          <w:noProof/>
          <w:sz w:val="24"/>
          <w:szCs w:val="24"/>
        </w:rPr>
        <w:t>s</w:t>
      </w:r>
      <w:r w:rsidRPr="00704502">
        <w:rPr>
          <w:rFonts w:ascii="Times New Roman" w:hAnsi="Times New Roman"/>
          <w:noProof/>
          <w:sz w:val="24"/>
          <w:szCs w:val="24"/>
        </w:rPr>
        <w:t xml:space="preserve"> of availability</w:t>
      </w:r>
      <w:r w:rsidR="008A2E4C">
        <w:rPr>
          <w:rFonts w:ascii="Times New Roman" w:hAnsi="Times New Roman"/>
          <w:noProof/>
          <w:sz w:val="24"/>
          <w:szCs w:val="24"/>
        </w:rPr>
        <w:t>/equivalent access</w:t>
      </w:r>
      <w:r w:rsidRPr="00704502">
        <w:rPr>
          <w:rFonts w:ascii="Times New Roman" w:hAnsi="Times New Roman"/>
          <w:noProof/>
          <w:sz w:val="24"/>
          <w:szCs w:val="24"/>
        </w:rPr>
        <w:t xml:space="preserve"> of relevant information in a cross-border context</w:t>
      </w:r>
      <w:r w:rsidR="00323032" w:rsidRPr="00704502">
        <w:rPr>
          <w:rStyle w:val="FootnoteReference"/>
          <w:rFonts w:ascii="Times New Roman" w:hAnsi="Times New Roman"/>
          <w:noProof/>
          <w:sz w:val="24"/>
          <w:szCs w:val="24"/>
        </w:rPr>
        <w:footnoteReference w:id="25"/>
      </w:r>
      <w:r w:rsidRPr="00704502">
        <w:rPr>
          <w:rFonts w:ascii="Times New Roman" w:hAnsi="Times New Roman"/>
          <w:noProof/>
          <w:sz w:val="24"/>
          <w:szCs w:val="24"/>
        </w:rPr>
        <w:t>.</w:t>
      </w:r>
      <w:r w:rsidR="00FF705C">
        <w:rPr>
          <w:rFonts w:ascii="Times New Roman" w:hAnsi="Times New Roman"/>
          <w:noProof/>
          <w:sz w:val="24"/>
          <w:szCs w:val="24"/>
        </w:rPr>
        <w:t xml:space="preserve"> As a consequence, the Framework Decision is not fully implemented and rules at national level continue to impede the flow of information.</w:t>
      </w:r>
    </w:p>
    <w:p w14:paraId="7532CD3F" w14:textId="77777777" w:rsidR="00C76702" w:rsidRPr="00AC012F" w:rsidRDefault="00C76702" w:rsidP="00A414D7">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120"/>
        <w:ind w:left="0"/>
        <w:jc w:val="center"/>
        <w:rPr>
          <w:rFonts w:ascii="Verdana" w:hAnsi="Verdana"/>
          <w:b/>
          <w:i/>
          <w:noProof/>
          <w:sz w:val="16"/>
          <w:szCs w:val="16"/>
        </w:rPr>
      </w:pPr>
      <w:r w:rsidRPr="00AC012F">
        <w:rPr>
          <w:rFonts w:ascii="Verdana" w:hAnsi="Verdana"/>
          <w:b/>
          <w:noProof/>
          <w:sz w:val="16"/>
          <w:szCs w:val="16"/>
        </w:rPr>
        <w:t>Council Framework Decision 2006/960/JHA ('Swedish Framework Decision' - SFD)</w:t>
      </w:r>
      <w:r>
        <w:rPr>
          <w:rStyle w:val="FootnoteReference"/>
          <w:rFonts w:ascii="Verdana" w:hAnsi="Verdana"/>
          <w:b/>
          <w:noProof/>
          <w:sz w:val="16"/>
          <w:szCs w:val="16"/>
        </w:rPr>
        <w:footnoteReference w:id="26"/>
      </w:r>
    </w:p>
    <w:p w14:paraId="3CF7AB9B" w14:textId="77777777" w:rsidR="00C76702" w:rsidRPr="00AC012F" w:rsidRDefault="00C76702" w:rsidP="00D7651F">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0"/>
        <w:rPr>
          <w:rFonts w:ascii="Verdana" w:hAnsi="Verdana"/>
          <w:noProof/>
          <w:sz w:val="16"/>
          <w:szCs w:val="16"/>
        </w:rPr>
      </w:pPr>
      <w:r w:rsidRPr="00AC012F">
        <w:rPr>
          <w:rFonts w:ascii="Verdana" w:hAnsi="Verdana"/>
          <w:noProof/>
          <w:sz w:val="16"/>
          <w:szCs w:val="16"/>
        </w:rPr>
        <w:t xml:space="preserve">As a development of the Schengen Acquis, Council Framework Decision 2006/960/JHA ('Swedish Framework Decision' - SFD) sets out, in particular, the rules regarding time limits and standard forms for cross-border information exchange, on prior request or spontaneously, between the designated competent law enforcement authorities of the Member States for the purpose of: </w:t>
      </w:r>
    </w:p>
    <w:p w14:paraId="047F3F84" w14:textId="77777777" w:rsidR="00C76702" w:rsidRPr="00AC012F" w:rsidRDefault="00C76702" w:rsidP="00A414D7">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0"/>
        <w:ind w:left="510" w:hanging="510"/>
        <w:rPr>
          <w:rFonts w:ascii="Verdana" w:hAnsi="Verdana"/>
          <w:noProof/>
          <w:sz w:val="16"/>
          <w:szCs w:val="16"/>
        </w:rPr>
      </w:pPr>
      <w:r>
        <w:rPr>
          <w:rFonts w:ascii="Verdana" w:hAnsi="Verdana"/>
          <w:noProof/>
          <w:sz w:val="16"/>
          <w:szCs w:val="16"/>
        </w:rPr>
        <w:t xml:space="preserve">     </w:t>
      </w:r>
      <w:r w:rsidRPr="00AC012F">
        <w:rPr>
          <w:rFonts w:ascii="Verdana" w:hAnsi="Verdana"/>
          <w:noProof/>
          <w:sz w:val="16"/>
          <w:szCs w:val="16"/>
        </w:rPr>
        <w:t>• preventing, detecting and investigating offences or criminal activities which correspond to or</w:t>
      </w:r>
      <w:r w:rsidR="00EE627C">
        <w:rPr>
          <w:rFonts w:ascii="Verdana" w:hAnsi="Verdana"/>
          <w:noProof/>
          <w:sz w:val="16"/>
          <w:szCs w:val="16"/>
        </w:rPr>
        <w:t xml:space="preserve"> </w:t>
      </w:r>
      <w:r w:rsidRPr="00AC012F">
        <w:rPr>
          <w:rFonts w:ascii="Verdana" w:hAnsi="Verdana"/>
          <w:noProof/>
          <w:sz w:val="16"/>
          <w:szCs w:val="16"/>
        </w:rPr>
        <w:t xml:space="preserve">are equivalent to those referred to in the European arrest </w:t>
      </w:r>
      <w:r>
        <w:rPr>
          <w:rFonts w:ascii="Verdana" w:hAnsi="Verdana"/>
          <w:noProof/>
          <w:sz w:val="16"/>
          <w:szCs w:val="16"/>
        </w:rPr>
        <w:t>warrant</w:t>
      </w:r>
      <w:r w:rsidRPr="00AC012F">
        <w:rPr>
          <w:rFonts w:ascii="Verdana" w:hAnsi="Verdana"/>
          <w:noProof/>
          <w:sz w:val="16"/>
          <w:szCs w:val="16"/>
        </w:rPr>
        <w:t xml:space="preserve">, or </w:t>
      </w:r>
    </w:p>
    <w:p w14:paraId="20B45524" w14:textId="77777777" w:rsidR="00C76702" w:rsidRPr="00AC012F" w:rsidRDefault="00C76702" w:rsidP="00D7651F">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510" w:hanging="510"/>
        <w:rPr>
          <w:rFonts w:ascii="Verdana" w:hAnsi="Verdana"/>
          <w:noProof/>
          <w:sz w:val="16"/>
          <w:szCs w:val="16"/>
        </w:rPr>
      </w:pPr>
      <w:r>
        <w:rPr>
          <w:rFonts w:ascii="Verdana" w:hAnsi="Verdana"/>
          <w:noProof/>
          <w:sz w:val="16"/>
          <w:szCs w:val="16"/>
        </w:rPr>
        <w:t xml:space="preserve">     </w:t>
      </w:r>
      <w:r w:rsidRPr="00AC012F">
        <w:rPr>
          <w:rFonts w:ascii="Verdana" w:hAnsi="Verdana"/>
          <w:noProof/>
          <w:sz w:val="16"/>
          <w:szCs w:val="16"/>
        </w:rPr>
        <w:t xml:space="preserve">• </w:t>
      </w:r>
      <w:r>
        <w:rPr>
          <w:rFonts w:ascii="Verdana" w:hAnsi="Verdana"/>
          <w:noProof/>
          <w:sz w:val="16"/>
          <w:szCs w:val="16"/>
        </w:rPr>
        <w:t xml:space="preserve"> </w:t>
      </w:r>
      <w:r w:rsidRPr="00AC012F">
        <w:rPr>
          <w:rFonts w:ascii="Verdana" w:hAnsi="Verdana"/>
          <w:noProof/>
          <w:sz w:val="16"/>
          <w:szCs w:val="16"/>
        </w:rPr>
        <w:t xml:space="preserve">preventing an immediate and serious threat to public security. The designated authorities are obliged to reply within at most eight hours in urgent cases, as long as the requested information or intelligence is directly accessible to law enforcement authorities. </w:t>
      </w:r>
    </w:p>
    <w:p w14:paraId="413303AB" w14:textId="77777777" w:rsidR="00C76702" w:rsidRPr="00AC012F" w:rsidRDefault="00C76702" w:rsidP="00D7651F">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0"/>
        <w:rPr>
          <w:rFonts w:ascii="Verdana" w:hAnsi="Verdana"/>
          <w:noProof/>
          <w:sz w:val="16"/>
          <w:szCs w:val="16"/>
        </w:rPr>
      </w:pPr>
      <w:r w:rsidRPr="00AC012F">
        <w:rPr>
          <w:rFonts w:ascii="Verdana" w:hAnsi="Verdana"/>
          <w:noProof/>
          <w:sz w:val="16"/>
          <w:szCs w:val="16"/>
        </w:rPr>
        <w:t xml:space="preserve">Information may not be provided if: </w:t>
      </w:r>
    </w:p>
    <w:p w14:paraId="5D209CCC" w14:textId="77777777" w:rsidR="00C76702" w:rsidRPr="00AC012F" w:rsidRDefault="00C76702" w:rsidP="00A414D7">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firstLine="284"/>
        <w:rPr>
          <w:rFonts w:ascii="Verdana" w:hAnsi="Verdana"/>
          <w:noProof/>
          <w:sz w:val="16"/>
          <w:szCs w:val="16"/>
        </w:rPr>
      </w:pPr>
      <w:r w:rsidRPr="00AC012F">
        <w:rPr>
          <w:rFonts w:ascii="Verdana" w:hAnsi="Verdana"/>
          <w:noProof/>
          <w:sz w:val="16"/>
          <w:szCs w:val="16"/>
        </w:rPr>
        <w:t xml:space="preserve">• </w:t>
      </w:r>
      <w:r>
        <w:rPr>
          <w:rFonts w:ascii="Verdana" w:hAnsi="Verdana"/>
          <w:noProof/>
          <w:sz w:val="16"/>
          <w:szCs w:val="16"/>
        </w:rPr>
        <w:t xml:space="preserve"> </w:t>
      </w:r>
      <w:r w:rsidRPr="00AC012F">
        <w:rPr>
          <w:rFonts w:ascii="Verdana" w:hAnsi="Verdana"/>
          <w:noProof/>
          <w:sz w:val="16"/>
          <w:szCs w:val="16"/>
        </w:rPr>
        <w:t xml:space="preserve">national security is at stake, </w:t>
      </w:r>
    </w:p>
    <w:p w14:paraId="472C2A9B" w14:textId="77777777" w:rsidR="00C76702" w:rsidRPr="00AC012F" w:rsidRDefault="00C76702" w:rsidP="00A414D7">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firstLine="284"/>
        <w:rPr>
          <w:rFonts w:ascii="Verdana" w:hAnsi="Verdana"/>
          <w:i/>
          <w:noProof/>
          <w:sz w:val="16"/>
          <w:szCs w:val="16"/>
        </w:rPr>
      </w:pPr>
      <w:r w:rsidRPr="00AC012F">
        <w:rPr>
          <w:rFonts w:ascii="Verdana" w:hAnsi="Verdana"/>
          <w:noProof/>
          <w:sz w:val="16"/>
          <w:szCs w:val="16"/>
        </w:rPr>
        <w:t xml:space="preserve">• </w:t>
      </w:r>
      <w:r>
        <w:rPr>
          <w:rFonts w:ascii="Verdana" w:hAnsi="Verdana"/>
          <w:noProof/>
          <w:sz w:val="16"/>
          <w:szCs w:val="16"/>
        </w:rPr>
        <w:t xml:space="preserve"> </w:t>
      </w:r>
      <w:r w:rsidRPr="00AC012F">
        <w:rPr>
          <w:rFonts w:ascii="Verdana" w:hAnsi="Verdana"/>
          <w:noProof/>
          <w:sz w:val="16"/>
          <w:szCs w:val="16"/>
        </w:rPr>
        <w:t>current investigations may be jeopardised,</w:t>
      </w:r>
    </w:p>
    <w:p w14:paraId="046B56C0" w14:textId="77777777" w:rsidR="00C76702" w:rsidRPr="00AC012F" w:rsidRDefault="00C76702" w:rsidP="00A414D7">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0"/>
        <w:ind w:left="510" w:hanging="510"/>
        <w:rPr>
          <w:rFonts w:ascii="Verdana" w:hAnsi="Verdana"/>
          <w:noProof/>
          <w:sz w:val="16"/>
          <w:szCs w:val="16"/>
        </w:rPr>
      </w:pPr>
      <w:r>
        <w:rPr>
          <w:rFonts w:ascii="Verdana" w:hAnsi="Verdana"/>
          <w:noProof/>
          <w:sz w:val="16"/>
          <w:szCs w:val="16"/>
        </w:rPr>
        <w:t xml:space="preserve">     </w:t>
      </w:r>
      <w:r w:rsidRPr="00AC012F">
        <w:rPr>
          <w:rFonts w:ascii="Verdana" w:hAnsi="Verdana"/>
          <w:noProof/>
          <w:sz w:val="16"/>
          <w:szCs w:val="16"/>
        </w:rPr>
        <w:t xml:space="preserve">• </w:t>
      </w:r>
      <w:r>
        <w:rPr>
          <w:rFonts w:ascii="Verdana" w:hAnsi="Verdana"/>
          <w:noProof/>
          <w:sz w:val="16"/>
          <w:szCs w:val="16"/>
        </w:rPr>
        <w:t xml:space="preserve"> </w:t>
      </w:r>
      <w:r w:rsidRPr="00AC012F">
        <w:rPr>
          <w:rFonts w:ascii="Verdana" w:hAnsi="Verdana"/>
          <w:noProof/>
          <w:sz w:val="16"/>
          <w:szCs w:val="16"/>
        </w:rPr>
        <w:t xml:space="preserve">the request pertains to an offence punishable by a term of imprisonment of one year or less under the law of the requested Member State, </w:t>
      </w:r>
    </w:p>
    <w:p w14:paraId="24EBC072" w14:textId="77777777" w:rsidR="00C76702" w:rsidRPr="00AC012F" w:rsidRDefault="00C76702" w:rsidP="00D7651F">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0" w:firstLine="284"/>
        <w:rPr>
          <w:rFonts w:ascii="Verdana" w:hAnsi="Verdana"/>
          <w:noProof/>
          <w:sz w:val="16"/>
          <w:szCs w:val="16"/>
        </w:rPr>
      </w:pPr>
      <w:r w:rsidRPr="00AC012F">
        <w:rPr>
          <w:rFonts w:ascii="Verdana" w:hAnsi="Verdana"/>
          <w:noProof/>
          <w:sz w:val="16"/>
          <w:szCs w:val="16"/>
        </w:rPr>
        <w:t xml:space="preserve">• </w:t>
      </w:r>
      <w:r>
        <w:rPr>
          <w:rFonts w:ascii="Verdana" w:hAnsi="Verdana"/>
          <w:noProof/>
          <w:sz w:val="16"/>
          <w:szCs w:val="16"/>
        </w:rPr>
        <w:t xml:space="preserve"> </w:t>
      </w:r>
      <w:r w:rsidRPr="00AC012F">
        <w:rPr>
          <w:rFonts w:ascii="Verdana" w:hAnsi="Verdana"/>
          <w:noProof/>
          <w:sz w:val="16"/>
          <w:szCs w:val="16"/>
        </w:rPr>
        <w:t xml:space="preserve">the competent judicial authority withholds access to the information. </w:t>
      </w:r>
    </w:p>
    <w:p w14:paraId="03428DD7" w14:textId="77777777" w:rsidR="00C76702" w:rsidRPr="00AC012F" w:rsidRDefault="00C76702" w:rsidP="00D7651F">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0"/>
        <w:rPr>
          <w:rFonts w:ascii="Verdana" w:hAnsi="Verdana"/>
          <w:noProof/>
          <w:sz w:val="16"/>
          <w:szCs w:val="16"/>
        </w:rPr>
      </w:pPr>
      <w:r w:rsidRPr="00AC012F">
        <w:rPr>
          <w:rFonts w:ascii="Verdana" w:hAnsi="Verdana"/>
          <w:noProof/>
          <w:sz w:val="16"/>
          <w:szCs w:val="16"/>
        </w:rPr>
        <w:t xml:space="preserve">The terms 'information and/or intelligence' cover the following two categories: </w:t>
      </w:r>
    </w:p>
    <w:p w14:paraId="2B481BF7" w14:textId="77777777" w:rsidR="00C76702" w:rsidRPr="00AC012F" w:rsidRDefault="00C76702" w:rsidP="00A414D7">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firstLine="284"/>
        <w:rPr>
          <w:rFonts w:ascii="Verdana" w:hAnsi="Verdana"/>
          <w:noProof/>
          <w:sz w:val="16"/>
          <w:szCs w:val="16"/>
        </w:rPr>
      </w:pPr>
      <w:r w:rsidRPr="00AC012F">
        <w:rPr>
          <w:rFonts w:ascii="Verdana" w:hAnsi="Verdana"/>
          <w:noProof/>
          <w:sz w:val="16"/>
          <w:szCs w:val="16"/>
        </w:rPr>
        <w:t>•</w:t>
      </w:r>
      <w:r>
        <w:rPr>
          <w:rFonts w:ascii="Verdana" w:hAnsi="Verdana"/>
          <w:noProof/>
          <w:sz w:val="16"/>
          <w:szCs w:val="16"/>
        </w:rPr>
        <w:t xml:space="preserve">  </w:t>
      </w:r>
      <w:r w:rsidRPr="00AC012F">
        <w:rPr>
          <w:rFonts w:ascii="Verdana" w:hAnsi="Verdana"/>
          <w:noProof/>
          <w:sz w:val="16"/>
          <w:szCs w:val="16"/>
        </w:rPr>
        <w:t xml:space="preserve">any type of information or data which is held by law enforcement authorities </w:t>
      </w:r>
    </w:p>
    <w:p w14:paraId="0865A8AE" w14:textId="77777777" w:rsidR="00C76702" w:rsidRPr="00AC012F" w:rsidRDefault="00C76702" w:rsidP="00D7651F">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454" w:hanging="454"/>
        <w:rPr>
          <w:rFonts w:ascii="Verdana" w:hAnsi="Verdana"/>
          <w:noProof/>
          <w:sz w:val="16"/>
          <w:szCs w:val="16"/>
        </w:rPr>
      </w:pPr>
      <w:r>
        <w:rPr>
          <w:rFonts w:ascii="Verdana" w:hAnsi="Verdana"/>
          <w:noProof/>
          <w:sz w:val="16"/>
          <w:szCs w:val="16"/>
        </w:rPr>
        <w:t xml:space="preserve">     </w:t>
      </w:r>
      <w:r w:rsidRPr="00AC012F">
        <w:rPr>
          <w:rFonts w:ascii="Verdana" w:hAnsi="Verdana"/>
          <w:noProof/>
          <w:sz w:val="16"/>
          <w:szCs w:val="16"/>
        </w:rPr>
        <w:t>•</w:t>
      </w:r>
      <w:r>
        <w:rPr>
          <w:rFonts w:ascii="Verdana" w:hAnsi="Verdana"/>
          <w:noProof/>
          <w:sz w:val="16"/>
          <w:szCs w:val="16"/>
        </w:rPr>
        <w:t xml:space="preserve"> </w:t>
      </w:r>
      <w:r w:rsidRPr="00AC012F">
        <w:rPr>
          <w:rFonts w:ascii="Verdana" w:hAnsi="Verdana"/>
          <w:noProof/>
          <w:sz w:val="16"/>
          <w:szCs w:val="16"/>
        </w:rPr>
        <w:t>any type of information or data which is held by public authorities or b</w:t>
      </w:r>
      <w:r>
        <w:rPr>
          <w:rFonts w:ascii="Verdana" w:hAnsi="Verdana"/>
          <w:noProof/>
          <w:sz w:val="16"/>
          <w:szCs w:val="16"/>
        </w:rPr>
        <w:t xml:space="preserve">y private entities and which is </w:t>
      </w:r>
      <w:r w:rsidRPr="00AC012F">
        <w:rPr>
          <w:rFonts w:ascii="Verdana" w:hAnsi="Verdana"/>
          <w:noProof/>
          <w:sz w:val="16"/>
          <w:szCs w:val="16"/>
        </w:rPr>
        <w:t>available to law enforcement authorities without the taking of coercive measures.</w:t>
      </w:r>
    </w:p>
    <w:p w14:paraId="3F04CC70" w14:textId="77777777" w:rsidR="00C76702" w:rsidRPr="00AC012F" w:rsidRDefault="00C76702" w:rsidP="00D7651F">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0"/>
        <w:rPr>
          <w:rFonts w:ascii="Verdana" w:hAnsi="Verdana"/>
          <w:noProof/>
          <w:sz w:val="16"/>
          <w:szCs w:val="16"/>
        </w:rPr>
      </w:pPr>
      <w:r w:rsidRPr="00AC012F">
        <w:rPr>
          <w:rFonts w:ascii="Verdana" w:hAnsi="Verdana"/>
          <w:noProof/>
          <w:sz w:val="16"/>
          <w:szCs w:val="16"/>
        </w:rPr>
        <w:t>The content of these categories depends on national legislation</w:t>
      </w:r>
      <w:r w:rsidR="001D573E">
        <w:rPr>
          <w:rFonts w:ascii="Verdana" w:hAnsi="Verdana"/>
          <w:noProof/>
          <w:sz w:val="16"/>
          <w:szCs w:val="16"/>
        </w:rPr>
        <w:t>s</w:t>
      </w:r>
      <w:r w:rsidRPr="00AC012F">
        <w:rPr>
          <w:rFonts w:ascii="Verdana" w:hAnsi="Verdana"/>
          <w:noProof/>
          <w:sz w:val="16"/>
          <w:szCs w:val="16"/>
        </w:rPr>
        <w:t>. The type of information available from each Member State is set out in national sheets</w:t>
      </w:r>
      <w:r w:rsidR="00214998">
        <w:rPr>
          <w:rFonts w:ascii="Verdana" w:hAnsi="Verdana"/>
          <w:noProof/>
          <w:sz w:val="16"/>
          <w:szCs w:val="16"/>
        </w:rPr>
        <w:t xml:space="preserve"> (Council guidelines)</w:t>
      </w:r>
      <w:r w:rsidR="00214998">
        <w:rPr>
          <w:rStyle w:val="FootnoteReference"/>
          <w:rFonts w:ascii="Verdana" w:hAnsi="Verdana"/>
          <w:noProof/>
          <w:sz w:val="16"/>
          <w:szCs w:val="16"/>
        </w:rPr>
        <w:footnoteReference w:id="27"/>
      </w:r>
      <w:r w:rsidRPr="00AC012F">
        <w:rPr>
          <w:rFonts w:ascii="Verdana" w:hAnsi="Verdana"/>
          <w:noProof/>
          <w:sz w:val="16"/>
          <w:szCs w:val="16"/>
        </w:rPr>
        <w:t xml:space="preserve">. Data is to be shared with Europol insofar as the information or intelligence exchanged refers to an offence or criminal activity within the Europol mandate. Information and intelligence will be processed in accordance with the relevant Europol handling codes. SIENA, (Europol's Secure Information Exchange Network Application) supports the exchange of information in accordance with the 'Swedish Framework Decision'. </w:t>
      </w:r>
    </w:p>
    <w:p w14:paraId="16425C58" w14:textId="77777777" w:rsidR="00C76702" w:rsidRPr="00AC012F" w:rsidRDefault="00C76702" w:rsidP="00D7651F">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0"/>
        <w:rPr>
          <w:rFonts w:ascii="Verdana" w:hAnsi="Verdana"/>
          <w:noProof/>
          <w:sz w:val="16"/>
          <w:szCs w:val="16"/>
        </w:rPr>
      </w:pPr>
      <w:r w:rsidRPr="00AC012F">
        <w:rPr>
          <w:rFonts w:ascii="Verdana" w:hAnsi="Verdana"/>
          <w:noProof/>
          <w:sz w:val="16"/>
          <w:szCs w:val="16"/>
        </w:rPr>
        <w:t xml:space="preserve">Member States ensure that conditions for cross-border information exchange are not stricter than those applicable for an internal case. The competent law enforcement authorities are, in particular, not obliged to ask for judicial agreement or authorisation prior to cross-border information exchange, if the information sought is available at national level without such agreement or authorisation. If, however, judicial authorisation is required, the judicial authority shall, when issuing its decision, is required to apply the same rules in the cross-border case as in a purely internal case. Information requiring judicial authorisation is indicated in the national fact sheets. </w:t>
      </w:r>
    </w:p>
    <w:p w14:paraId="0ADD5EF5" w14:textId="77777777" w:rsidR="003047C7" w:rsidRDefault="00C76702" w:rsidP="003047C7">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0"/>
        <w:rPr>
          <w:rFonts w:ascii="Verdana" w:hAnsi="Verdana"/>
          <w:noProof/>
          <w:sz w:val="16"/>
          <w:szCs w:val="16"/>
        </w:rPr>
      </w:pPr>
      <w:r w:rsidRPr="00AC012F">
        <w:rPr>
          <w:rFonts w:ascii="Verdana" w:hAnsi="Verdana"/>
          <w:noProof/>
          <w:sz w:val="16"/>
          <w:szCs w:val="16"/>
        </w:rPr>
        <w:t>Since the standard request form has been found too cumbersome by practitioners, a non-compulsory request form for information and intelligence has been developed. When it is not feasible to use this simplified form, the use of a different form or unstructured free-text is preferred.</w:t>
      </w:r>
    </w:p>
    <w:p w14:paraId="69909F50" w14:textId="77777777" w:rsidR="00C76702" w:rsidRPr="00571CEA" w:rsidRDefault="00C76702" w:rsidP="00571CEA">
      <w:pPr>
        <w:pStyle w:val="Text1"/>
        <w:pBdr>
          <w:top w:val="single" w:sz="4" w:space="1" w:color="auto"/>
          <w:left w:val="single" w:sz="4" w:space="4" w:color="auto"/>
          <w:bottom w:val="single" w:sz="4" w:space="1" w:color="auto"/>
          <w:right w:val="single" w:sz="4" w:space="4" w:color="auto"/>
        </w:pBdr>
        <w:shd w:val="clear" w:color="auto" w:fill="DEEAF6" w:themeFill="accent1" w:themeFillTint="33"/>
        <w:spacing w:after="60"/>
        <w:ind w:left="0"/>
        <w:rPr>
          <w:rFonts w:ascii="Verdana" w:hAnsi="Verdana"/>
          <w:i/>
          <w:noProof/>
          <w:sz w:val="16"/>
          <w:szCs w:val="16"/>
        </w:rPr>
      </w:pPr>
      <w:r w:rsidRPr="00AC012F">
        <w:rPr>
          <w:rFonts w:ascii="Verdana" w:hAnsi="Verdana"/>
          <w:noProof/>
          <w:sz w:val="16"/>
          <w:szCs w:val="16"/>
        </w:rPr>
        <w:t>The requesting Member State may choose between any of the existing channels for international law enforcement communication (SIRENE</w:t>
      </w:r>
      <w:r w:rsidR="00C5236E">
        <w:rPr>
          <w:rStyle w:val="FootnoteReference"/>
          <w:rFonts w:ascii="Verdana" w:hAnsi="Verdana"/>
          <w:noProof/>
          <w:sz w:val="16"/>
          <w:szCs w:val="16"/>
        </w:rPr>
        <w:footnoteReference w:id="28"/>
      </w:r>
      <w:r w:rsidRPr="00AC012F">
        <w:rPr>
          <w:rFonts w:ascii="Verdana" w:hAnsi="Verdana"/>
          <w:noProof/>
          <w:sz w:val="16"/>
          <w:szCs w:val="16"/>
        </w:rPr>
        <w:t xml:space="preserve">, </w:t>
      </w:r>
      <w:r w:rsidR="00C5236E">
        <w:rPr>
          <w:rFonts w:ascii="Verdana" w:hAnsi="Verdana"/>
          <w:noProof/>
          <w:sz w:val="16"/>
          <w:szCs w:val="16"/>
        </w:rPr>
        <w:t>Europol</w:t>
      </w:r>
      <w:r w:rsidRPr="00AC012F">
        <w:rPr>
          <w:rFonts w:ascii="Verdana" w:hAnsi="Verdana"/>
          <w:noProof/>
          <w:sz w:val="16"/>
          <w:szCs w:val="16"/>
        </w:rPr>
        <w:t>, INTERPOL, bilateral contact points). The replying Member State normally uses the same channel as used for the request. If, however, the requested Member State replies, for legitimate reasons, through another channel, the requesting authority is informed of this change. The language used for the request and supply of information shall be the one applicable for the channel used.</w:t>
      </w:r>
    </w:p>
    <w:p w14:paraId="703BB2CC" w14:textId="3972040E" w:rsidR="00C76702" w:rsidRPr="002F22A9" w:rsidRDefault="00173E60" w:rsidP="00173E60">
      <w:pPr>
        <w:pStyle w:val="Heading3"/>
        <w:rPr>
          <w:noProof/>
        </w:rPr>
      </w:pPr>
      <w:bookmarkStart w:id="17" w:name="_Toc74838153"/>
      <w:r w:rsidRPr="00173E60">
        <w:t>2.1.2.</w:t>
      </w:r>
      <w:r w:rsidRPr="00173E60">
        <w:tab/>
      </w:r>
      <w:r w:rsidR="004F4595" w:rsidRPr="002F22A9">
        <w:rPr>
          <w:noProof/>
        </w:rPr>
        <w:t xml:space="preserve"> </w:t>
      </w:r>
      <w:bookmarkStart w:id="18" w:name="_Toc83801014"/>
      <w:r w:rsidR="00C76702" w:rsidRPr="002F22A9">
        <w:rPr>
          <w:noProof/>
        </w:rPr>
        <w:t>What are the problem drivers?</w:t>
      </w:r>
      <w:bookmarkEnd w:id="17"/>
      <w:bookmarkEnd w:id="18"/>
      <w:r w:rsidR="00C76702" w:rsidRPr="002F22A9">
        <w:rPr>
          <w:noProof/>
        </w:rPr>
        <w:t xml:space="preserve"> </w:t>
      </w:r>
    </w:p>
    <w:p w14:paraId="3D472E3A" w14:textId="77777777" w:rsidR="00C76702" w:rsidRPr="004C00AE" w:rsidRDefault="0018040E" w:rsidP="00C7670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indicated above</w:t>
      </w:r>
      <w:r w:rsidR="00D171CF">
        <w:rPr>
          <w:rFonts w:ascii="Times New Roman" w:hAnsi="Times New Roman" w:cs="Times New Roman"/>
          <w:noProof/>
          <w:sz w:val="24"/>
          <w:szCs w:val="24"/>
        </w:rPr>
        <w:t>,</w:t>
      </w:r>
      <w:r>
        <w:rPr>
          <w:rFonts w:ascii="Times New Roman" w:hAnsi="Times New Roman" w:cs="Times New Roman"/>
          <w:noProof/>
          <w:sz w:val="24"/>
          <w:szCs w:val="24"/>
        </w:rPr>
        <w:t xml:space="preserve"> a</w:t>
      </w:r>
      <w:r w:rsidR="00C76702" w:rsidRPr="004C00AE">
        <w:rPr>
          <w:rFonts w:ascii="Times New Roman" w:hAnsi="Times New Roman" w:cs="Times New Roman"/>
          <w:noProof/>
          <w:sz w:val="24"/>
          <w:szCs w:val="24"/>
        </w:rPr>
        <w:t>t EU level, t</w:t>
      </w:r>
      <w:r w:rsidR="00C76702" w:rsidRPr="004C00AE">
        <w:rPr>
          <w:rFonts w:ascii="Times New Roman" w:hAnsi="Times New Roman" w:cs="Times New Roman"/>
          <w:noProof/>
          <w:sz w:val="24"/>
        </w:rPr>
        <w:t xml:space="preserve">he principles for the exchange of </w:t>
      </w:r>
      <w:r w:rsidR="00C76702" w:rsidRPr="00A22685">
        <w:rPr>
          <w:rFonts w:ascii="Times New Roman" w:hAnsi="Times New Roman" w:cs="Times New Roman"/>
          <w:noProof/>
          <w:sz w:val="24"/>
        </w:rPr>
        <w:t>law enforcement information and intelligence</w:t>
      </w:r>
      <w:r w:rsidR="00C76702" w:rsidRPr="004C00AE">
        <w:rPr>
          <w:rFonts w:ascii="Times New Roman" w:hAnsi="Times New Roman" w:cs="Times New Roman"/>
          <w:noProof/>
          <w:sz w:val="24"/>
        </w:rPr>
        <w:t xml:space="preserve"> of cross-b</w:t>
      </w:r>
      <w:r w:rsidR="00C76702">
        <w:rPr>
          <w:rFonts w:ascii="Times New Roman" w:hAnsi="Times New Roman" w:cs="Times New Roman"/>
          <w:noProof/>
          <w:sz w:val="24"/>
        </w:rPr>
        <w:t>order relevance are laid down in</w:t>
      </w:r>
      <w:r w:rsidR="00C76702" w:rsidRPr="004C00AE">
        <w:rPr>
          <w:rFonts w:ascii="Times New Roman" w:hAnsi="Times New Roman" w:cs="Times New Roman"/>
          <w:noProof/>
          <w:sz w:val="24"/>
        </w:rPr>
        <w:t xml:space="preserve"> the </w:t>
      </w:r>
      <w:r w:rsidR="00EE627C">
        <w:rPr>
          <w:rFonts w:ascii="Times New Roman" w:hAnsi="Times New Roman" w:cs="Times New Roman"/>
          <w:noProof/>
          <w:sz w:val="24"/>
        </w:rPr>
        <w:t xml:space="preserve">2006 </w:t>
      </w:r>
      <w:r w:rsidR="00C76702" w:rsidRPr="004C00AE">
        <w:rPr>
          <w:rFonts w:ascii="Times New Roman" w:hAnsi="Times New Roman" w:cs="Times New Roman"/>
          <w:noProof/>
          <w:sz w:val="24"/>
        </w:rPr>
        <w:t xml:space="preserve">Swedish Framework Decision, notably through its </w:t>
      </w:r>
      <w:r w:rsidR="00C76702" w:rsidRPr="004C00AE">
        <w:rPr>
          <w:rFonts w:ascii="Times New Roman" w:hAnsi="Times New Roman" w:cs="Times New Roman"/>
          <w:noProof/>
          <w:sz w:val="24"/>
          <w:szCs w:val="24"/>
        </w:rPr>
        <w:t>two key principles of availability and equivalen</w:t>
      </w:r>
      <w:r w:rsidR="00D171CF">
        <w:rPr>
          <w:rFonts w:ascii="Times New Roman" w:hAnsi="Times New Roman" w:cs="Times New Roman"/>
          <w:noProof/>
          <w:sz w:val="24"/>
          <w:szCs w:val="24"/>
        </w:rPr>
        <w:t>t access</w:t>
      </w:r>
      <w:r w:rsidR="00C76702" w:rsidRPr="004C00AE">
        <w:rPr>
          <w:rFonts w:ascii="Times New Roman" w:hAnsi="Times New Roman" w:cs="Times New Roman"/>
          <w:noProof/>
          <w:sz w:val="24"/>
          <w:szCs w:val="24"/>
        </w:rPr>
        <w:t>.</w:t>
      </w:r>
    </w:p>
    <w:p w14:paraId="6EC5331F" w14:textId="77777777" w:rsidR="00C76702" w:rsidRPr="004C00AE" w:rsidRDefault="00C76702" w:rsidP="00C76702">
      <w:pPr>
        <w:autoSpaceDE w:val="0"/>
        <w:autoSpaceDN w:val="0"/>
        <w:adjustRightInd w:val="0"/>
        <w:spacing w:after="0" w:line="240" w:lineRule="auto"/>
        <w:rPr>
          <w:rFonts w:ascii="Times New Roman" w:hAnsi="Times New Roman" w:cs="Times New Roman"/>
          <w:noProof/>
          <w:sz w:val="24"/>
        </w:rPr>
      </w:pPr>
      <w:r w:rsidRPr="004C00AE">
        <w:rPr>
          <w:rFonts w:ascii="Times New Roman" w:hAnsi="Times New Roman" w:cs="Times New Roman"/>
          <w:noProof/>
          <w:sz w:val="24"/>
        </w:rPr>
        <w:t xml:space="preserve">This means that: </w:t>
      </w:r>
    </w:p>
    <w:p w14:paraId="1E47141D" w14:textId="18FE00F7" w:rsidR="00C76702" w:rsidRPr="004C00AE" w:rsidRDefault="00C76702" w:rsidP="00E760E4">
      <w:pPr>
        <w:pStyle w:val="ListParagraph"/>
        <w:numPr>
          <w:ilvl w:val="0"/>
          <w:numId w:val="18"/>
        </w:numPr>
        <w:autoSpaceDE w:val="0"/>
        <w:autoSpaceDN w:val="0"/>
        <w:adjustRightInd w:val="0"/>
        <w:spacing w:after="0" w:line="240" w:lineRule="auto"/>
        <w:jc w:val="both"/>
        <w:rPr>
          <w:rFonts w:ascii="Times New Roman" w:hAnsi="Times New Roman" w:cs="Times New Roman"/>
          <w:noProof/>
          <w:sz w:val="24"/>
        </w:rPr>
      </w:pPr>
      <w:r w:rsidRPr="004C00AE">
        <w:rPr>
          <w:rFonts w:ascii="Times New Roman" w:hAnsi="Times New Roman" w:cs="Times New Roman"/>
          <w:noProof/>
          <w:sz w:val="24"/>
        </w:rPr>
        <w:t xml:space="preserve">a law enforcement officer in one Member State in need of information </w:t>
      </w:r>
      <w:r>
        <w:rPr>
          <w:rFonts w:ascii="Times New Roman" w:hAnsi="Times New Roman" w:cs="Times New Roman"/>
          <w:noProof/>
          <w:sz w:val="24"/>
        </w:rPr>
        <w:t xml:space="preserve">and intelligence </w:t>
      </w:r>
      <w:r w:rsidRPr="004C00AE">
        <w:rPr>
          <w:rFonts w:ascii="Times New Roman" w:hAnsi="Times New Roman" w:cs="Times New Roman"/>
          <w:noProof/>
          <w:sz w:val="24"/>
        </w:rPr>
        <w:t>in order to carry out his duties can obtain it from another Member State</w:t>
      </w:r>
      <w:r w:rsidR="007164F6">
        <w:rPr>
          <w:rFonts w:ascii="Times New Roman" w:hAnsi="Times New Roman" w:cs="Times New Roman"/>
          <w:noProof/>
          <w:sz w:val="24"/>
        </w:rPr>
        <w:t>;</w:t>
      </w:r>
      <w:r w:rsidRPr="004C00AE">
        <w:rPr>
          <w:rFonts w:ascii="Times New Roman" w:hAnsi="Times New Roman" w:cs="Times New Roman"/>
          <w:noProof/>
          <w:sz w:val="24"/>
        </w:rPr>
        <w:t xml:space="preserve"> and that</w:t>
      </w:r>
    </w:p>
    <w:p w14:paraId="27DB6D16" w14:textId="7463B485" w:rsidR="00C76702" w:rsidRPr="004C00AE" w:rsidRDefault="00C76702" w:rsidP="00E760E4">
      <w:pPr>
        <w:pStyle w:val="ListParagraph"/>
        <w:numPr>
          <w:ilvl w:val="0"/>
          <w:numId w:val="18"/>
        </w:numPr>
        <w:autoSpaceDE w:val="0"/>
        <w:autoSpaceDN w:val="0"/>
        <w:adjustRightInd w:val="0"/>
        <w:spacing w:after="0" w:line="240" w:lineRule="auto"/>
        <w:jc w:val="both"/>
        <w:rPr>
          <w:rFonts w:ascii="Times New Roman" w:hAnsi="Times New Roman" w:cs="Times New Roman"/>
          <w:noProof/>
          <w:sz w:val="24"/>
        </w:rPr>
      </w:pPr>
      <w:r w:rsidRPr="004C00AE">
        <w:rPr>
          <w:rFonts w:ascii="Times New Roman" w:hAnsi="Times New Roman" w:cs="Times New Roman"/>
          <w:noProof/>
          <w:sz w:val="24"/>
        </w:rPr>
        <w:t xml:space="preserve">the law enforcement authorities in the Member State that holds this information </w:t>
      </w:r>
      <w:r>
        <w:rPr>
          <w:rFonts w:ascii="Times New Roman" w:hAnsi="Times New Roman" w:cs="Times New Roman"/>
          <w:noProof/>
          <w:sz w:val="24"/>
        </w:rPr>
        <w:t xml:space="preserve">and intelligence </w:t>
      </w:r>
      <w:r w:rsidRPr="004C00AE">
        <w:rPr>
          <w:rFonts w:ascii="Times New Roman" w:hAnsi="Times New Roman" w:cs="Times New Roman"/>
          <w:noProof/>
          <w:sz w:val="24"/>
        </w:rPr>
        <w:t>will make it available for the declared purpose, taking account of the needs of investigations pending in that Member State</w:t>
      </w:r>
      <w:r w:rsidR="007164F6">
        <w:rPr>
          <w:rFonts w:ascii="Times New Roman" w:hAnsi="Times New Roman" w:cs="Times New Roman"/>
          <w:noProof/>
          <w:sz w:val="24"/>
        </w:rPr>
        <w:t>;</w:t>
      </w:r>
      <w:r w:rsidRPr="004C00AE">
        <w:rPr>
          <w:rFonts w:ascii="Times New Roman" w:hAnsi="Times New Roman" w:cs="Times New Roman"/>
          <w:noProof/>
          <w:sz w:val="24"/>
        </w:rPr>
        <w:t xml:space="preserve"> and that</w:t>
      </w:r>
    </w:p>
    <w:p w14:paraId="27F4A296" w14:textId="2A93C251" w:rsidR="00C76702" w:rsidRPr="004C00AE" w:rsidRDefault="00C76702" w:rsidP="00E760E4">
      <w:pPr>
        <w:pStyle w:val="ListParagraph"/>
        <w:numPr>
          <w:ilvl w:val="0"/>
          <w:numId w:val="18"/>
        </w:numPr>
        <w:autoSpaceDE w:val="0"/>
        <w:autoSpaceDN w:val="0"/>
        <w:adjustRightInd w:val="0"/>
        <w:spacing w:after="120" w:line="240" w:lineRule="auto"/>
        <w:jc w:val="both"/>
        <w:rPr>
          <w:rFonts w:ascii="Times New Roman" w:hAnsi="Times New Roman" w:cs="Times New Roman"/>
          <w:noProof/>
          <w:sz w:val="24"/>
        </w:rPr>
      </w:pPr>
      <w:r w:rsidRPr="004C00AE">
        <w:rPr>
          <w:rFonts w:ascii="Times New Roman" w:hAnsi="Times New Roman" w:cs="Times New Roman"/>
          <w:noProof/>
          <w:sz w:val="24"/>
        </w:rPr>
        <w:t xml:space="preserve">once information </w:t>
      </w:r>
      <w:r>
        <w:rPr>
          <w:rFonts w:ascii="Times New Roman" w:hAnsi="Times New Roman" w:cs="Times New Roman"/>
          <w:noProof/>
          <w:sz w:val="24"/>
        </w:rPr>
        <w:t xml:space="preserve">and intelligence </w:t>
      </w:r>
      <w:r w:rsidRPr="004C00AE">
        <w:rPr>
          <w:rFonts w:ascii="Times New Roman" w:hAnsi="Times New Roman" w:cs="Times New Roman"/>
          <w:noProof/>
          <w:sz w:val="24"/>
        </w:rPr>
        <w:t xml:space="preserve">is available in a Member State, it </w:t>
      </w:r>
      <w:r w:rsidR="00FD0B2F">
        <w:rPr>
          <w:rFonts w:ascii="Times New Roman" w:hAnsi="Times New Roman" w:cs="Times New Roman"/>
          <w:noProof/>
          <w:sz w:val="24"/>
        </w:rPr>
        <w:t>should</w:t>
      </w:r>
      <w:r w:rsidR="00FD0B2F" w:rsidRPr="004C00AE">
        <w:rPr>
          <w:rFonts w:ascii="Times New Roman" w:hAnsi="Times New Roman" w:cs="Times New Roman"/>
          <w:noProof/>
          <w:sz w:val="24"/>
        </w:rPr>
        <w:t xml:space="preserve"> </w:t>
      </w:r>
      <w:r w:rsidRPr="004C00AE">
        <w:rPr>
          <w:rFonts w:ascii="Times New Roman" w:hAnsi="Times New Roman" w:cs="Times New Roman"/>
          <w:noProof/>
          <w:sz w:val="24"/>
        </w:rPr>
        <w:t xml:space="preserve">be shared across borders under the same conditions which govern information sharing at national level, meaning that the rules applied in a cross-border case </w:t>
      </w:r>
      <w:r w:rsidRPr="00A22685">
        <w:rPr>
          <w:rFonts w:ascii="Times New Roman" w:hAnsi="Times New Roman" w:cs="Times New Roman"/>
          <w:b/>
          <w:bCs/>
          <w:noProof/>
          <w:sz w:val="24"/>
        </w:rPr>
        <w:t>are not stricter</w:t>
      </w:r>
      <w:r w:rsidRPr="004C00AE">
        <w:rPr>
          <w:rFonts w:ascii="Times New Roman" w:hAnsi="Times New Roman" w:cs="Times New Roman"/>
          <w:b/>
          <w:bCs/>
          <w:noProof/>
          <w:sz w:val="24"/>
        </w:rPr>
        <w:t xml:space="preserve"> </w:t>
      </w:r>
      <w:r w:rsidRPr="004C00AE">
        <w:rPr>
          <w:rFonts w:ascii="Times New Roman" w:hAnsi="Times New Roman" w:cs="Times New Roman"/>
          <w:noProof/>
          <w:sz w:val="24"/>
        </w:rPr>
        <w:t>than those applying to data exchanges at national level ("p</w:t>
      </w:r>
      <w:r>
        <w:rPr>
          <w:rFonts w:ascii="Times New Roman" w:hAnsi="Times New Roman" w:cs="Times New Roman"/>
          <w:noProof/>
          <w:sz w:val="24"/>
        </w:rPr>
        <w:t>rinciple of equivalent access")</w:t>
      </w:r>
      <w:r w:rsidRPr="004C00AE">
        <w:rPr>
          <w:rStyle w:val="FootnoteReference"/>
          <w:rFonts w:ascii="Times New Roman" w:hAnsi="Times New Roman" w:cs="Times New Roman"/>
          <w:noProof/>
          <w:sz w:val="24"/>
        </w:rPr>
        <w:footnoteReference w:id="29"/>
      </w:r>
      <w:r w:rsidRPr="004C00AE">
        <w:rPr>
          <w:rFonts w:ascii="Times New Roman" w:hAnsi="Times New Roman" w:cs="Times New Roman"/>
          <w:noProof/>
          <w:sz w:val="24"/>
        </w:rPr>
        <w:t>.</w:t>
      </w:r>
    </w:p>
    <w:p w14:paraId="0A1AB256" w14:textId="3D240BFB" w:rsidR="00C76702" w:rsidRDefault="00C76702" w:rsidP="00BC2D7D">
      <w:pPr>
        <w:pStyle w:val="Bulletmain"/>
        <w:spacing w:before="0" w:after="120"/>
        <w:rPr>
          <w:rFonts w:ascii="Times New Roman" w:hAnsi="Times New Roman"/>
          <w:noProof/>
          <w:sz w:val="24"/>
          <w:szCs w:val="21"/>
          <w:shd w:val="clear" w:color="auto" w:fill="FFFFFF"/>
        </w:rPr>
      </w:pPr>
      <w:r w:rsidRPr="007C7DAD">
        <w:rPr>
          <w:rFonts w:ascii="Times New Roman" w:hAnsi="Times New Roman"/>
          <w:noProof/>
          <w:sz w:val="24"/>
          <w:szCs w:val="24"/>
        </w:rPr>
        <w:t>In practice, as evidenced in the Schengen evaluations in the field of police cooperation</w:t>
      </w:r>
      <w:r>
        <w:rPr>
          <w:rFonts w:ascii="Times New Roman" w:hAnsi="Times New Roman"/>
          <w:noProof/>
          <w:sz w:val="24"/>
          <w:szCs w:val="24"/>
        </w:rPr>
        <w:t xml:space="preserve">, </w:t>
      </w:r>
      <w:r w:rsidRPr="00380EEA">
        <w:rPr>
          <w:rFonts w:ascii="Times New Roman" w:hAnsi="Times New Roman"/>
          <w:b/>
          <w:i/>
          <w:noProof/>
          <w:sz w:val="24"/>
          <w:szCs w:val="24"/>
          <w:lang w:eastAsia="en-GB"/>
        </w:rPr>
        <w:t xml:space="preserve">the Swedish framework Decision </w:t>
      </w:r>
      <w:r w:rsidRPr="00380EEA">
        <w:rPr>
          <w:rFonts w:ascii="Times New Roman" w:hAnsi="Times New Roman"/>
          <w:b/>
          <w:i/>
          <w:noProof/>
          <w:sz w:val="24"/>
          <w:szCs w:val="24"/>
        </w:rPr>
        <w:t>is hardly used</w:t>
      </w:r>
      <w:r w:rsidRPr="007C7DAD">
        <w:rPr>
          <w:rFonts w:ascii="Times New Roman" w:hAnsi="Times New Roman"/>
          <w:noProof/>
          <w:sz w:val="24"/>
          <w:szCs w:val="24"/>
        </w:rPr>
        <w:t xml:space="preserve">, as the availability of many options for cooperation or information exchange limits its added value, and it overlaps with </w:t>
      </w:r>
      <w:r>
        <w:rPr>
          <w:rFonts w:ascii="Times New Roman" w:hAnsi="Times New Roman"/>
          <w:noProof/>
          <w:sz w:val="24"/>
          <w:szCs w:val="24"/>
        </w:rPr>
        <w:t xml:space="preserve">the </w:t>
      </w:r>
      <w:r w:rsidRPr="007C7DAD">
        <w:rPr>
          <w:rFonts w:ascii="Times New Roman" w:hAnsi="Times New Roman"/>
          <w:noProof/>
          <w:sz w:val="24"/>
          <w:szCs w:val="24"/>
        </w:rPr>
        <w:t>Convention Implementing the Schengen Agreement</w:t>
      </w:r>
      <w:r w:rsidRPr="007C7DAD">
        <w:rPr>
          <w:rFonts w:ascii="Times New Roman" w:hAnsi="Times New Roman"/>
          <w:b/>
          <w:noProof/>
          <w:sz w:val="24"/>
          <w:szCs w:val="24"/>
        </w:rPr>
        <w:t xml:space="preserve"> </w:t>
      </w:r>
      <w:r w:rsidRPr="007C7DAD">
        <w:rPr>
          <w:rFonts w:ascii="Times New Roman" w:hAnsi="Times New Roman"/>
          <w:noProof/>
          <w:sz w:val="24"/>
          <w:szCs w:val="24"/>
        </w:rPr>
        <w:t>(CISA</w:t>
      </w:r>
      <w:r>
        <w:rPr>
          <w:rFonts w:ascii="Times New Roman" w:hAnsi="Times New Roman"/>
          <w:noProof/>
          <w:sz w:val="24"/>
          <w:szCs w:val="24"/>
        </w:rPr>
        <w:t>)</w:t>
      </w:r>
      <w:r w:rsidRPr="007C7DAD">
        <w:rPr>
          <w:rFonts w:ascii="Times New Roman" w:hAnsi="Times New Roman"/>
          <w:noProof/>
          <w:sz w:val="24"/>
          <w:szCs w:val="24"/>
        </w:rPr>
        <w:t>, with many articles worded in a similar way</w:t>
      </w:r>
      <w:r>
        <w:rPr>
          <w:rStyle w:val="FootnoteReference"/>
          <w:rFonts w:ascii="Times New Roman" w:hAnsi="Times New Roman"/>
          <w:noProof/>
          <w:sz w:val="24"/>
          <w:szCs w:val="24"/>
        </w:rPr>
        <w:footnoteReference w:id="30"/>
      </w:r>
      <w:r w:rsidRPr="007C7DAD">
        <w:rPr>
          <w:rFonts w:ascii="Times New Roman" w:hAnsi="Times New Roman"/>
          <w:noProof/>
          <w:sz w:val="24"/>
          <w:szCs w:val="24"/>
        </w:rPr>
        <w:t>.</w:t>
      </w:r>
      <w:r w:rsidR="00BC2D7D">
        <w:rPr>
          <w:rFonts w:ascii="Times New Roman" w:hAnsi="Times New Roman"/>
          <w:noProof/>
          <w:sz w:val="24"/>
          <w:szCs w:val="24"/>
        </w:rPr>
        <w:t xml:space="preserve"> </w:t>
      </w:r>
      <w:r w:rsidR="00BC2D7D" w:rsidRPr="00BC2D7D">
        <w:rPr>
          <w:rFonts w:ascii="Times New Roman" w:hAnsi="Times New Roman"/>
          <w:noProof/>
          <w:sz w:val="24"/>
          <w:szCs w:val="21"/>
          <w:shd w:val="clear" w:color="auto" w:fill="FFFFFF"/>
        </w:rPr>
        <w:t xml:space="preserve">The </w:t>
      </w:r>
      <w:r w:rsidR="00BC2D7D">
        <w:rPr>
          <w:rFonts w:ascii="Times New Roman" w:hAnsi="Times New Roman"/>
          <w:noProof/>
          <w:sz w:val="24"/>
          <w:szCs w:val="21"/>
          <w:shd w:val="clear" w:color="auto" w:fill="FFFFFF"/>
        </w:rPr>
        <w:t xml:space="preserve">envisaged </w:t>
      </w:r>
      <w:r w:rsidR="00BC2D7D" w:rsidRPr="00BC2D7D">
        <w:rPr>
          <w:rFonts w:ascii="Times New Roman" w:hAnsi="Times New Roman"/>
          <w:noProof/>
          <w:sz w:val="24"/>
          <w:szCs w:val="21"/>
          <w:shd w:val="clear" w:color="auto" w:fill="FFFFFF"/>
        </w:rPr>
        <w:t>proposal will address this discrepancy by expanding the scope of the SFD to "</w:t>
      </w:r>
      <w:r w:rsidR="00BC2D7D" w:rsidRPr="00BC2D7D">
        <w:rPr>
          <w:rFonts w:ascii="Times New Roman" w:hAnsi="Times New Roman"/>
          <w:i/>
          <w:noProof/>
          <w:sz w:val="24"/>
          <w:szCs w:val="21"/>
          <w:shd w:val="clear" w:color="auto" w:fill="FFFFFF"/>
        </w:rPr>
        <w:t>preventing and detecting criminal offences</w:t>
      </w:r>
      <w:r w:rsidR="00BC2D7D" w:rsidRPr="00BC2D7D">
        <w:rPr>
          <w:rFonts w:ascii="Times New Roman" w:hAnsi="Times New Roman"/>
          <w:noProof/>
          <w:sz w:val="24"/>
          <w:szCs w:val="21"/>
          <w:shd w:val="clear" w:color="auto" w:fill="FFFFFF"/>
        </w:rPr>
        <w:t>", thereby fully superseding Articles 39 and 46 CISA and hence providing the necessary legal clarity</w:t>
      </w:r>
      <w:r w:rsidR="00BC2D7D">
        <w:rPr>
          <w:rFonts w:ascii="Times New Roman" w:hAnsi="Times New Roman"/>
          <w:noProof/>
          <w:sz w:val="24"/>
          <w:szCs w:val="21"/>
          <w:shd w:val="clear" w:color="auto" w:fill="FFFFFF"/>
        </w:rPr>
        <w:t>.</w:t>
      </w:r>
    </w:p>
    <w:p w14:paraId="75A5D04B" w14:textId="111F840F" w:rsidR="00E84C64" w:rsidRPr="00CF2695" w:rsidRDefault="00E84C64" w:rsidP="00B357A8">
      <w:pPr>
        <w:pStyle w:val="Body"/>
        <w:spacing w:after="120"/>
        <w:jc w:val="both"/>
        <w:rPr>
          <w:rFonts w:ascii="Times New Roman" w:hAnsi="Times New Roman"/>
          <w:noProof/>
          <w:sz w:val="24"/>
        </w:rPr>
      </w:pPr>
      <w:r>
        <w:rPr>
          <w:rFonts w:ascii="Times New Roman" w:hAnsi="Times New Roman"/>
          <w:noProof/>
          <w:sz w:val="24"/>
        </w:rPr>
        <w:t xml:space="preserve">The quantification of information exchange and its breakdown per communication channel was not possible for lack of national and comparable data. Indeed, </w:t>
      </w:r>
      <w:r w:rsidRPr="00CF2695">
        <w:rPr>
          <w:rFonts w:ascii="Times New Roman" w:hAnsi="Times New Roman"/>
          <w:noProof/>
          <w:sz w:val="24"/>
        </w:rPr>
        <w:t>17 countries have reported not to produce complete and comparable statistics regarding the information requests exchanged pursuant to the SFD, while seven indicated to keep statistics and five to do so only for information shared with Europol</w:t>
      </w:r>
      <w:r w:rsidRPr="00CF2695">
        <w:rPr>
          <w:rStyle w:val="FootnoteReference"/>
          <w:rFonts w:ascii="Times New Roman" w:hAnsi="Times New Roman"/>
          <w:noProof/>
          <w:sz w:val="24"/>
        </w:rPr>
        <w:footnoteReference w:id="31"/>
      </w:r>
      <w:r w:rsidRPr="00CF2695">
        <w:rPr>
          <w:rFonts w:ascii="Times New Roman" w:hAnsi="Times New Roman"/>
          <w:noProof/>
          <w:sz w:val="24"/>
        </w:rPr>
        <w:t xml:space="preserve">. </w:t>
      </w:r>
    </w:p>
    <w:p w14:paraId="7534C714" w14:textId="0F6BF28D" w:rsidR="00E84C64" w:rsidRPr="00B357A8" w:rsidRDefault="00E84C64" w:rsidP="00E84C64">
      <w:pPr>
        <w:pStyle w:val="Caption"/>
        <w:keepNext/>
        <w:jc w:val="center"/>
        <w:rPr>
          <w:noProof/>
          <w:sz w:val="16"/>
          <w:lang w:val="en-GB"/>
        </w:rPr>
      </w:pPr>
      <w:r w:rsidRPr="00B357A8">
        <w:rPr>
          <w:noProof/>
          <w:sz w:val="16"/>
          <w:lang w:val="en-GB"/>
        </w:rPr>
        <w:t>Collection of statistics concerning information exchange</w:t>
      </w:r>
    </w:p>
    <w:p w14:paraId="42695A47" w14:textId="17A4E6D1" w:rsidR="00E84C64" w:rsidRPr="00B357A8" w:rsidRDefault="00E84C64" w:rsidP="00B357A8">
      <w:pPr>
        <w:pStyle w:val="Body"/>
        <w:spacing w:after="0"/>
        <w:rPr>
          <w:rStyle w:val="Subtitle21"/>
          <w:i w:val="0"/>
          <w:iCs w:val="0"/>
          <w:noProof/>
          <w:color w:val="auto"/>
          <w:sz w:val="20"/>
        </w:rPr>
      </w:pPr>
      <w:r w:rsidRPr="00974992">
        <w:rPr>
          <w:noProof/>
          <w:lang w:eastAsia="en-GB"/>
        </w:rPr>
        <w:drawing>
          <wp:inline distT="0" distB="0" distL="0" distR="0" wp14:anchorId="0070D685" wp14:editId="03E2645E">
            <wp:extent cx="6120765" cy="6209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r="25691" b="26964"/>
                    <a:stretch/>
                  </pic:blipFill>
                  <pic:spPr bwMode="auto">
                    <a:xfrm>
                      <a:off x="0" y="0"/>
                      <a:ext cx="6151998" cy="624142"/>
                    </a:xfrm>
                    <a:prstGeom prst="rect">
                      <a:avLst/>
                    </a:prstGeom>
                    <a:noFill/>
                    <a:ln>
                      <a:noFill/>
                    </a:ln>
                    <a:extLst>
                      <a:ext uri="{53640926-AAD7-44D8-BBD7-CCE9431645EC}">
                        <a14:shadowObscured xmlns:a14="http://schemas.microsoft.com/office/drawing/2010/main"/>
                      </a:ext>
                    </a:extLst>
                  </pic:spPr>
                </pic:pic>
              </a:graphicData>
            </a:graphic>
          </wp:inline>
        </w:drawing>
      </w:r>
      <w:r w:rsidRPr="009C1BCF">
        <w:rPr>
          <w:rStyle w:val="Subtitle21"/>
          <w:noProof/>
          <w:sz w:val="16"/>
          <w:szCs w:val="16"/>
        </w:rPr>
        <w:t>*</w:t>
      </w:r>
      <w:r>
        <w:rPr>
          <w:rStyle w:val="Subtitle21"/>
          <w:noProof/>
          <w:sz w:val="16"/>
          <w:szCs w:val="16"/>
        </w:rPr>
        <w:t>Blue cells: statistics are collected. Grey cells: no data available</w:t>
      </w:r>
    </w:p>
    <w:p w14:paraId="5EB92943" w14:textId="460961DF" w:rsidR="00E84C64" w:rsidRPr="008206A8" w:rsidRDefault="00D04F27" w:rsidP="00B357A8">
      <w:pPr>
        <w:pStyle w:val="Body"/>
        <w:spacing w:after="120"/>
        <w:jc w:val="center"/>
        <w:rPr>
          <w:rStyle w:val="SubtleEmphasis"/>
          <w:noProof/>
        </w:rPr>
      </w:pPr>
      <w:r>
        <w:rPr>
          <w:rStyle w:val="SubtleEmphasis"/>
          <w:noProof/>
        </w:rPr>
        <w:t xml:space="preserve">Source: </w:t>
      </w:r>
      <w:r w:rsidR="00E84C64">
        <w:rPr>
          <w:rStyle w:val="SubtleEmphasis"/>
          <w:noProof/>
        </w:rPr>
        <w:t>EY/RAND Study'</w:t>
      </w:r>
      <w:r w:rsidR="00E84C64" w:rsidRPr="007F1CC0">
        <w:rPr>
          <w:rStyle w:val="SubtleEmphasis"/>
          <w:noProof/>
        </w:rPr>
        <w:t xml:space="preserve"> elaboration based on </w:t>
      </w:r>
      <w:r w:rsidR="00E84C64">
        <w:rPr>
          <w:rStyle w:val="SubtleEmphasis"/>
          <w:noProof/>
        </w:rPr>
        <w:t>desk research</w:t>
      </w:r>
    </w:p>
    <w:p w14:paraId="322EA37B" w14:textId="77777777" w:rsidR="00C76702" w:rsidRPr="0051456A" w:rsidRDefault="00C76702" w:rsidP="005B7685">
      <w:pPr>
        <w:pStyle w:val="Body"/>
        <w:spacing w:after="120"/>
        <w:jc w:val="both"/>
        <w:rPr>
          <w:rFonts w:ascii="Times New Roman" w:hAnsi="Times New Roman"/>
          <w:i/>
          <w:noProof/>
          <w:sz w:val="24"/>
          <w:szCs w:val="24"/>
        </w:rPr>
      </w:pPr>
      <w:r w:rsidRPr="0051456A">
        <w:rPr>
          <w:rFonts w:ascii="Times New Roman" w:hAnsi="Times New Roman"/>
          <w:i/>
          <w:noProof/>
          <w:sz w:val="24"/>
          <w:szCs w:val="24"/>
        </w:rPr>
        <w:t>Deadlines are usually not met when a judicial authorisa</w:t>
      </w:r>
      <w:r>
        <w:rPr>
          <w:rFonts w:ascii="Times New Roman" w:hAnsi="Times New Roman"/>
          <w:i/>
          <w:noProof/>
          <w:sz w:val="24"/>
          <w:szCs w:val="24"/>
        </w:rPr>
        <w:t xml:space="preserve">tion is required to deliver the </w:t>
      </w:r>
      <w:r w:rsidRPr="0051456A">
        <w:rPr>
          <w:rFonts w:ascii="Times New Roman" w:hAnsi="Times New Roman"/>
          <w:i/>
          <w:noProof/>
          <w:sz w:val="24"/>
          <w:szCs w:val="24"/>
        </w:rPr>
        <w:t>requested information</w:t>
      </w:r>
      <w:r w:rsidR="003047C7">
        <w:rPr>
          <w:rFonts w:ascii="Times New Roman" w:hAnsi="Times New Roman"/>
          <w:i/>
          <w:noProof/>
          <w:sz w:val="24"/>
          <w:szCs w:val="24"/>
        </w:rPr>
        <w:t>.</w:t>
      </w:r>
    </w:p>
    <w:p w14:paraId="42428478" w14:textId="2393F74E" w:rsidR="00C76702" w:rsidRDefault="00C76702" w:rsidP="005B7685">
      <w:pPr>
        <w:pStyle w:val="Body"/>
        <w:spacing w:after="120"/>
        <w:jc w:val="both"/>
        <w:rPr>
          <w:rFonts w:ascii="Times New Roman" w:hAnsi="Times New Roman"/>
          <w:noProof/>
          <w:sz w:val="24"/>
          <w:szCs w:val="24"/>
        </w:rPr>
      </w:pPr>
      <w:r w:rsidRPr="0051456A">
        <w:rPr>
          <w:rFonts w:ascii="Times New Roman" w:hAnsi="Times New Roman"/>
          <w:noProof/>
          <w:sz w:val="24"/>
          <w:szCs w:val="24"/>
        </w:rPr>
        <w:t xml:space="preserve">Indeed, the more authorities </w:t>
      </w:r>
      <w:r w:rsidR="003047C7">
        <w:rPr>
          <w:rFonts w:ascii="Times New Roman" w:hAnsi="Times New Roman"/>
          <w:noProof/>
          <w:sz w:val="24"/>
          <w:szCs w:val="24"/>
        </w:rPr>
        <w:t xml:space="preserve">are </w:t>
      </w:r>
      <w:r w:rsidRPr="0051456A">
        <w:rPr>
          <w:rFonts w:ascii="Times New Roman" w:hAnsi="Times New Roman"/>
          <w:noProof/>
          <w:sz w:val="24"/>
          <w:szCs w:val="24"/>
        </w:rPr>
        <w:t>concerned, the more procedural steps have to be followed, hence the need for additional time to cope with all procedures</w:t>
      </w:r>
      <w:r w:rsidR="00A608D8" w:rsidRPr="001829EF">
        <w:rPr>
          <w:rFonts w:ascii="Times New Roman" w:hAnsi="Times New Roman"/>
          <w:noProof/>
          <w:sz w:val="24"/>
          <w:szCs w:val="24"/>
          <w:vertAlign w:val="superscript"/>
        </w:rPr>
        <w:footnoteReference w:id="32"/>
      </w:r>
      <w:r w:rsidRPr="0051456A">
        <w:rPr>
          <w:rFonts w:ascii="Times New Roman" w:hAnsi="Times New Roman"/>
          <w:noProof/>
          <w:sz w:val="24"/>
          <w:szCs w:val="24"/>
        </w:rPr>
        <w:t>.</w:t>
      </w:r>
      <w:r>
        <w:rPr>
          <w:rFonts w:ascii="Times New Roman" w:hAnsi="Times New Roman"/>
          <w:noProof/>
          <w:sz w:val="24"/>
          <w:szCs w:val="24"/>
        </w:rPr>
        <w:t xml:space="preserve"> </w:t>
      </w:r>
      <w:r w:rsidR="00635B22">
        <w:rPr>
          <w:rFonts w:ascii="Times New Roman" w:hAnsi="Times New Roman"/>
          <w:noProof/>
          <w:sz w:val="24"/>
          <w:szCs w:val="24"/>
        </w:rPr>
        <w:t>R</w:t>
      </w:r>
      <w:r w:rsidR="0018040E" w:rsidRPr="0051456A">
        <w:rPr>
          <w:rFonts w:ascii="Times New Roman" w:hAnsi="Times New Roman"/>
          <w:noProof/>
          <w:sz w:val="24"/>
          <w:szCs w:val="24"/>
        </w:rPr>
        <w:t xml:space="preserve">epresentatives from national judicial authorities have pointed out </w:t>
      </w:r>
      <w:r w:rsidRPr="0051456A">
        <w:rPr>
          <w:rFonts w:ascii="Times New Roman" w:hAnsi="Times New Roman"/>
          <w:noProof/>
          <w:sz w:val="24"/>
          <w:szCs w:val="24"/>
        </w:rPr>
        <w:t>that the EU legal bas</w:t>
      </w:r>
      <w:r w:rsidR="001D573E">
        <w:rPr>
          <w:rFonts w:ascii="Times New Roman" w:hAnsi="Times New Roman"/>
          <w:noProof/>
          <w:sz w:val="24"/>
          <w:szCs w:val="24"/>
        </w:rPr>
        <w:t>e</w:t>
      </w:r>
      <w:r w:rsidRPr="0051456A">
        <w:rPr>
          <w:rFonts w:ascii="Times New Roman" w:hAnsi="Times New Roman"/>
          <w:noProof/>
          <w:sz w:val="24"/>
          <w:szCs w:val="24"/>
        </w:rPr>
        <w:t xml:space="preserve">s for information exchange in law enforcement cooperation is complex, creating burdensome, laborious and </w:t>
      </w:r>
      <w:r w:rsidR="00FD0B2F">
        <w:rPr>
          <w:rFonts w:ascii="Times New Roman" w:hAnsi="Times New Roman"/>
          <w:noProof/>
          <w:sz w:val="24"/>
          <w:szCs w:val="24"/>
        </w:rPr>
        <w:t>unclear</w:t>
      </w:r>
      <w:r w:rsidRPr="0051456A">
        <w:rPr>
          <w:rFonts w:ascii="Times New Roman" w:hAnsi="Times New Roman"/>
          <w:noProof/>
          <w:sz w:val="24"/>
          <w:szCs w:val="24"/>
        </w:rPr>
        <w:t xml:space="preserve"> processes to be followed</w:t>
      </w:r>
      <w:r w:rsidRPr="0051456A">
        <w:rPr>
          <w:rFonts w:ascii="Times New Roman" w:hAnsi="Times New Roman"/>
          <w:noProof/>
          <w:sz w:val="24"/>
          <w:szCs w:val="24"/>
          <w:vertAlign w:val="superscript"/>
        </w:rPr>
        <w:footnoteReference w:id="33"/>
      </w:r>
      <w:r>
        <w:rPr>
          <w:rFonts w:ascii="Times New Roman" w:hAnsi="Times New Roman"/>
          <w:noProof/>
          <w:sz w:val="24"/>
          <w:szCs w:val="24"/>
        </w:rPr>
        <w:t>.</w:t>
      </w:r>
    </w:p>
    <w:p w14:paraId="52391699" w14:textId="698F3C57" w:rsidR="00C76702" w:rsidRDefault="00C76702" w:rsidP="005B7685">
      <w:pPr>
        <w:pStyle w:val="Body"/>
        <w:spacing w:after="120"/>
        <w:jc w:val="both"/>
        <w:rPr>
          <w:rFonts w:ascii="Times New Roman" w:hAnsi="Times New Roman"/>
          <w:noProof/>
          <w:sz w:val="24"/>
          <w:szCs w:val="24"/>
        </w:rPr>
      </w:pPr>
      <w:r w:rsidRPr="0051456A">
        <w:rPr>
          <w:rFonts w:ascii="Times New Roman" w:hAnsi="Times New Roman"/>
          <w:noProof/>
          <w:sz w:val="24"/>
          <w:szCs w:val="24"/>
        </w:rPr>
        <w:t xml:space="preserve">This issue is further exacerbated by the fact that what is regarded as an information request for police </w:t>
      </w:r>
      <w:r w:rsidR="00FD0B2F">
        <w:rPr>
          <w:rFonts w:ascii="Times New Roman" w:hAnsi="Times New Roman"/>
          <w:noProof/>
          <w:sz w:val="24"/>
          <w:szCs w:val="24"/>
        </w:rPr>
        <w:t>officers</w:t>
      </w:r>
      <w:r w:rsidR="00FD0B2F" w:rsidRPr="0051456A">
        <w:rPr>
          <w:rFonts w:ascii="Times New Roman" w:hAnsi="Times New Roman"/>
          <w:noProof/>
          <w:sz w:val="24"/>
          <w:szCs w:val="24"/>
        </w:rPr>
        <w:t xml:space="preserve"> </w:t>
      </w:r>
      <w:r w:rsidRPr="0051456A">
        <w:rPr>
          <w:rFonts w:ascii="Times New Roman" w:hAnsi="Times New Roman"/>
          <w:noProof/>
          <w:sz w:val="24"/>
          <w:szCs w:val="24"/>
        </w:rPr>
        <w:t>in one country might be regarded as an information request for judicial authorities in another country</w:t>
      </w:r>
      <w:r w:rsidR="00635B22">
        <w:rPr>
          <w:rFonts w:ascii="Times New Roman" w:hAnsi="Times New Roman"/>
          <w:noProof/>
          <w:sz w:val="24"/>
          <w:szCs w:val="24"/>
        </w:rPr>
        <w:t>, depending on the rules at national level</w:t>
      </w:r>
      <w:r w:rsidRPr="0051456A">
        <w:rPr>
          <w:rFonts w:ascii="Times New Roman" w:hAnsi="Times New Roman"/>
          <w:noProof/>
          <w:sz w:val="24"/>
          <w:szCs w:val="24"/>
        </w:rPr>
        <w:t>. Hence, different authorities may be concerned depending on the specific national institutional framework, further undermining the ov</w:t>
      </w:r>
      <w:r>
        <w:rPr>
          <w:rFonts w:ascii="Times New Roman" w:hAnsi="Times New Roman"/>
          <w:noProof/>
          <w:sz w:val="24"/>
          <w:szCs w:val="24"/>
        </w:rPr>
        <w:t>erall efficiency of the process</w:t>
      </w:r>
      <w:r w:rsidRPr="0051456A">
        <w:rPr>
          <w:rFonts w:ascii="Times New Roman" w:hAnsi="Times New Roman"/>
          <w:noProof/>
          <w:sz w:val="24"/>
          <w:szCs w:val="24"/>
          <w:vertAlign w:val="superscript"/>
        </w:rPr>
        <w:footnoteReference w:id="34"/>
      </w:r>
      <w:r>
        <w:rPr>
          <w:rFonts w:ascii="Times New Roman" w:hAnsi="Times New Roman"/>
          <w:noProof/>
          <w:sz w:val="24"/>
          <w:szCs w:val="24"/>
        </w:rPr>
        <w:t>.</w:t>
      </w:r>
      <w:r w:rsidR="006412C2">
        <w:rPr>
          <w:rFonts w:ascii="Times New Roman" w:hAnsi="Times New Roman"/>
          <w:noProof/>
          <w:sz w:val="24"/>
          <w:szCs w:val="24"/>
        </w:rPr>
        <w:t xml:space="preserve"> Furthermore, </w:t>
      </w:r>
      <w:r w:rsidRPr="0051456A">
        <w:rPr>
          <w:rFonts w:ascii="Times New Roman" w:hAnsi="Times New Roman"/>
          <w:noProof/>
          <w:sz w:val="24"/>
          <w:szCs w:val="24"/>
        </w:rPr>
        <w:t xml:space="preserve">there is no obligation to have a judicial authority </w:t>
      </w:r>
      <w:r w:rsidR="006C2129">
        <w:rPr>
          <w:rFonts w:ascii="Times New Roman" w:hAnsi="Times New Roman"/>
          <w:noProof/>
          <w:sz w:val="24"/>
          <w:szCs w:val="24"/>
        </w:rPr>
        <w:t xml:space="preserve">functionally </w:t>
      </w:r>
      <w:r w:rsidRPr="0051456A">
        <w:rPr>
          <w:rFonts w:ascii="Times New Roman" w:hAnsi="Times New Roman"/>
          <w:noProof/>
          <w:sz w:val="24"/>
          <w:szCs w:val="24"/>
        </w:rPr>
        <w:t xml:space="preserve">available 24/7 within the </w:t>
      </w:r>
      <w:r>
        <w:rPr>
          <w:rFonts w:ascii="Times New Roman" w:hAnsi="Times New Roman"/>
          <w:noProof/>
          <w:sz w:val="24"/>
          <w:szCs w:val="24"/>
        </w:rPr>
        <w:t>national Single Point of Contact (SPOC – national information hub centralising the reception, processing and the sending of the information – in and out)</w:t>
      </w:r>
      <w:r w:rsidRPr="0051456A">
        <w:rPr>
          <w:rFonts w:ascii="Times New Roman" w:hAnsi="Times New Roman"/>
          <w:noProof/>
          <w:sz w:val="24"/>
          <w:szCs w:val="24"/>
        </w:rPr>
        <w:t>, thereby slowing down the judicial authorisation process, where it is needed.</w:t>
      </w:r>
    </w:p>
    <w:p w14:paraId="6803ABE2" w14:textId="77777777" w:rsidR="00C76702" w:rsidRDefault="00C76702" w:rsidP="005B7685">
      <w:pPr>
        <w:pStyle w:val="Body"/>
        <w:spacing w:after="120"/>
        <w:jc w:val="both"/>
        <w:rPr>
          <w:rFonts w:ascii="Times New Roman" w:hAnsi="Times New Roman"/>
          <w:i/>
          <w:noProof/>
          <w:sz w:val="24"/>
          <w:szCs w:val="24"/>
        </w:rPr>
      </w:pPr>
      <w:r w:rsidRPr="00733C6A">
        <w:rPr>
          <w:rFonts w:ascii="Times New Roman" w:hAnsi="Times New Roman"/>
          <w:i/>
          <w:noProof/>
          <w:sz w:val="24"/>
          <w:szCs w:val="24"/>
        </w:rPr>
        <w:t xml:space="preserve">The distinction between </w:t>
      </w:r>
      <w:r>
        <w:rPr>
          <w:rFonts w:ascii="Times New Roman" w:hAnsi="Times New Roman"/>
          <w:i/>
          <w:noProof/>
          <w:sz w:val="24"/>
          <w:szCs w:val="24"/>
        </w:rPr>
        <w:t>"</w:t>
      </w:r>
      <w:r w:rsidRPr="00733C6A">
        <w:rPr>
          <w:rFonts w:ascii="Times New Roman" w:hAnsi="Times New Roman"/>
          <w:i/>
          <w:noProof/>
          <w:sz w:val="24"/>
          <w:szCs w:val="24"/>
        </w:rPr>
        <w:t>urgent</w:t>
      </w:r>
      <w:r>
        <w:rPr>
          <w:rFonts w:ascii="Times New Roman" w:hAnsi="Times New Roman"/>
          <w:i/>
          <w:noProof/>
          <w:sz w:val="24"/>
          <w:szCs w:val="24"/>
        </w:rPr>
        <w:t>"</w:t>
      </w:r>
      <w:r w:rsidR="001D573E">
        <w:rPr>
          <w:rFonts w:ascii="Times New Roman" w:hAnsi="Times New Roman"/>
          <w:i/>
          <w:noProof/>
          <w:sz w:val="24"/>
          <w:szCs w:val="24"/>
        </w:rPr>
        <w:t>,</w:t>
      </w:r>
      <w:r w:rsidRPr="00733C6A">
        <w:rPr>
          <w:rFonts w:ascii="Times New Roman" w:hAnsi="Times New Roman"/>
          <w:i/>
          <w:noProof/>
          <w:sz w:val="24"/>
          <w:szCs w:val="24"/>
        </w:rPr>
        <w:t xml:space="preserve"> </w:t>
      </w:r>
      <w:r>
        <w:rPr>
          <w:rFonts w:ascii="Times New Roman" w:hAnsi="Times New Roman"/>
          <w:i/>
          <w:noProof/>
          <w:sz w:val="24"/>
          <w:szCs w:val="24"/>
        </w:rPr>
        <w:t>"</w:t>
      </w:r>
      <w:r w:rsidRPr="00733C6A">
        <w:rPr>
          <w:rFonts w:ascii="Times New Roman" w:hAnsi="Times New Roman"/>
          <w:i/>
          <w:noProof/>
          <w:sz w:val="24"/>
          <w:szCs w:val="24"/>
        </w:rPr>
        <w:t>non-urgent</w:t>
      </w:r>
      <w:r>
        <w:rPr>
          <w:rFonts w:ascii="Times New Roman" w:hAnsi="Times New Roman"/>
          <w:i/>
          <w:noProof/>
          <w:sz w:val="24"/>
          <w:szCs w:val="24"/>
        </w:rPr>
        <w:t>"</w:t>
      </w:r>
      <w:r w:rsidRPr="00CA2969">
        <w:rPr>
          <w:rFonts w:ascii="Times New Roman" w:hAnsi="Times New Roman"/>
          <w:i/>
          <w:noProof/>
          <w:sz w:val="24"/>
          <w:szCs w:val="24"/>
        </w:rPr>
        <w:t xml:space="preserve"> and "</w:t>
      </w:r>
      <w:r>
        <w:rPr>
          <w:rFonts w:ascii="Times New Roman" w:hAnsi="Times New Roman"/>
          <w:i/>
          <w:noProof/>
          <w:sz w:val="24"/>
          <w:szCs w:val="24"/>
        </w:rPr>
        <w:t>all other</w:t>
      </w:r>
      <w:r w:rsidRPr="00CA2969">
        <w:rPr>
          <w:rFonts w:ascii="Times New Roman" w:hAnsi="Times New Roman"/>
          <w:i/>
          <w:noProof/>
          <w:sz w:val="24"/>
          <w:szCs w:val="24"/>
        </w:rPr>
        <w:t>"</w:t>
      </w:r>
      <w:r w:rsidRPr="00857D06">
        <w:rPr>
          <w:rFonts w:ascii="Times New Roman" w:hAnsi="Times New Roman"/>
          <w:noProof/>
          <w:sz w:val="24"/>
          <w:szCs w:val="24"/>
        </w:rPr>
        <w:t xml:space="preserve"> </w:t>
      </w:r>
      <w:r w:rsidRPr="00733C6A">
        <w:rPr>
          <w:rFonts w:ascii="Times New Roman" w:hAnsi="Times New Roman"/>
          <w:i/>
          <w:noProof/>
          <w:sz w:val="24"/>
          <w:szCs w:val="24"/>
        </w:rPr>
        <w:t>cases provided for in the SFD and the SFD forms to be used (on a voluntary basis) for information exchange is unclear and (unnecessarily) complex</w:t>
      </w:r>
      <w:r>
        <w:rPr>
          <w:rFonts w:ascii="Times New Roman" w:hAnsi="Times New Roman"/>
          <w:i/>
          <w:noProof/>
          <w:sz w:val="24"/>
          <w:szCs w:val="24"/>
        </w:rPr>
        <w:t>.</w:t>
      </w:r>
    </w:p>
    <w:p w14:paraId="6FE5E686" w14:textId="004A8974" w:rsidR="00C76702" w:rsidRPr="00733C6A" w:rsidRDefault="00C76702" w:rsidP="00EB7963">
      <w:pPr>
        <w:pStyle w:val="Body"/>
        <w:spacing w:after="120"/>
        <w:jc w:val="both"/>
        <w:rPr>
          <w:rFonts w:ascii="Times New Roman" w:hAnsi="Times New Roman"/>
          <w:i/>
          <w:noProof/>
          <w:sz w:val="24"/>
          <w:szCs w:val="24"/>
        </w:rPr>
      </w:pPr>
      <w:r w:rsidRPr="00733C6A">
        <w:rPr>
          <w:rFonts w:ascii="Times New Roman" w:hAnsi="Times New Roman"/>
          <w:noProof/>
          <w:sz w:val="24"/>
          <w:szCs w:val="24"/>
        </w:rPr>
        <w:t>Th</w:t>
      </w:r>
      <w:r>
        <w:rPr>
          <w:rFonts w:ascii="Times New Roman" w:hAnsi="Times New Roman"/>
          <w:noProof/>
          <w:sz w:val="24"/>
          <w:szCs w:val="24"/>
        </w:rPr>
        <w:t xml:space="preserve">e SFD does not define </w:t>
      </w:r>
      <w:r w:rsidRPr="00CA2969">
        <w:rPr>
          <w:rFonts w:ascii="Times New Roman" w:hAnsi="Times New Roman"/>
          <w:noProof/>
          <w:sz w:val="24"/>
          <w:szCs w:val="24"/>
        </w:rPr>
        <w:t>"urgent cases",</w:t>
      </w:r>
      <w:r>
        <w:rPr>
          <w:rFonts w:ascii="Times New Roman" w:hAnsi="Times New Roman"/>
          <w:noProof/>
          <w:sz w:val="24"/>
          <w:szCs w:val="24"/>
        </w:rPr>
        <w:t xml:space="preserve"> "</w:t>
      </w:r>
      <w:r w:rsidRPr="00733C6A">
        <w:rPr>
          <w:rFonts w:ascii="Times New Roman" w:hAnsi="Times New Roman"/>
          <w:noProof/>
          <w:sz w:val="24"/>
          <w:szCs w:val="24"/>
        </w:rPr>
        <w:t>no</w:t>
      </w:r>
      <w:r w:rsidR="00080A61">
        <w:rPr>
          <w:rFonts w:ascii="Times New Roman" w:hAnsi="Times New Roman"/>
          <w:noProof/>
          <w:sz w:val="24"/>
          <w:szCs w:val="24"/>
        </w:rPr>
        <w:t>n-</w:t>
      </w:r>
      <w:r w:rsidRPr="00733C6A">
        <w:rPr>
          <w:rFonts w:ascii="Times New Roman" w:hAnsi="Times New Roman"/>
          <w:noProof/>
          <w:sz w:val="24"/>
          <w:szCs w:val="24"/>
        </w:rPr>
        <w:t xml:space="preserve"> urgent cases</w:t>
      </w:r>
      <w:r>
        <w:rPr>
          <w:rFonts w:ascii="Times New Roman" w:hAnsi="Times New Roman"/>
          <w:noProof/>
          <w:sz w:val="24"/>
          <w:szCs w:val="24"/>
        </w:rPr>
        <w:t>" and "</w:t>
      </w:r>
      <w:r w:rsidRPr="00733C6A">
        <w:rPr>
          <w:rFonts w:ascii="Times New Roman" w:hAnsi="Times New Roman"/>
          <w:noProof/>
          <w:sz w:val="24"/>
          <w:szCs w:val="24"/>
        </w:rPr>
        <w:t>all other cases</w:t>
      </w:r>
      <w:r>
        <w:rPr>
          <w:rFonts w:ascii="Times New Roman" w:hAnsi="Times New Roman"/>
          <w:noProof/>
          <w:sz w:val="24"/>
          <w:szCs w:val="24"/>
        </w:rPr>
        <w:t>"</w:t>
      </w:r>
      <w:r w:rsidRPr="00733C6A">
        <w:rPr>
          <w:rFonts w:ascii="Times New Roman" w:hAnsi="Times New Roman"/>
          <w:noProof/>
          <w:sz w:val="24"/>
          <w:szCs w:val="24"/>
        </w:rPr>
        <w:t xml:space="preserve">, which are deductively identified as those not fitting the </w:t>
      </w:r>
      <w:r>
        <w:rPr>
          <w:rFonts w:ascii="Times New Roman" w:hAnsi="Times New Roman"/>
          <w:noProof/>
          <w:sz w:val="24"/>
          <w:szCs w:val="24"/>
        </w:rPr>
        <w:t>"</w:t>
      </w:r>
      <w:r w:rsidRPr="00733C6A">
        <w:rPr>
          <w:rFonts w:ascii="Times New Roman" w:hAnsi="Times New Roman"/>
          <w:noProof/>
          <w:sz w:val="24"/>
          <w:szCs w:val="24"/>
        </w:rPr>
        <w:t>urgency criteria</w:t>
      </w:r>
      <w:r>
        <w:rPr>
          <w:rFonts w:ascii="Times New Roman" w:hAnsi="Times New Roman"/>
          <w:noProof/>
          <w:sz w:val="24"/>
          <w:szCs w:val="24"/>
        </w:rPr>
        <w:t xml:space="preserve">". Such a </w:t>
      </w:r>
      <w:r w:rsidRPr="00733C6A">
        <w:rPr>
          <w:rFonts w:ascii="Times New Roman" w:hAnsi="Times New Roman"/>
          <w:noProof/>
          <w:sz w:val="24"/>
          <w:szCs w:val="24"/>
        </w:rPr>
        <w:t>deductive process takes time</w:t>
      </w:r>
      <w:r>
        <w:rPr>
          <w:rFonts w:ascii="Times New Roman" w:hAnsi="Times New Roman"/>
          <w:noProof/>
          <w:sz w:val="24"/>
          <w:szCs w:val="24"/>
        </w:rPr>
        <w:t>.</w:t>
      </w:r>
      <w:r w:rsidRPr="00CA2969">
        <w:rPr>
          <w:rFonts w:ascii="Times New Roman" w:hAnsi="Times New Roman"/>
          <w:noProof/>
          <w:sz w:val="24"/>
          <w:szCs w:val="24"/>
        </w:rPr>
        <w:t xml:space="preserve"> </w:t>
      </w:r>
      <w:r>
        <w:rPr>
          <w:rFonts w:ascii="Times New Roman" w:hAnsi="Times New Roman"/>
          <w:noProof/>
          <w:sz w:val="24"/>
          <w:szCs w:val="24"/>
        </w:rPr>
        <w:t>Some guidance on the possible understanding of "urgency" is offered by Council (non-binding</w:t>
      </w:r>
      <w:r w:rsidR="00080A61">
        <w:rPr>
          <w:rFonts w:ascii="Times New Roman" w:hAnsi="Times New Roman"/>
          <w:noProof/>
          <w:sz w:val="24"/>
          <w:szCs w:val="24"/>
        </w:rPr>
        <w:t>)</w:t>
      </w:r>
      <w:r>
        <w:rPr>
          <w:rFonts w:ascii="Times New Roman" w:hAnsi="Times New Roman"/>
          <w:noProof/>
          <w:sz w:val="24"/>
          <w:szCs w:val="24"/>
        </w:rPr>
        <w:t xml:space="preserve"> guid</w:t>
      </w:r>
      <w:r w:rsidR="0025329A">
        <w:rPr>
          <w:rFonts w:ascii="Times New Roman" w:hAnsi="Times New Roman"/>
          <w:noProof/>
          <w:sz w:val="24"/>
          <w:szCs w:val="24"/>
        </w:rPr>
        <w:t>elines</w:t>
      </w:r>
      <w:r>
        <w:rPr>
          <w:rStyle w:val="FootnoteReference"/>
          <w:rFonts w:ascii="Times New Roman" w:hAnsi="Times New Roman"/>
          <w:noProof/>
          <w:sz w:val="24"/>
          <w:szCs w:val="24"/>
        </w:rPr>
        <w:footnoteReference w:id="35"/>
      </w:r>
      <w:r w:rsidR="0025329A">
        <w:rPr>
          <w:rFonts w:ascii="Times New Roman" w:hAnsi="Times New Roman"/>
          <w:noProof/>
          <w:sz w:val="24"/>
          <w:szCs w:val="24"/>
        </w:rPr>
        <w:t xml:space="preserve">, which, however, </w:t>
      </w:r>
      <w:r>
        <w:rPr>
          <w:rFonts w:ascii="Times New Roman" w:hAnsi="Times New Roman"/>
          <w:noProof/>
          <w:sz w:val="24"/>
          <w:szCs w:val="24"/>
        </w:rPr>
        <w:t>has not led to a convergence of national practices.</w:t>
      </w:r>
    </w:p>
    <w:p w14:paraId="0CFF4682" w14:textId="66807934" w:rsidR="00C76702" w:rsidRPr="00733C6A" w:rsidRDefault="00C76702" w:rsidP="00EB7963">
      <w:pPr>
        <w:pStyle w:val="Body"/>
        <w:spacing w:after="120"/>
        <w:jc w:val="both"/>
        <w:rPr>
          <w:rFonts w:ascii="Times New Roman" w:hAnsi="Times New Roman"/>
          <w:noProof/>
          <w:sz w:val="24"/>
          <w:szCs w:val="24"/>
        </w:rPr>
      </w:pPr>
      <w:r w:rsidRPr="00733C6A">
        <w:rPr>
          <w:rFonts w:ascii="Times New Roman" w:hAnsi="Times New Roman"/>
          <w:bCs/>
          <w:noProof/>
          <w:sz w:val="24"/>
          <w:szCs w:val="24"/>
        </w:rPr>
        <w:t>Moreover,</w:t>
      </w:r>
      <w:r w:rsidRPr="00733C6A">
        <w:rPr>
          <w:rFonts w:ascii="Times New Roman" w:hAnsi="Times New Roman"/>
          <w:b/>
          <w:noProof/>
          <w:sz w:val="24"/>
          <w:szCs w:val="24"/>
        </w:rPr>
        <w:t xml:space="preserve"> the forms for submitting and requesting information</w:t>
      </w:r>
      <w:r w:rsidRPr="00733C6A">
        <w:rPr>
          <w:rFonts w:ascii="Times New Roman" w:hAnsi="Times New Roman"/>
          <w:noProof/>
          <w:sz w:val="24"/>
          <w:szCs w:val="24"/>
        </w:rPr>
        <w:t xml:space="preserve"> included in the SFD are rarely used</w:t>
      </w:r>
      <w:r w:rsidRPr="00733C6A">
        <w:rPr>
          <w:rFonts w:ascii="Times New Roman" w:hAnsi="Times New Roman"/>
          <w:noProof/>
          <w:sz w:val="24"/>
          <w:szCs w:val="24"/>
          <w:vertAlign w:val="superscript"/>
        </w:rPr>
        <w:footnoteReference w:id="36"/>
      </w:r>
      <w:r>
        <w:rPr>
          <w:rFonts w:ascii="Times New Roman" w:hAnsi="Times New Roman"/>
          <w:noProof/>
          <w:sz w:val="24"/>
          <w:szCs w:val="24"/>
        </w:rPr>
        <w:t>.</w:t>
      </w:r>
      <w:r w:rsidRPr="00733C6A">
        <w:rPr>
          <w:rFonts w:ascii="Times New Roman" w:hAnsi="Times New Roman"/>
          <w:noProof/>
          <w:sz w:val="24"/>
          <w:szCs w:val="24"/>
        </w:rPr>
        <w:t xml:space="preserve"> The</w:t>
      </w:r>
      <w:r w:rsidR="003A62A9">
        <w:rPr>
          <w:rFonts w:ascii="Times New Roman" w:hAnsi="Times New Roman"/>
          <w:noProof/>
          <w:sz w:val="24"/>
          <w:szCs w:val="24"/>
        </w:rPr>
        <w:t>y</w:t>
      </w:r>
      <w:r w:rsidRPr="00733C6A">
        <w:rPr>
          <w:rFonts w:ascii="Times New Roman" w:hAnsi="Times New Roman"/>
          <w:noProof/>
          <w:sz w:val="24"/>
          <w:szCs w:val="24"/>
        </w:rPr>
        <w:t xml:space="preserve"> are considered time-consuming and labour intensive, and the Member States prefer  free-text </w:t>
      </w:r>
      <w:r>
        <w:rPr>
          <w:rFonts w:ascii="Times New Roman" w:hAnsi="Times New Roman"/>
          <w:noProof/>
          <w:sz w:val="24"/>
          <w:szCs w:val="24"/>
        </w:rPr>
        <w:t>messages</w:t>
      </w:r>
      <w:r w:rsidRPr="00733C6A">
        <w:rPr>
          <w:rFonts w:ascii="Times New Roman" w:hAnsi="Times New Roman"/>
          <w:noProof/>
          <w:sz w:val="24"/>
          <w:szCs w:val="24"/>
          <w:vertAlign w:val="superscript"/>
        </w:rPr>
        <w:footnoteReference w:id="37"/>
      </w:r>
      <w:r>
        <w:rPr>
          <w:rFonts w:ascii="Times New Roman" w:hAnsi="Times New Roman"/>
          <w:noProof/>
          <w:sz w:val="24"/>
          <w:szCs w:val="24"/>
        </w:rPr>
        <w:t>.</w:t>
      </w:r>
      <w:r w:rsidRPr="00733C6A">
        <w:rPr>
          <w:rFonts w:ascii="Times New Roman" w:hAnsi="Times New Roman"/>
          <w:noProof/>
          <w:sz w:val="24"/>
          <w:szCs w:val="24"/>
        </w:rPr>
        <w:t xml:space="preserve"> Hence, although the SFD forms were expected to boost a standardised and efficient exchange of information, their limited use results in a limited harmonisation of communication procedures.</w:t>
      </w:r>
    </w:p>
    <w:p w14:paraId="6179EB10" w14:textId="77777777" w:rsidR="00C76702" w:rsidRPr="00733C6A" w:rsidRDefault="00C76702" w:rsidP="00EB7963">
      <w:pPr>
        <w:pStyle w:val="Body"/>
        <w:spacing w:after="120"/>
        <w:jc w:val="both"/>
        <w:rPr>
          <w:rFonts w:ascii="Times New Roman" w:hAnsi="Times New Roman"/>
          <w:i/>
          <w:noProof/>
          <w:sz w:val="24"/>
          <w:szCs w:val="24"/>
        </w:rPr>
      </w:pPr>
      <w:r w:rsidRPr="00733C6A">
        <w:rPr>
          <w:rFonts w:ascii="Times New Roman" w:hAnsi="Times New Roman"/>
          <w:i/>
          <w:noProof/>
          <w:sz w:val="24"/>
          <w:szCs w:val="24"/>
        </w:rPr>
        <w:t>The Swedish Framework Decision is not aligned with the 2016 Law Enforcement Data Protection Directive</w:t>
      </w:r>
      <w:r w:rsidR="0018040E">
        <w:rPr>
          <w:rFonts w:ascii="Times New Roman" w:hAnsi="Times New Roman"/>
          <w:i/>
          <w:noProof/>
          <w:sz w:val="24"/>
          <w:szCs w:val="24"/>
        </w:rPr>
        <w:t>.</w:t>
      </w:r>
    </w:p>
    <w:p w14:paraId="1D3BA4A6" w14:textId="77777777" w:rsidR="00C76702" w:rsidRDefault="00C76702" w:rsidP="00EB7963">
      <w:pPr>
        <w:pStyle w:val="Body"/>
        <w:spacing w:after="120"/>
        <w:jc w:val="both"/>
        <w:rPr>
          <w:rFonts w:ascii="Times New Roman" w:hAnsi="Times New Roman"/>
          <w:noProof/>
          <w:sz w:val="24"/>
          <w:szCs w:val="24"/>
        </w:rPr>
      </w:pPr>
      <w:r w:rsidRPr="00733C6A">
        <w:rPr>
          <w:rFonts w:ascii="Times New Roman" w:hAnsi="Times New Roman"/>
          <w:b/>
          <w:noProof/>
          <w:sz w:val="24"/>
          <w:szCs w:val="24"/>
        </w:rPr>
        <w:t>The exchange of personal data</w:t>
      </w:r>
      <w:r w:rsidRPr="00733C6A">
        <w:rPr>
          <w:rFonts w:ascii="Times New Roman" w:hAnsi="Times New Roman"/>
          <w:noProof/>
          <w:sz w:val="24"/>
          <w:szCs w:val="24"/>
        </w:rPr>
        <w:t xml:space="preserve"> pursuant to the SFD is not aligned with the 2016 Law Enforcement Data Protection Directive (LED)</w:t>
      </w:r>
      <w:r>
        <w:rPr>
          <w:rStyle w:val="FootnoteReference"/>
          <w:rFonts w:ascii="Times New Roman" w:hAnsi="Times New Roman"/>
          <w:noProof/>
          <w:sz w:val="24"/>
          <w:szCs w:val="24"/>
        </w:rPr>
        <w:footnoteReference w:id="38"/>
      </w:r>
      <w:r w:rsidRPr="00733C6A">
        <w:rPr>
          <w:rFonts w:ascii="Times New Roman" w:hAnsi="Times New Roman"/>
          <w:noProof/>
          <w:sz w:val="24"/>
          <w:szCs w:val="24"/>
        </w:rPr>
        <w:t xml:space="preserve">. Indeed, Article 8 SFD states that the use of the information and intelligence exchanged must be subject to the national data protection provisions of the Member State receiving the information, according to the same rules as if they had been gathered in that Member State. </w:t>
      </w:r>
    </w:p>
    <w:p w14:paraId="655F803F" w14:textId="152462B0" w:rsidR="00B0731B" w:rsidRDefault="00C76702" w:rsidP="00B0731B">
      <w:pPr>
        <w:pStyle w:val="Body"/>
        <w:spacing w:after="120"/>
        <w:jc w:val="both"/>
        <w:rPr>
          <w:rFonts w:ascii="Times New Roman" w:hAnsi="Times New Roman"/>
          <w:i/>
          <w:noProof/>
          <w:sz w:val="24"/>
          <w:szCs w:val="24"/>
        </w:rPr>
      </w:pPr>
      <w:r w:rsidRPr="00733C6A">
        <w:rPr>
          <w:rFonts w:ascii="Times New Roman" w:hAnsi="Times New Roman"/>
          <w:noProof/>
          <w:sz w:val="24"/>
          <w:szCs w:val="24"/>
        </w:rPr>
        <w:t xml:space="preserve">Moreover, when providing information and intelligence, the competent law enforcement authority may impose </w:t>
      </w:r>
      <w:r w:rsidR="003A62A9">
        <w:rPr>
          <w:rFonts w:ascii="Times New Roman" w:hAnsi="Times New Roman"/>
          <w:noProof/>
          <w:sz w:val="24"/>
          <w:szCs w:val="24"/>
        </w:rPr>
        <w:t xml:space="preserve">additional </w:t>
      </w:r>
      <w:r w:rsidRPr="00733C6A">
        <w:rPr>
          <w:rFonts w:ascii="Times New Roman" w:hAnsi="Times New Roman"/>
          <w:noProof/>
          <w:sz w:val="24"/>
          <w:szCs w:val="24"/>
        </w:rPr>
        <w:t>conditions that are in accordance with its national law on their use by the receiving competent law enforcement authority</w:t>
      </w:r>
      <w:r>
        <w:rPr>
          <w:rFonts w:ascii="Times New Roman" w:hAnsi="Times New Roman"/>
          <w:noProof/>
          <w:sz w:val="24"/>
          <w:szCs w:val="24"/>
        </w:rPr>
        <w:t>.</w:t>
      </w:r>
      <w:r w:rsidR="007B2A19">
        <w:rPr>
          <w:rFonts w:ascii="Times New Roman" w:hAnsi="Times New Roman"/>
          <w:noProof/>
          <w:sz w:val="24"/>
          <w:szCs w:val="24"/>
        </w:rPr>
        <w:t xml:space="preserve"> The Commission committed to "</w:t>
      </w:r>
      <w:r w:rsidR="007B2A19" w:rsidRPr="00704502">
        <w:rPr>
          <w:rFonts w:ascii="Times New Roman" w:hAnsi="Times New Roman"/>
          <w:i/>
          <w:noProof/>
          <w:sz w:val="24"/>
          <w:szCs w:val="24"/>
        </w:rPr>
        <w:t>make a legislative proposal, which as a minimum will entail an amendment of Council Framework Decision 2006/960/JHA to ensure the necessary data protection alignment, in the last quarter of 2021</w:t>
      </w:r>
      <w:r w:rsidR="00266E3D">
        <w:rPr>
          <w:rFonts w:ascii="Times New Roman" w:hAnsi="Times New Roman"/>
          <w:noProof/>
          <w:sz w:val="24"/>
          <w:szCs w:val="24"/>
        </w:rPr>
        <w:t>"</w:t>
      </w:r>
      <w:r w:rsidR="007B2A19" w:rsidRPr="00704502">
        <w:rPr>
          <w:rStyle w:val="FootnoteReference"/>
          <w:rFonts w:ascii="Times New Roman" w:hAnsi="Times New Roman"/>
          <w:noProof/>
          <w:sz w:val="24"/>
          <w:szCs w:val="24"/>
        </w:rPr>
        <w:footnoteReference w:id="39"/>
      </w:r>
      <w:r w:rsidR="007B2A19" w:rsidRPr="00704502">
        <w:rPr>
          <w:rFonts w:ascii="Times New Roman" w:hAnsi="Times New Roman"/>
          <w:noProof/>
          <w:sz w:val="24"/>
          <w:szCs w:val="24"/>
        </w:rPr>
        <w:t>.</w:t>
      </w:r>
      <w:r w:rsidR="00B0731B" w:rsidRPr="00B0731B">
        <w:rPr>
          <w:rFonts w:ascii="Times New Roman" w:hAnsi="Times New Roman"/>
          <w:i/>
          <w:noProof/>
          <w:sz w:val="24"/>
          <w:szCs w:val="24"/>
        </w:rPr>
        <w:t xml:space="preserve"> </w:t>
      </w:r>
    </w:p>
    <w:p w14:paraId="5D79538E" w14:textId="77777777" w:rsidR="00B0731B" w:rsidRDefault="00B0731B" w:rsidP="00B0731B">
      <w:pPr>
        <w:pStyle w:val="Body"/>
        <w:spacing w:after="120"/>
        <w:jc w:val="both"/>
        <w:rPr>
          <w:rFonts w:ascii="Times New Roman" w:hAnsi="Times New Roman"/>
          <w:i/>
          <w:noProof/>
          <w:sz w:val="24"/>
          <w:szCs w:val="24"/>
        </w:rPr>
      </w:pPr>
      <w:r>
        <w:rPr>
          <w:rFonts w:ascii="Times New Roman" w:hAnsi="Times New Roman"/>
          <w:i/>
          <w:noProof/>
          <w:sz w:val="24"/>
          <w:szCs w:val="24"/>
        </w:rPr>
        <w:t>In practice, law enforcement authorities do not have a clear understanding of the data available for possible exchange with their counterparts in other Member States</w:t>
      </w:r>
      <w:r w:rsidRPr="009807D1">
        <w:rPr>
          <w:rFonts w:ascii="Times New Roman" w:hAnsi="Times New Roman"/>
          <w:i/>
          <w:noProof/>
          <w:sz w:val="24"/>
          <w:szCs w:val="24"/>
        </w:rPr>
        <w:t>.</w:t>
      </w:r>
    </w:p>
    <w:p w14:paraId="12876221" w14:textId="649C10A4" w:rsidR="00C76702" w:rsidRPr="00B0731B" w:rsidRDefault="00B0731B" w:rsidP="00704502">
      <w:pPr>
        <w:pStyle w:val="Body"/>
        <w:spacing w:after="120"/>
        <w:jc w:val="both"/>
        <w:rPr>
          <w:rFonts w:ascii="Times New Roman" w:hAnsi="Times New Roman"/>
          <w:noProof/>
          <w:sz w:val="24"/>
        </w:rPr>
      </w:pPr>
      <w:r w:rsidRPr="00F52CB6">
        <w:rPr>
          <w:rFonts w:ascii="Times New Roman" w:hAnsi="Times New Roman"/>
          <w:noProof/>
          <w:sz w:val="24"/>
          <w:szCs w:val="16"/>
        </w:rPr>
        <w:t xml:space="preserve">The content of these </w:t>
      </w:r>
      <w:r w:rsidR="003A62A9">
        <w:rPr>
          <w:rFonts w:ascii="Times New Roman" w:hAnsi="Times New Roman"/>
          <w:noProof/>
          <w:sz w:val="24"/>
          <w:szCs w:val="16"/>
        </w:rPr>
        <w:t>data</w:t>
      </w:r>
      <w:r w:rsidR="003A62A9" w:rsidRPr="00F52CB6">
        <w:rPr>
          <w:rFonts w:ascii="Times New Roman" w:hAnsi="Times New Roman"/>
          <w:noProof/>
          <w:sz w:val="24"/>
          <w:szCs w:val="16"/>
        </w:rPr>
        <w:t xml:space="preserve"> </w:t>
      </w:r>
      <w:r w:rsidRPr="00F52CB6">
        <w:rPr>
          <w:rFonts w:ascii="Times New Roman" w:hAnsi="Times New Roman"/>
          <w:noProof/>
          <w:sz w:val="24"/>
          <w:szCs w:val="16"/>
        </w:rPr>
        <w:t>depends on national legislation</w:t>
      </w:r>
      <w:r w:rsidR="00361B10">
        <w:rPr>
          <w:rFonts w:ascii="Times New Roman" w:hAnsi="Times New Roman"/>
          <w:noProof/>
          <w:sz w:val="24"/>
          <w:szCs w:val="16"/>
        </w:rPr>
        <w:t>s</w:t>
      </w:r>
      <w:r w:rsidRPr="00F52CB6">
        <w:rPr>
          <w:rFonts w:ascii="Times New Roman" w:hAnsi="Times New Roman"/>
          <w:noProof/>
          <w:sz w:val="24"/>
          <w:szCs w:val="16"/>
        </w:rPr>
        <w:t>. The type of information available from each</w:t>
      </w:r>
      <w:r w:rsidR="00361B10">
        <w:rPr>
          <w:rFonts w:ascii="Times New Roman" w:hAnsi="Times New Roman"/>
          <w:noProof/>
          <w:sz w:val="24"/>
          <w:szCs w:val="16"/>
        </w:rPr>
        <w:t xml:space="preserve"> Member State is set out in </w:t>
      </w:r>
      <w:r w:rsidRPr="00F52CB6">
        <w:rPr>
          <w:rFonts w:ascii="Times New Roman" w:hAnsi="Times New Roman"/>
          <w:noProof/>
          <w:sz w:val="24"/>
          <w:szCs w:val="16"/>
        </w:rPr>
        <w:t xml:space="preserve">national </w:t>
      </w:r>
      <w:r w:rsidR="003A62A9">
        <w:rPr>
          <w:rFonts w:ascii="Times New Roman" w:hAnsi="Times New Roman"/>
          <w:noProof/>
          <w:sz w:val="24"/>
          <w:szCs w:val="16"/>
        </w:rPr>
        <w:t xml:space="preserve">fact </w:t>
      </w:r>
      <w:r w:rsidRPr="00F52CB6">
        <w:rPr>
          <w:rFonts w:ascii="Times New Roman" w:hAnsi="Times New Roman"/>
          <w:noProof/>
          <w:sz w:val="24"/>
          <w:szCs w:val="16"/>
        </w:rPr>
        <w:t>sheets (</w:t>
      </w:r>
      <w:r w:rsidR="0025329A">
        <w:rPr>
          <w:rFonts w:ascii="Times New Roman" w:hAnsi="Times New Roman"/>
          <w:noProof/>
          <w:sz w:val="24"/>
          <w:szCs w:val="16"/>
        </w:rPr>
        <w:t xml:space="preserve">compiled </w:t>
      </w:r>
      <w:r w:rsidR="003A62A9">
        <w:rPr>
          <w:rFonts w:ascii="Times New Roman" w:hAnsi="Times New Roman"/>
          <w:noProof/>
          <w:sz w:val="24"/>
          <w:szCs w:val="16"/>
        </w:rPr>
        <w:t>in</w:t>
      </w:r>
      <w:r w:rsidR="0025329A">
        <w:rPr>
          <w:rFonts w:ascii="Times New Roman" w:hAnsi="Times New Roman"/>
          <w:noProof/>
          <w:sz w:val="24"/>
          <w:szCs w:val="16"/>
        </w:rPr>
        <w:t xml:space="preserve"> </w:t>
      </w:r>
      <w:r w:rsidRPr="00F52CB6">
        <w:rPr>
          <w:rFonts w:ascii="Times New Roman" w:hAnsi="Times New Roman"/>
          <w:noProof/>
          <w:sz w:val="24"/>
          <w:szCs w:val="16"/>
        </w:rPr>
        <w:t>Council guidelines)</w:t>
      </w:r>
      <w:r w:rsidRPr="00F52CB6">
        <w:rPr>
          <w:rStyle w:val="FootnoteReference"/>
          <w:rFonts w:ascii="Times New Roman" w:hAnsi="Times New Roman"/>
          <w:noProof/>
          <w:sz w:val="24"/>
          <w:szCs w:val="16"/>
        </w:rPr>
        <w:footnoteReference w:id="40"/>
      </w:r>
      <w:r>
        <w:rPr>
          <w:rFonts w:ascii="Times New Roman" w:hAnsi="Times New Roman"/>
          <w:noProof/>
          <w:sz w:val="24"/>
          <w:szCs w:val="16"/>
        </w:rPr>
        <w:t xml:space="preserve">. Yet, the awareness of these national fact sheets remains limited. </w:t>
      </w:r>
      <w:r w:rsidR="001D573E">
        <w:rPr>
          <w:rFonts w:ascii="Times New Roman" w:hAnsi="Times New Roman"/>
          <w:noProof/>
          <w:sz w:val="24"/>
          <w:szCs w:val="16"/>
        </w:rPr>
        <w:t>This results</w:t>
      </w:r>
      <w:r>
        <w:rPr>
          <w:rFonts w:ascii="Times New Roman" w:hAnsi="Times New Roman"/>
          <w:bCs/>
          <w:noProof/>
          <w:sz w:val="24"/>
        </w:rPr>
        <w:t xml:space="preserve"> </w:t>
      </w:r>
      <w:r w:rsidRPr="0051456A">
        <w:rPr>
          <w:rFonts w:ascii="Times New Roman" w:hAnsi="Times New Roman"/>
          <w:noProof/>
          <w:sz w:val="24"/>
        </w:rPr>
        <w:t xml:space="preserve">in unnecessary </w:t>
      </w:r>
      <w:r>
        <w:rPr>
          <w:rFonts w:ascii="Times New Roman" w:hAnsi="Times New Roman"/>
          <w:noProof/>
          <w:sz w:val="24"/>
        </w:rPr>
        <w:t xml:space="preserve">wide requests leading to </w:t>
      </w:r>
      <w:r w:rsidR="001D573E">
        <w:rPr>
          <w:rFonts w:ascii="Times New Roman" w:hAnsi="Times New Roman"/>
          <w:noProof/>
          <w:sz w:val="24"/>
        </w:rPr>
        <w:t xml:space="preserve">lengthy </w:t>
      </w:r>
      <w:r>
        <w:rPr>
          <w:rFonts w:ascii="Times New Roman" w:hAnsi="Times New Roman"/>
          <w:noProof/>
          <w:sz w:val="24"/>
        </w:rPr>
        <w:t>processing</w:t>
      </w:r>
      <w:r w:rsidR="001D573E">
        <w:rPr>
          <w:rFonts w:ascii="Times New Roman" w:hAnsi="Times New Roman"/>
          <w:noProof/>
          <w:sz w:val="24"/>
        </w:rPr>
        <w:t xml:space="preserve"> time.</w:t>
      </w:r>
      <w:r>
        <w:rPr>
          <w:rFonts w:ascii="Times New Roman" w:hAnsi="Times New Roman"/>
          <w:noProof/>
          <w:sz w:val="24"/>
        </w:rPr>
        <w:t xml:space="preserve"> </w:t>
      </w:r>
      <w:r w:rsidRPr="0051456A">
        <w:rPr>
          <w:rFonts w:ascii="Times New Roman" w:hAnsi="Times New Roman"/>
          <w:noProof/>
          <w:sz w:val="24"/>
        </w:rPr>
        <w:t xml:space="preserve">In other instances, data that would </w:t>
      </w:r>
      <w:r w:rsidR="001D573E">
        <w:rPr>
          <w:rFonts w:ascii="Times New Roman" w:hAnsi="Times New Roman"/>
          <w:noProof/>
          <w:sz w:val="24"/>
        </w:rPr>
        <w:t>have been</w:t>
      </w:r>
      <w:r w:rsidRPr="0051456A">
        <w:rPr>
          <w:rFonts w:ascii="Times New Roman" w:hAnsi="Times New Roman"/>
          <w:noProof/>
          <w:sz w:val="24"/>
        </w:rPr>
        <w:t xml:space="preserve"> needed is not included in the exchange</w:t>
      </w:r>
      <w:r>
        <w:rPr>
          <w:rFonts w:ascii="Times New Roman" w:hAnsi="Times New Roman"/>
          <w:noProof/>
          <w:sz w:val="24"/>
        </w:rPr>
        <w:t xml:space="preserve"> while unnecessary one </w:t>
      </w:r>
      <w:r w:rsidR="003A62A9">
        <w:rPr>
          <w:rFonts w:ascii="Times New Roman" w:hAnsi="Times New Roman"/>
          <w:noProof/>
          <w:sz w:val="24"/>
        </w:rPr>
        <w:t xml:space="preserve">is </w:t>
      </w:r>
      <w:r>
        <w:rPr>
          <w:rFonts w:ascii="Times New Roman" w:hAnsi="Times New Roman"/>
          <w:noProof/>
          <w:sz w:val="24"/>
        </w:rPr>
        <w:t>provided.</w:t>
      </w:r>
    </w:p>
    <w:p w14:paraId="2D2FC3F4" w14:textId="2644D37C" w:rsidR="00C76702" w:rsidRPr="002F22A9" w:rsidRDefault="00173E60" w:rsidP="00173E60">
      <w:pPr>
        <w:pStyle w:val="Heading3"/>
        <w:rPr>
          <w:noProof/>
        </w:rPr>
      </w:pPr>
      <w:bookmarkStart w:id="19" w:name="_Toc74838154"/>
      <w:r w:rsidRPr="00173E60">
        <w:t>2.1.3.</w:t>
      </w:r>
      <w:r w:rsidRPr="00173E60">
        <w:tab/>
      </w:r>
      <w:r w:rsidR="00C76702" w:rsidRPr="002F22A9">
        <w:rPr>
          <w:noProof/>
        </w:rPr>
        <w:t xml:space="preserve"> </w:t>
      </w:r>
      <w:bookmarkStart w:id="20" w:name="_Toc83801015"/>
      <w:r w:rsidR="00C76702" w:rsidRPr="002F22A9">
        <w:rPr>
          <w:noProof/>
        </w:rPr>
        <w:t>How will the problem evolve without intervention?</w:t>
      </w:r>
      <w:bookmarkEnd w:id="19"/>
      <w:bookmarkEnd w:id="20"/>
      <w:r w:rsidR="00C76702" w:rsidRPr="002F22A9">
        <w:rPr>
          <w:noProof/>
        </w:rPr>
        <w:t xml:space="preserve"> </w:t>
      </w:r>
    </w:p>
    <w:p w14:paraId="1C7D4348" w14:textId="77777777" w:rsidR="00C76702" w:rsidRDefault="00C76702" w:rsidP="00EB7963">
      <w:pPr>
        <w:pStyle w:val="Body"/>
        <w:spacing w:after="120"/>
        <w:jc w:val="both"/>
        <w:rPr>
          <w:rFonts w:ascii="Times New Roman" w:hAnsi="Times New Roman"/>
          <w:noProof/>
          <w:sz w:val="24"/>
          <w:szCs w:val="24"/>
        </w:rPr>
      </w:pPr>
      <w:r w:rsidRPr="000A72D7">
        <w:rPr>
          <w:rFonts w:ascii="Times New Roman" w:hAnsi="Times New Roman"/>
          <w:noProof/>
          <w:sz w:val="24"/>
          <w:szCs w:val="24"/>
        </w:rPr>
        <w:t xml:space="preserve">Member States alone would not be able to </w:t>
      </w:r>
      <w:r>
        <w:rPr>
          <w:rFonts w:ascii="Times New Roman" w:hAnsi="Times New Roman"/>
          <w:noProof/>
          <w:sz w:val="24"/>
          <w:szCs w:val="24"/>
        </w:rPr>
        <w:t>ensure the full implementation of the principle</w:t>
      </w:r>
      <w:r w:rsidR="001D573E">
        <w:rPr>
          <w:rFonts w:ascii="Times New Roman" w:hAnsi="Times New Roman"/>
          <w:noProof/>
          <w:sz w:val="24"/>
          <w:szCs w:val="24"/>
        </w:rPr>
        <w:t>s</w:t>
      </w:r>
      <w:r>
        <w:rPr>
          <w:rFonts w:ascii="Times New Roman" w:hAnsi="Times New Roman"/>
          <w:noProof/>
          <w:sz w:val="24"/>
          <w:szCs w:val="24"/>
        </w:rPr>
        <w:t xml:space="preserve"> of </w:t>
      </w:r>
      <w:r w:rsidR="001D573E">
        <w:rPr>
          <w:rFonts w:ascii="Times New Roman" w:hAnsi="Times New Roman"/>
          <w:noProof/>
          <w:sz w:val="24"/>
          <w:szCs w:val="24"/>
        </w:rPr>
        <w:t xml:space="preserve">availability and </w:t>
      </w:r>
      <w:r>
        <w:rPr>
          <w:rFonts w:ascii="Times New Roman" w:hAnsi="Times New Roman"/>
          <w:noProof/>
          <w:sz w:val="24"/>
          <w:szCs w:val="24"/>
        </w:rPr>
        <w:t>equivalent access to information.</w:t>
      </w:r>
      <w:r w:rsidR="009D1687">
        <w:rPr>
          <w:rFonts w:ascii="Times New Roman" w:hAnsi="Times New Roman"/>
          <w:noProof/>
          <w:sz w:val="24"/>
          <w:szCs w:val="24"/>
        </w:rPr>
        <w:t xml:space="preserve"> </w:t>
      </w:r>
      <w:r w:rsidRPr="000A72D7">
        <w:rPr>
          <w:rFonts w:ascii="Times New Roman" w:hAnsi="Times New Roman"/>
          <w:noProof/>
          <w:sz w:val="24"/>
          <w:szCs w:val="24"/>
        </w:rPr>
        <w:t xml:space="preserve">This means that the current </w:t>
      </w:r>
      <w:r w:rsidRPr="00690016">
        <w:rPr>
          <w:rFonts w:ascii="Times New Roman" w:hAnsi="Times New Roman"/>
          <w:noProof/>
          <w:sz w:val="24"/>
          <w:szCs w:val="16"/>
        </w:rPr>
        <w:t xml:space="preserve">uncertainties with regard to the applicable legislation and </w:t>
      </w:r>
      <w:r w:rsidR="00266E3D">
        <w:rPr>
          <w:rFonts w:ascii="Times New Roman" w:hAnsi="Times New Roman"/>
          <w:noProof/>
          <w:sz w:val="24"/>
          <w:szCs w:val="16"/>
        </w:rPr>
        <w:t xml:space="preserve">the data available for possible exchange </w:t>
      </w:r>
      <w:r w:rsidRPr="00690016">
        <w:rPr>
          <w:rFonts w:ascii="Times New Roman" w:hAnsi="Times New Roman"/>
          <w:noProof/>
          <w:sz w:val="24"/>
          <w:szCs w:val="16"/>
        </w:rPr>
        <w:t>between the Member States would remain</w:t>
      </w:r>
      <w:r w:rsidRPr="00690016">
        <w:rPr>
          <w:rFonts w:ascii="Times New Roman" w:hAnsi="Times New Roman"/>
          <w:noProof/>
          <w:sz w:val="40"/>
          <w:szCs w:val="24"/>
        </w:rPr>
        <w:t xml:space="preserve"> </w:t>
      </w:r>
      <w:r w:rsidRPr="000A72D7">
        <w:rPr>
          <w:rFonts w:ascii="Times New Roman" w:hAnsi="Times New Roman"/>
          <w:noProof/>
          <w:sz w:val="24"/>
          <w:szCs w:val="24"/>
        </w:rPr>
        <w:t xml:space="preserve">and continue to negatively affect the </w:t>
      </w:r>
      <w:r>
        <w:rPr>
          <w:rFonts w:ascii="Times New Roman" w:hAnsi="Times New Roman"/>
          <w:noProof/>
          <w:sz w:val="24"/>
          <w:szCs w:val="24"/>
        </w:rPr>
        <w:t xml:space="preserve">effective </w:t>
      </w:r>
      <w:r w:rsidRPr="000A72D7">
        <w:rPr>
          <w:rFonts w:ascii="Times New Roman" w:hAnsi="Times New Roman"/>
          <w:noProof/>
          <w:sz w:val="24"/>
          <w:szCs w:val="24"/>
        </w:rPr>
        <w:t>and efficient sharing of information</w:t>
      </w:r>
      <w:r w:rsidR="00F8683D">
        <w:rPr>
          <w:rFonts w:ascii="Times New Roman" w:hAnsi="Times New Roman"/>
          <w:noProof/>
          <w:sz w:val="24"/>
          <w:szCs w:val="24"/>
        </w:rPr>
        <w:t>,</w:t>
      </w:r>
      <w:r w:rsidR="00F8683D" w:rsidRPr="00F8683D">
        <w:rPr>
          <w:rFonts w:ascii="Times New Roman" w:hAnsi="Times New Roman"/>
          <w:noProof/>
          <w:sz w:val="24"/>
        </w:rPr>
        <w:t xml:space="preserve"> </w:t>
      </w:r>
      <w:r w:rsidR="00F8683D" w:rsidRPr="008F620C">
        <w:rPr>
          <w:rFonts w:ascii="Times New Roman" w:hAnsi="Times New Roman"/>
          <w:noProof/>
          <w:sz w:val="24"/>
        </w:rPr>
        <w:t xml:space="preserve">thereby leaving the impacts in the </w:t>
      </w:r>
      <w:r w:rsidR="00F8683D" w:rsidRPr="008F620C">
        <w:rPr>
          <w:rFonts w:ascii="Times New Roman" w:hAnsi="Times New Roman"/>
          <w:noProof/>
          <w:sz w:val="24"/>
          <w:szCs w:val="24"/>
        </w:rPr>
        <w:t>evolution of the EU security landscape and in the increased cross-border mobility essentially unaddressed</w:t>
      </w:r>
      <w:r w:rsidRPr="000A72D7">
        <w:rPr>
          <w:rFonts w:ascii="Times New Roman" w:hAnsi="Times New Roman"/>
          <w:noProof/>
          <w:sz w:val="24"/>
          <w:szCs w:val="24"/>
        </w:rPr>
        <w:t>.</w:t>
      </w:r>
      <w:r w:rsidR="006412C2">
        <w:rPr>
          <w:rFonts w:ascii="Times New Roman" w:hAnsi="Times New Roman"/>
          <w:noProof/>
          <w:sz w:val="24"/>
          <w:szCs w:val="24"/>
        </w:rPr>
        <w:t xml:space="preserve"> </w:t>
      </w:r>
      <w:r>
        <w:rPr>
          <w:rFonts w:ascii="Times New Roman" w:hAnsi="Times New Roman"/>
          <w:noProof/>
          <w:sz w:val="24"/>
          <w:szCs w:val="24"/>
        </w:rPr>
        <w:t xml:space="preserve">In practice, </w:t>
      </w:r>
      <w:r w:rsidRPr="00690016">
        <w:rPr>
          <w:rFonts w:ascii="Times New Roman" w:hAnsi="Times New Roman"/>
          <w:noProof/>
          <w:sz w:val="24"/>
          <w:szCs w:val="16"/>
        </w:rPr>
        <w:t>there would continue to be a lack of clarity on what data are available in different Member States</w:t>
      </w:r>
      <w:r w:rsidR="00361B10">
        <w:rPr>
          <w:rFonts w:ascii="Times New Roman" w:hAnsi="Times New Roman"/>
          <w:noProof/>
          <w:sz w:val="24"/>
          <w:szCs w:val="16"/>
        </w:rPr>
        <w:t>. T</w:t>
      </w:r>
      <w:r>
        <w:rPr>
          <w:rFonts w:ascii="Times New Roman" w:hAnsi="Times New Roman"/>
          <w:noProof/>
          <w:sz w:val="24"/>
          <w:szCs w:val="24"/>
        </w:rPr>
        <w:t>he respect of deadlines for urgent information requests would</w:t>
      </w:r>
      <w:r w:rsidRPr="0051456A">
        <w:rPr>
          <w:rFonts w:ascii="Times New Roman" w:hAnsi="Times New Roman"/>
          <w:i/>
          <w:noProof/>
          <w:sz w:val="24"/>
          <w:szCs w:val="24"/>
        </w:rPr>
        <w:t xml:space="preserve"> </w:t>
      </w:r>
      <w:r>
        <w:rPr>
          <w:rFonts w:ascii="Times New Roman" w:hAnsi="Times New Roman"/>
          <w:noProof/>
          <w:sz w:val="24"/>
          <w:szCs w:val="24"/>
        </w:rPr>
        <w:t xml:space="preserve">remain unlikely when </w:t>
      </w:r>
      <w:r w:rsidRPr="00E81409">
        <w:rPr>
          <w:rFonts w:ascii="Times New Roman" w:hAnsi="Times New Roman"/>
          <w:noProof/>
          <w:sz w:val="24"/>
          <w:szCs w:val="24"/>
        </w:rPr>
        <w:t>a judicial authorisation is required</w:t>
      </w:r>
      <w:r w:rsidR="00361B10">
        <w:rPr>
          <w:rFonts w:ascii="Times New Roman" w:hAnsi="Times New Roman"/>
          <w:noProof/>
          <w:sz w:val="24"/>
          <w:szCs w:val="24"/>
        </w:rPr>
        <w:t>. T</w:t>
      </w:r>
      <w:r w:rsidRPr="00E81409">
        <w:rPr>
          <w:rFonts w:ascii="Times New Roman" w:hAnsi="Times New Roman"/>
          <w:noProof/>
          <w:sz w:val="24"/>
          <w:szCs w:val="24"/>
        </w:rPr>
        <w:t>he distinction between urgent and non-urgent cases</w:t>
      </w:r>
      <w:r>
        <w:rPr>
          <w:rFonts w:ascii="Times New Roman" w:hAnsi="Times New Roman"/>
          <w:noProof/>
          <w:sz w:val="24"/>
          <w:szCs w:val="24"/>
        </w:rPr>
        <w:t>/all other cases,</w:t>
      </w:r>
      <w:r w:rsidRPr="00E81409">
        <w:rPr>
          <w:rFonts w:ascii="Times New Roman" w:hAnsi="Times New Roman"/>
          <w:noProof/>
          <w:sz w:val="24"/>
          <w:szCs w:val="24"/>
        </w:rPr>
        <w:t xml:space="preserve"> and the forms to be used for information exchange </w:t>
      </w:r>
      <w:r>
        <w:rPr>
          <w:rFonts w:ascii="Times New Roman" w:hAnsi="Times New Roman"/>
          <w:noProof/>
          <w:sz w:val="24"/>
          <w:szCs w:val="24"/>
        </w:rPr>
        <w:t xml:space="preserve">will remain </w:t>
      </w:r>
      <w:r w:rsidRPr="00E81409">
        <w:rPr>
          <w:rFonts w:ascii="Times New Roman" w:hAnsi="Times New Roman"/>
          <w:noProof/>
          <w:sz w:val="24"/>
          <w:szCs w:val="24"/>
        </w:rPr>
        <w:t>(unnecessarily) complex</w:t>
      </w:r>
      <w:r>
        <w:rPr>
          <w:rFonts w:ascii="Times New Roman" w:hAnsi="Times New Roman"/>
          <w:noProof/>
          <w:sz w:val="24"/>
          <w:szCs w:val="24"/>
        </w:rPr>
        <w:t>.</w:t>
      </w:r>
    </w:p>
    <w:p w14:paraId="0C8ADA41" w14:textId="77777777" w:rsidR="00ED6DD1" w:rsidRDefault="003047C7" w:rsidP="00171FEA">
      <w:pPr>
        <w:pStyle w:val="Body"/>
        <w:jc w:val="both"/>
        <w:rPr>
          <w:rFonts w:ascii="Times New Roman" w:hAnsi="Times New Roman"/>
          <w:bCs/>
          <w:noProof/>
          <w:sz w:val="24"/>
          <w:szCs w:val="24"/>
        </w:rPr>
      </w:pPr>
      <w:r>
        <w:rPr>
          <w:rFonts w:ascii="Times New Roman" w:hAnsi="Times New Roman"/>
          <w:noProof/>
          <w:sz w:val="24"/>
          <w:szCs w:val="24"/>
        </w:rPr>
        <w:t>Without intervention, t</w:t>
      </w:r>
      <w:r w:rsidR="00C76702" w:rsidRPr="004371A3">
        <w:rPr>
          <w:rFonts w:ascii="Times New Roman" w:hAnsi="Times New Roman"/>
          <w:noProof/>
          <w:sz w:val="24"/>
          <w:szCs w:val="24"/>
        </w:rPr>
        <w:t xml:space="preserve">he </w:t>
      </w:r>
      <w:r w:rsidR="00361B10">
        <w:rPr>
          <w:rFonts w:ascii="Times New Roman" w:hAnsi="Times New Roman"/>
          <w:noProof/>
          <w:sz w:val="24"/>
          <w:szCs w:val="24"/>
        </w:rPr>
        <w:t xml:space="preserve">2006 </w:t>
      </w:r>
      <w:r w:rsidR="00C76702" w:rsidRPr="004371A3">
        <w:rPr>
          <w:rFonts w:ascii="Times New Roman" w:hAnsi="Times New Roman"/>
          <w:noProof/>
          <w:sz w:val="24"/>
          <w:szCs w:val="24"/>
        </w:rPr>
        <w:t xml:space="preserve">Swedish Framework Decision </w:t>
      </w:r>
      <w:r w:rsidR="00C76702">
        <w:rPr>
          <w:rFonts w:ascii="Times New Roman" w:hAnsi="Times New Roman"/>
          <w:noProof/>
          <w:sz w:val="24"/>
          <w:szCs w:val="24"/>
        </w:rPr>
        <w:t>will remain un</w:t>
      </w:r>
      <w:r w:rsidR="00C76702" w:rsidRPr="004371A3">
        <w:rPr>
          <w:rFonts w:ascii="Times New Roman" w:hAnsi="Times New Roman"/>
          <w:noProof/>
          <w:sz w:val="24"/>
          <w:szCs w:val="24"/>
        </w:rPr>
        <w:t>aligned with the 2016 Law Enforcement Data Protection Directive</w:t>
      </w:r>
      <w:r w:rsidR="00694028">
        <w:rPr>
          <w:rFonts w:ascii="Times New Roman" w:hAnsi="Times New Roman"/>
          <w:noProof/>
          <w:sz w:val="24"/>
          <w:szCs w:val="24"/>
        </w:rPr>
        <w:t xml:space="preserve"> (LED)</w:t>
      </w:r>
      <w:r w:rsidR="00C76702">
        <w:rPr>
          <w:rFonts w:ascii="Times New Roman" w:hAnsi="Times New Roman"/>
          <w:noProof/>
          <w:sz w:val="24"/>
          <w:szCs w:val="24"/>
        </w:rPr>
        <w:t>.</w:t>
      </w:r>
      <w:r w:rsidR="00547CE6">
        <w:rPr>
          <w:rFonts w:ascii="Times New Roman" w:hAnsi="Times New Roman"/>
          <w:noProof/>
          <w:sz w:val="24"/>
          <w:szCs w:val="24"/>
        </w:rPr>
        <w:t xml:space="preserve"> </w:t>
      </w:r>
      <w:r w:rsidR="007B6466">
        <w:rPr>
          <w:rFonts w:ascii="Times New Roman" w:hAnsi="Times New Roman"/>
          <w:bCs/>
          <w:noProof/>
          <w:sz w:val="24"/>
          <w:szCs w:val="24"/>
        </w:rPr>
        <w:t>This</w:t>
      </w:r>
      <w:r w:rsidR="00694028" w:rsidRPr="00F734CC">
        <w:rPr>
          <w:rFonts w:ascii="Times New Roman" w:hAnsi="Times New Roman"/>
          <w:bCs/>
          <w:noProof/>
          <w:sz w:val="24"/>
          <w:szCs w:val="24"/>
        </w:rPr>
        <w:t xml:space="preserve"> mean</w:t>
      </w:r>
      <w:r w:rsidR="007B6466">
        <w:rPr>
          <w:rFonts w:ascii="Times New Roman" w:hAnsi="Times New Roman"/>
          <w:bCs/>
          <w:noProof/>
          <w:sz w:val="24"/>
          <w:szCs w:val="24"/>
        </w:rPr>
        <w:t>s</w:t>
      </w:r>
      <w:r w:rsidR="00694028" w:rsidRPr="00F734CC">
        <w:rPr>
          <w:rFonts w:ascii="Times New Roman" w:hAnsi="Times New Roman"/>
          <w:bCs/>
          <w:noProof/>
          <w:sz w:val="24"/>
          <w:szCs w:val="24"/>
        </w:rPr>
        <w:t xml:space="preserve"> that </w:t>
      </w:r>
      <w:r w:rsidR="007B6466">
        <w:rPr>
          <w:rFonts w:ascii="Times New Roman" w:hAnsi="Times New Roman"/>
          <w:bCs/>
          <w:noProof/>
          <w:sz w:val="24"/>
          <w:szCs w:val="24"/>
        </w:rPr>
        <w:t xml:space="preserve">even though </w:t>
      </w:r>
      <w:r w:rsidR="00694028" w:rsidRPr="00F734CC">
        <w:rPr>
          <w:rFonts w:ascii="Times New Roman" w:hAnsi="Times New Roman"/>
          <w:bCs/>
          <w:noProof/>
          <w:sz w:val="24"/>
          <w:szCs w:val="24"/>
        </w:rPr>
        <w:t xml:space="preserve">Fundamental Rights </w:t>
      </w:r>
      <w:r w:rsidR="00694028">
        <w:rPr>
          <w:rFonts w:ascii="Times New Roman" w:hAnsi="Times New Roman"/>
          <w:bCs/>
          <w:noProof/>
          <w:sz w:val="24"/>
          <w:szCs w:val="24"/>
        </w:rPr>
        <w:t xml:space="preserve">would </w:t>
      </w:r>
      <w:r w:rsidR="007B6466">
        <w:rPr>
          <w:rFonts w:ascii="Times New Roman" w:hAnsi="Times New Roman"/>
          <w:bCs/>
          <w:noProof/>
          <w:sz w:val="24"/>
          <w:szCs w:val="24"/>
        </w:rPr>
        <w:t xml:space="preserve">remain adequately safeguarded, </w:t>
      </w:r>
      <w:r w:rsidR="00694028" w:rsidRPr="00F734CC">
        <w:rPr>
          <w:rFonts w:ascii="Times New Roman" w:hAnsi="Times New Roman"/>
          <w:bCs/>
          <w:noProof/>
          <w:sz w:val="24"/>
          <w:szCs w:val="24"/>
        </w:rPr>
        <w:t>improvement</w:t>
      </w:r>
      <w:r w:rsidR="00694028">
        <w:rPr>
          <w:rFonts w:ascii="Times New Roman" w:hAnsi="Times New Roman"/>
          <w:bCs/>
          <w:noProof/>
          <w:sz w:val="24"/>
          <w:szCs w:val="24"/>
        </w:rPr>
        <w:t xml:space="preserve"> would not be brought forward.</w:t>
      </w:r>
    </w:p>
    <w:p w14:paraId="45E3B2D3" w14:textId="3E716832" w:rsidR="00F14663" w:rsidRPr="002F22A9" w:rsidRDefault="00C76702" w:rsidP="00094199">
      <w:pPr>
        <w:pStyle w:val="Heading2"/>
        <w:rPr>
          <w:noProof/>
        </w:rPr>
      </w:pPr>
      <w:bookmarkStart w:id="21" w:name="_Toc77255782"/>
      <w:bookmarkStart w:id="22" w:name="_Toc78189672"/>
      <w:bookmarkStart w:id="23" w:name="_Toc74838155"/>
      <w:bookmarkStart w:id="24" w:name="_Toc83801016"/>
      <w:bookmarkEnd w:id="21"/>
      <w:bookmarkEnd w:id="22"/>
      <w:r w:rsidRPr="00570CA3">
        <w:rPr>
          <w:noProof/>
        </w:rPr>
        <w:t>Problem 2:</w:t>
      </w:r>
      <w:r w:rsidRPr="002F22A9">
        <w:rPr>
          <w:noProof/>
        </w:rPr>
        <w:t xml:space="preserve"> Structures at national level are not set up and equipped in a sufficiently efficient and effective manner</w:t>
      </w:r>
      <w:bookmarkStart w:id="25" w:name="_Toc74838156"/>
      <w:bookmarkEnd w:id="23"/>
      <w:bookmarkEnd w:id="24"/>
    </w:p>
    <w:p w14:paraId="4B501FDE" w14:textId="3FF7F37D" w:rsidR="00C76702" w:rsidRPr="002F22A9" w:rsidRDefault="00173E60" w:rsidP="00173E60">
      <w:pPr>
        <w:pStyle w:val="Heading3"/>
        <w:rPr>
          <w:noProof/>
        </w:rPr>
      </w:pPr>
      <w:bookmarkStart w:id="26" w:name="_Toc83801017"/>
      <w:r w:rsidRPr="00173E60">
        <w:t>2.2.1.</w:t>
      </w:r>
      <w:r w:rsidRPr="00173E60">
        <w:tab/>
      </w:r>
      <w:r w:rsidR="00C76702" w:rsidRPr="002F22A9">
        <w:rPr>
          <w:noProof/>
        </w:rPr>
        <w:t>What is the problem?</w:t>
      </w:r>
      <w:bookmarkEnd w:id="25"/>
      <w:bookmarkEnd w:id="26"/>
    </w:p>
    <w:p w14:paraId="5BE371F8" w14:textId="681BFEB9" w:rsidR="00C76702" w:rsidRPr="0018040E" w:rsidRDefault="007C54DB" w:rsidP="00EB7963">
      <w:pPr>
        <w:pStyle w:val="Body"/>
        <w:spacing w:after="120"/>
        <w:jc w:val="both"/>
        <w:rPr>
          <w:rFonts w:ascii="Times New Roman" w:hAnsi="Times New Roman"/>
          <w:b/>
          <w:noProof/>
          <w:sz w:val="24"/>
          <w:szCs w:val="24"/>
        </w:rPr>
      </w:pPr>
      <w:r>
        <w:rPr>
          <w:rFonts w:ascii="Times New Roman" w:hAnsi="Times New Roman"/>
          <w:noProof/>
          <w:sz w:val="24"/>
        </w:rPr>
        <w:t xml:space="preserve">Member States do not always have the necessary structures in place to exchange information effectively and efficiently with other Member States. Where </w:t>
      </w:r>
      <w:r w:rsidR="00C76702" w:rsidRPr="0018040E">
        <w:rPr>
          <w:rFonts w:ascii="Times New Roman" w:hAnsi="Times New Roman"/>
          <w:noProof/>
          <w:sz w:val="24"/>
        </w:rPr>
        <w:t>Single Point Of Contacts (SPOCs)</w:t>
      </w:r>
      <w:r w:rsidR="00635B22">
        <w:rPr>
          <w:rFonts w:ascii="Times New Roman" w:hAnsi="Times New Roman"/>
          <w:noProof/>
          <w:sz w:val="24"/>
        </w:rPr>
        <w:t xml:space="preserve">, </w:t>
      </w:r>
      <w:r w:rsidR="00C76702" w:rsidRPr="0018040E">
        <w:rPr>
          <w:rFonts w:ascii="Times New Roman" w:hAnsi="Times New Roman"/>
          <w:noProof/>
          <w:sz w:val="24"/>
          <w:szCs w:val="24"/>
        </w:rPr>
        <w:t>Police and Customs Cooperation Centres</w:t>
      </w:r>
      <w:r w:rsidR="00C76702" w:rsidRPr="0018040E">
        <w:rPr>
          <w:rFonts w:ascii="Times New Roman" w:hAnsi="Times New Roman"/>
          <w:noProof/>
          <w:sz w:val="24"/>
        </w:rPr>
        <w:t xml:space="preserve"> (PCCCs) </w:t>
      </w:r>
      <w:r w:rsidR="00C76702" w:rsidRPr="0018040E">
        <w:rPr>
          <w:rFonts w:ascii="Times New Roman" w:hAnsi="Times New Roman"/>
          <w:noProof/>
          <w:sz w:val="24"/>
          <w:szCs w:val="24"/>
        </w:rPr>
        <w:t>and other equivalent structures</w:t>
      </w:r>
      <w:r w:rsidR="00635B22">
        <w:rPr>
          <w:rFonts w:ascii="Times New Roman" w:hAnsi="Times New Roman"/>
          <w:noProof/>
          <w:sz w:val="24"/>
          <w:szCs w:val="24"/>
        </w:rPr>
        <w:t xml:space="preserve"> at national level</w:t>
      </w:r>
      <w:r>
        <w:rPr>
          <w:rFonts w:ascii="Times New Roman" w:hAnsi="Times New Roman"/>
          <w:noProof/>
          <w:sz w:val="24"/>
          <w:szCs w:val="24"/>
        </w:rPr>
        <w:t xml:space="preserve"> exist they</w:t>
      </w:r>
      <w:r w:rsidR="00C76702" w:rsidRPr="0018040E">
        <w:rPr>
          <w:rFonts w:ascii="Times New Roman" w:hAnsi="Times New Roman"/>
          <w:noProof/>
          <w:sz w:val="24"/>
          <w:szCs w:val="24"/>
        </w:rPr>
        <w:t xml:space="preserve"> </w:t>
      </w:r>
      <w:r w:rsidR="00C76702" w:rsidRPr="0018040E">
        <w:rPr>
          <w:rFonts w:ascii="Times New Roman" w:hAnsi="Times New Roman"/>
          <w:noProof/>
          <w:sz w:val="24"/>
        </w:rPr>
        <w:t>do not always play their coordination role and lack resources to face the increasing number of requests.</w:t>
      </w:r>
      <w:r w:rsidR="00E707C9">
        <w:rPr>
          <w:rFonts w:ascii="Times New Roman" w:hAnsi="Times New Roman"/>
          <w:noProof/>
          <w:sz w:val="24"/>
        </w:rPr>
        <w:t xml:space="preserve"> </w:t>
      </w:r>
    </w:p>
    <w:p w14:paraId="3F982DA1" w14:textId="2FAEDE4D" w:rsidR="00C76702" w:rsidRDefault="007C54DB" w:rsidP="00EB7963">
      <w:pPr>
        <w:pStyle w:val="Body"/>
        <w:spacing w:after="120"/>
        <w:jc w:val="both"/>
        <w:rPr>
          <w:rFonts w:ascii="Times New Roman" w:hAnsi="Times New Roman"/>
          <w:noProof/>
          <w:sz w:val="24"/>
          <w:szCs w:val="24"/>
        </w:rPr>
      </w:pPr>
      <w:r>
        <w:rPr>
          <w:rFonts w:ascii="Times New Roman" w:hAnsi="Times New Roman"/>
          <w:noProof/>
          <w:sz w:val="24"/>
          <w:szCs w:val="24"/>
        </w:rPr>
        <w:t xml:space="preserve">Notably, </w:t>
      </w:r>
      <w:r w:rsidR="00C76702" w:rsidRPr="0018040E">
        <w:rPr>
          <w:rFonts w:ascii="Times New Roman" w:hAnsi="Times New Roman"/>
          <w:noProof/>
          <w:sz w:val="24"/>
          <w:szCs w:val="24"/>
        </w:rPr>
        <w:t>SPOCs</w:t>
      </w:r>
      <w:r w:rsidR="00635B22">
        <w:rPr>
          <w:rFonts w:ascii="Times New Roman" w:hAnsi="Times New Roman"/>
          <w:noProof/>
          <w:sz w:val="24"/>
          <w:szCs w:val="24"/>
        </w:rPr>
        <w:t xml:space="preserve">, </w:t>
      </w:r>
      <w:r w:rsidR="00C76702" w:rsidRPr="0018040E">
        <w:rPr>
          <w:rFonts w:ascii="Times New Roman" w:hAnsi="Times New Roman"/>
          <w:noProof/>
          <w:sz w:val="24"/>
          <w:szCs w:val="24"/>
        </w:rPr>
        <w:t xml:space="preserve">PCCCs and other equivalent structures often have outdated IT infrastructure. </w:t>
      </w:r>
      <w:r w:rsidR="00EB0746">
        <w:rPr>
          <w:rFonts w:ascii="Times New Roman" w:hAnsi="Times New Roman"/>
          <w:noProof/>
          <w:sz w:val="24"/>
          <w:szCs w:val="24"/>
        </w:rPr>
        <w:t>T</w:t>
      </w:r>
      <w:r w:rsidR="00C76702" w:rsidRPr="0018040E">
        <w:rPr>
          <w:rFonts w:ascii="Times New Roman" w:hAnsi="Times New Roman"/>
          <w:noProof/>
          <w:sz w:val="24"/>
          <w:szCs w:val="24"/>
        </w:rPr>
        <w:t>hey are not always equipped with the necessary information management tools (e.g. a case management system with a common dashboard and automatic data upload and cross-check).</w:t>
      </w:r>
    </w:p>
    <w:p w14:paraId="4C1B60F7" w14:textId="77777777" w:rsidR="00C76702" w:rsidRPr="00B24ED1" w:rsidRDefault="00C76702" w:rsidP="00A414D7">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40" w:lineRule="auto"/>
        <w:jc w:val="center"/>
        <w:rPr>
          <w:rFonts w:ascii="Verdana" w:hAnsi="Verdana"/>
          <w:b/>
          <w:noProof/>
          <w:sz w:val="16"/>
          <w:szCs w:val="16"/>
        </w:rPr>
      </w:pPr>
      <w:r w:rsidRPr="00B24ED1">
        <w:rPr>
          <w:rFonts w:ascii="Verdana" w:hAnsi="Verdana"/>
          <w:b/>
          <w:noProof/>
          <w:sz w:val="16"/>
          <w:szCs w:val="16"/>
        </w:rPr>
        <w:t>National and regional information hub</w:t>
      </w:r>
      <w:r>
        <w:rPr>
          <w:rFonts w:ascii="Verdana" w:hAnsi="Verdana"/>
          <w:b/>
          <w:noProof/>
          <w:sz w:val="16"/>
          <w:szCs w:val="16"/>
        </w:rPr>
        <w:t>s</w:t>
      </w:r>
      <w:r w:rsidRPr="00B24ED1">
        <w:rPr>
          <w:rFonts w:ascii="Verdana" w:hAnsi="Verdana"/>
          <w:b/>
          <w:noProof/>
          <w:sz w:val="16"/>
          <w:szCs w:val="16"/>
        </w:rPr>
        <w:t xml:space="preserve"> (SPOC and PCCC)</w:t>
      </w:r>
    </w:p>
    <w:p w14:paraId="5163B7A6" w14:textId="77777777" w:rsidR="00C76702" w:rsidRPr="00B24ED1" w:rsidRDefault="002635C2" w:rsidP="00D7651F">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60" w:line="240" w:lineRule="auto"/>
        <w:jc w:val="both"/>
        <w:rPr>
          <w:rFonts w:ascii="Verdana" w:hAnsi="Verdana" w:cs="Times New Roman"/>
          <w:noProof/>
          <w:sz w:val="16"/>
          <w:szCs w:val="16"/>
        </w:rPr>
      </w:pPr>
      <w:r w:rsidRPr="00B24ED1">
        <w:rPr>
          <w:rFonts w:ascii="Verdana" w:hAnsi="Verdana"/>
          <w:noProof/>
          <w:sz w:val="16"/>
          <w:szCs w:val="16"/>
        </w:rPr>
        <w:t>Nearly all Member States have implemented the policy of channeling as much information exchange as possible through a single point of contact</w:t>
      </w:r>
      <w:r w:rsidR="00C76702" w:rsidRPr="00B24ED1">
        <w:rPr>
          <w:rFonts w:ascii="Verdana" w:hAnsi="Verdana"/>
          <w:noProof/>
          <w:sz w:val="16"/>
          <w:szCs w:val="16"/>
        </w:rPr>
        <w:t xml:space="preserve">. </w:t>
      </w:r>
      <w:r w:rsidR="00C76702" w:rsidRPr="00B24ED1">
        <w:rPr>
          <w:rFonts w:ascii="Verdana" w:hAnsi="Verdana" w:cs="Times New Roman"/>
          <w:noProof/>
          <w:sz w:val="16"/>
          <w:szCs w:val="16"/>
        </w:rPr>
        <w:t>The Single Point of Contact (SPOC) is the national "one-stop shop" for international law enforcement cooperation</w:t>
      </w:r>
      <w:r w:rsidR="00361B10">
        <w:rPr>
          <w:rFonts w:ascii="Verdana" w:hAnsi="Verdana" w:cs="Times New Roman"/>
          <w:noProof/>
          <w:sz w:val="16"/>
          <w:szCs w:val="16"/>
        </w:rPr>
        <w:t>,</w:t>
      </w:r>
      <w:r w:rsidR="00C76702" w:rsidRPr="00B24ED1">
        <w:rPr>
          <w:rFonts w:ascii="Verdana" w:hAnsi="Verdana" w:cs="Times New Roman"/>
          <w:noProof/>
          <w:sz w:val="16"/>
          <w:szCs w:val="16"/>
        </w:rPr>
        <w:t xml:space="preserve"> gathering under the same management structure all main international law enforcement communication channels (INTERPOL, Europol and SIRENE</w:t>
      </w:r>
      <w:r w:rsidR="00C76702" w:rsidRPr="00B24ED1">
        <w:rPr>
          <w:rStyle w:val="FootnoteReference"/>
          <w:rFonts w:ascii="Verdana" w:hAnsi="Verdana" w:cs="Times New Roman"/>
          <w:noProof/>
          <w:sz w:val="16"/>
          <w:szCs w:val="16"/>
        </w:rPr>
        <w:footnoteReference w:id="41"/>
      </w:r>
      <w:r w:rsidR="00C76702" w:rsidRPr="00B24ED1">
        <w:rPr>
          <w:rFonts w:ascii="Verdana" w:hAnsi="Verdana" w:cs="Times New Roman"/>
          <w:noProof/>
          <w:sz w:val="16"/>
          <w:szCs w:val="16"/>
        </w:rPr>
        <w:t>). Such innovation was introduced as an attempt to reconcile Member States' fragmented law enforcement authorities' landscape with the growing need to jointly tackle cross-border threats of shared competence (e.g. drug trafficking).</w:t>
      </w:r>
      <w:r w:rsidR="00C76702" w:rsidRPr="008F56CE">
        <w:rPr>
          <w:rFonts w:ascii="Verdana" w:hAnsi="Verdana" w:cs="Times New Roman"/>
          <w:noProof/>
          <w:sz w:val="16"/>
          <w:szCs w:val="16"/>
        </w:rPr>
        <w:t xml:space="preserve"> </w:t>
      </w:r>
      <w:r w:rsidR="00C76702" w:rsidRPr="00B24ED1">
        <w:rPr>
          <w:rFonts w:ascii="Verdana" w:hAnsi="Verdana" w:cs="Times New Roman"/>
          <w:noProof/>
          <w:sz w:val="16"/>
          <w:szCs w:val="16"/>
        </w:rPr>
        <w:t>At the nexus of cross-border information exchange and national coordination between different law enforcement a</w:t>
      </w:r>
      <w:r w:rsidR="00361B10">
        <w:rPr>
          <w:rFonts w:ascii="Verdana" w:hAnsi="Verdana" w:cs="Times New Roman"/>
          <w:noProof/>
          <w:sz w:val="16"/>
          <w:szCs w:val="16"/>
        </w:rPr>
        <w:t>uthorities</w:t>
      </w:r>
      <w:r w:rsidR="00C76702" w:rsidRPr="00B24ED1">
        <w:rPr>
          <w:rFonts w:ascii="Verdana" w:hAnsi="Verdana" w:cs="Times New Roman"/>
          <w:noProof/>
          <w:sz w:val="16"/>
          <w:szCs w:val="16"/>
        </w:rPr>
        <w:t xml:space="preserve">, the SPOC concept greatly facilitates information flows. </w:t>
      </w:r>
    </w:p>
    <w:p w14:paraId="224C8125" w14:textId="77777777" w:rsidR="00C76702" w:rsidRPr="00B24ED1" w:rsidRDefault="00C76702" w:rsidP="00D7651F">
      <w:pPr>
        <w:pBdr>
          <w:top w:val="single" w:sz="4" w:space="1" w:color="auto"/>
          <w:left w:val="single" w:sz="4" w:space="4" w:color="auto"/>
          <w:bottom w:val="single" w:sz="4" w:space="1" w:color="auto"/>
          <w:right w:val="single" w:sz="4" w:space="4" w:color="auto"/>
        </w:pBdr>
        <w:shd w:val="clear" w:color="auto" w:fill="DEEAF6" w:themeFill="accent1" w:themeFillTint="33"/>
        <w:spacing w:after="60" w:line="240" w:lineRule="auto"/>
        <w:jc w:val="both"/>
        <w:rPr>
          <w:rFonts w:ascii="Verdana" w:hAnsi="Verdana"/>
          <w:noProof/>
          <w:sz w:val="16"/>
          <w:szCs w:val="16"/>
        </w:rPr>
      </w:pPr>
      <w:r w:rsidRPr="00B24ED1">
        <w:rPr>
          <w:rFonts w:ascii="Verdana" w:hAnsi="Verdana"/>
          <w:noProof/>
          <w:sz w:val="16"/>
          <w:szCs w:val="16"/>
        </w:rPr>
        <w:t xml:space="preserve">The understanding of what defines a SPOC </w:t>
      </w:r>
      <w:r>
        <w:rPr>
          <w:rFonts w:ascii="Verdana" w:hAnsi="Verdana"/>
          <w:noProof/>
          <w:sz w:val="16"/>
          <w:szCs w:val="16"/>
        </w:rPr>
        <w:t>varies</w:t>
      </w:r>
      <w:r w:rsidRPr="00B24ED1">
        <w:rPr>
          <w:rFonts w:ascii="Verdana" w:hAnsi="Verdana"/>
          <w:noProof/>
          <w:sz w:val="16"/>
          <w:szCs w:val="16"/>
        </w:rPr>
        <w:t xml:space="preserve"> among the Member States. The </w:t>
      </w:r>
      <w:r w:rsidRPr="00B24ED1">
        <w:rPr>
          <w:rFonts w:ascii="Verdana" w:hAnsi="Verdana" w:cs="Times New Roman"/>
          <w:noProof/>
          <w:sz w:val="16"/>
          <w:szCs w:val="16"/>
        </w:rPr>
        <w:t>2014</w:t>
      </w:r>
      <w:r>
        <w:rPr>
          <w:rFonts w:ascii="Verdana" w:hAnsi="Verdana" w:cs="Times New Roman"/>
          <w:noProof/>
          <w:sz w:val="16"/>
          <w:szCs w:val="16"/>
        </w:rPr>
        <w:t xml:space="preserve"> </w:t>
      </w:r>
      <w:r>
        <w:rPr>
          <w:rFonts w:ascii="Verdana" w:hAnsi="Verdana"/>
          <w:noProof/>
          <w:sz w:val="16"/>
          <w:szCs w:val="16"/>
        </w:rPr>
        <w:t xml:space="preserve">Council (non-binding) draft guidelines tentatively </w:t>
      </w:r>
      <w:r w:rsidRPr="00B24ED1">
        <w:rPr>
          <w:rFonts w:ascii="Verdana" w:hAnsi="Verdana"/>
          <w:noProof/>
          <w:sz w:val="16"/>
          <w:szCs w:val="16"/>
        </w:rPr>
        <w:t>indicate how SPOCs can be structured to maximise the use of resources, avoid overlaps and make cooperation with other Member States more efficient, expedient and transparent</w:t>
      </w:r>
      <w:r>
        <w:rPr>
          <w:rStyle w:val="FootnoteReference"/>
          <w:rFonts w:ascii="Verdana" w:hAnsi="Verdana"/>
          <w:noProof/>
          <w:sz w:val="16"/>
          <w:szCs w:val="16"/>
        </w:rPr>
        <w:footnoteReference w:id="42"/>
      </w:r>
      <w:r w:rsidRPr="00B24ED1">
        <w:rPr>
          <w:rFonts w:ascii="Verdana" w:hAnsi="Verdana"/>
          <w:noProof/>
          <w:sz w:val="16"/>
          <w:szCs w:val="16"/>
        </w:rPr>
        <w:t>. From these guidelines, Member States should select the solution appropriate for their situation in view of the common and agreed aim of enhancing international cooperation, and consider appropriate ways of informing other Member States about the solution selected with a view to the exchange of best practices.</w:t>
      </w:r>
      <w:r>
        <w:rPr>
          <w:rFonts w:ascii="Verdana" w:hAnsi="Verdana"/>
          <w:noProof/>
          <w:sz w:val="16"/>
          <w:szCs w:val="16"/>
        </w:rPr>
        <w:t xml:space="preserve"> This Council non-binding guidance has not led to a sufficient convergence of national practices.</w:t>
      </w:r>
    </w:p>
    <w:p w14:paraId="53AB1A7C" w14:textId="09DC3598" w:rsidR="00C76702" w:rsidRDefault="00C76702" w:rsidP="00104E62">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spacing w:after="240" w:line="240" w:lineRule="auto"/>
        <w:jc w:val="both"/>
        <w:rPr>
          <w:rFonts w:ascii="Verdana" w:hAnsi="Verdana" w:cs="Times New Roman"/>
          <w:noProof/>
          <w:sz w:val="16"/>
          <w:szCs w:val="16"/>
        </w:rPr>
      </w:pPr>
      <w:r w:rsidRPr="00B24ED1">
        <w:rPr>
          <w:rFonts w:ascii="Verdana" w:hAnsi="Verdana" w:cs="Times New Roman"/>
          <w:noProof/>
          <w:sz w:val="16"/>
          <w:szCs w:val="16"/>
        </w:rPr>
        <w:t xml:space="preserve">Information (mostly concerning petty crimes) is </w:t>
      </w:r>
      <w:r>
        <w:rPr>
          <w:rFonts w:ascii="Verdana" w:hAnsi="Verdana" w:cs="Times New Roman"/>
          <w:noProof/>
          <w:sz w:val="16"/>
          <w:szCs w:val="16"/>
        </w:rPr>
        <w:t xml:space="preserve">notably </w:t>
      </w:r>
      <w:r w:rsidRPr="00B24ED1">
        <w:rPr>
          <w:rFonts w:ascii="Verdana" w:hAnsi="Verdana" w:cs="Times New Roman"/>
          <w:noProof/>
          <w:sz w:val="16"/>
          <w:szCs w:val="16"/>
        </w:rPr>
        <w:t>exchanged through Police and Customs Cooperation Centres (PCCC)</w:t>
      </w:r>
      <w:r w:rsidR="002635C2">
        <w:rPr>
          <w:rFonts w:ascii="Verdana" w:hAnsi="Verdana" w:cs="Times New Roman"/>
          <w:noProof/>
          <w:sz w:val="16"/>
          <w:szCs w:val="16"/>
        </w:rPr>
        <w:t>,</w:t>
      </w:r>
      <w:r w:rsidRPr="00B24ED1">
        <w:rPr>
          <w:rFonts w:ascii="Verdana" w:hAnsi="Verdana" w:cs="Times New Roman"/>
          <w:noProof/>
          <w:sz w:val="16"/>
          <w:szCs w:val="16"/>
        </w:rPr>
        <w:t xml:space="preserve"> set up in border regions between two to four European countries, thus alleviating the national SPOC from an overflow of requests. </w:t>
      </w:r>
      <w:r>
        <w:rPr>
          <w:rFonts w:ascii="Verdana" w:hAnsi="Verdana" w:cs="Times New Roman"/>
          <w:noProof/>
          <w:sz w:val="16"/>
          <w:szCs w:val="16"/>
        </w:rPr>
        <w:t>59 PCCCs have been set up across most Member States</w:t>
      </w:r>
      <w:r w:rsidR="002635C2">
        <w:rPr>
          <w:rFonts w:ascii="Verdana" w:hAnsi="Verdana" w:cs="Times New Roman"/>
          <w:noProof/>
          <w:sz w:val="16"/>
          <w:szCs w:val="16"/>
        </w:rPr>
        <w:t xml:space="preserve"> and Schengen Associated Countries</w:t>
      </w:r>
      <w:r>
        <w:rPr>
          <w:rFonts w:ascii="Verdana" w:hAnsi="Verdana" w:cs="Times New Roman"/>
          <w:noProof/>
          <w:sz w:val="16"/>
          <w:szCs w:val="16"/>
        </w:rPr>
        <w:t xml:space="preserve">. </w:t>
      </w:r>
      <w:r w:rsidRPr="00B24ED1">
        <w:rPr>
          <w:rFonts w:ascii="Verdana" w:hAnsi="Verdana" w:cs="Times New Roman"/>
          <w:noProof/>
          <w:sz w:val="16"/>
          <w:szCs w:val="16"/>
        </w:rPr>
        <w:t xml:space="preserve">Similar duties are ensured by other equivalent </w:t>
      </w:r>
      <w:r>
        <w:rPr>
          <w:rFonts w:ascii="Verdana" w:hAnsi="Verdana" w:cs="Times New Roman"/>
          <w:noProof/>
          <w:sz w:val="16"/>
          <w:szCs w:val="16"/>
        </w:rPr>
        <w:t>bodies</w:t>
      </w:r>
      <w:r w:rsidRPr="00B24ED1">
        <w:rPr>
          <w:rFonts w:ascii="Verdana" w:hAnsi="Verdana" w:cs="Times New Roman"/>
          <w:noProof/>
          <w:sz w:val="16"/>
          <w:szCs w:val="16"/>
        </w:rPr>
        <w:t xml:space="preserve">, such as police </w:t>
      </w:r>
      <w:r w:rsidR="002635C2">
        <w:rPr>
          <w:rFonts w:ascii="Verdana" w:hAnsi="Verdana" w:cs="Times New Roman"/>
          <w:noProof/>
          <w:sz w:val="16"/>
          <w:szCs w:val="16"/>
        </w:rPr>
        <w:t>(</w:t>
      </w:r>
      <w:r w:rsidRPr="00B24ED1">
        <w:rPr>
          <w:rFonts w:ascii="Verdana" w:hAnsi="Verdana" w:cs="Times New Roman"/>
          <w:noProof/>
          <w:sz w:val="16"/>
          <w:szCs w:val="16"/>
        </w:rPr>
        <w:t>only</w:t>
      </w:r>
      <w:r w:rsidR="002635C2">
        <w:rPr>
          <w:rFonts w:ascii="Verdana" w:hAnsi="Verdana" w:cs="Times New Roman"/>
          <w:noProof/>
          <w:sz w:val="16"/>
          <w:szCs w:val="16"/>
        </w:rPr>
        <w:t>)</w:t>
      </w:r>
      <w:r w:rsidRPr="00B24ED1">
        <w:rPr>
          <w:rFonts w:ascii="Verdana" w:hAnsi="Verdana" w:cs="Times New Roman"/>
          <w:noProof/>
          <w:sz w:val="16"/>
          <w:szCs w:val="16"/>
        </w:rPr>
        <w:t xml:space="preserve"> cooperation centres or police and border guards cooperation centres.</w:t>
      </w:r>
      <w:r w:rsidR="00E707C9">
        <w:rPr>
          <w:rFonts w:ascii="Verdana" w:hAnsi="Verdana" w:cs="Times New Roman"/>
          <w:noProof/>
          <w:sz w:val="16"/>
          <w:szCs w:val="16"/>
        </w:rPr>
        <w:t xml:space="preserve"> These PCCCs (regional information hub) are not always under the umbrella of the national SPOC, preventing the SPOC from having a full picture of information exchanged and preventing possible links.</w:t>
      </w:r>
    </w:p>
    <w:p w14:paraId="6623DB7D" w14:textId="0DBA5267" w:rsidR="00C76702" w:rsidRPr="002F22A9" w:rsidRDefault="00173E60" w:rsidP="00173E60">
      <w:pPr>
        <w:pStyle w:val="Heading3"/>
        <w:rPr>
          <w:noProof/>
        </w:rPr>
      </w:pPr>
      <w:bookmarkStart w:id="27" w:name="_Toc74838157"/>
      <w:bookmarkStart w:id="28" w:name="_Toc83801018"/>
      <w:r w:rsidRPr="00173E60">
        <w:t>2.2.2.</w:t>
      </w:r>
      <w:r w:rsidRPr="00173E60">
        <w:tab/>
      </w:r>
      <w:r w:rsidR="00C76702" w:rsidRPr="002F22A9">
        <w:rPr>
          <w:noProof/>
        </w:rPr>
        <w:t>What are the problems drivers?</w:t>
      </w:r>
      <w:bookmarkEnd w:id="27"/>
      <w:bookmarkEnd w:id="28"/>
      <w:r w:rsidR="00C76702" w:rsidRPr="002F22A9">
        <w:rPr>
          <w:noProof/>
        </w:rPr>
        <w:t xml:space="preserve"> </w:t>
      </w:r>
    </w:p>
    <w:p w14:paraId="08A83F74" w14:textId="77777777" w:rsidR="00C76702" w:rsidRDefault="00C76702" w:rsidP="00C76702">
      <w:pPr>
        <w:autoSpaceDE w:val="0"/>
        <w:autoSpaceDN w:val="0"/>
        <w:adjustRightInd w:val="0"/>
        <w:spacing w:after="120" w:line="240" w:lineRule="auto"/>
        <w:jc w:val="both"/>
        <w:rPr>
          <w:rFonts w:ascii="Times New Roman" w:hAnsi="Times New Roman" w:cs="Times New Roman"/>
          <w:i/>
          <w:noProof/>
          <w:sz w:val="24"/>
        </w:rPr>
      </w:pPr>
      <w:r w:rsidRPr="00511A37">
        <w:rPr>
          <w:rFonts w:ascii="Times New Roman" w:hAnsi="Times New Roman" w:cs="Times New Roman"/>
          <w:i/>
          <w:noProof/>
          <w:sz w:val="24"/>
        </w:rPr>
        <w:t xml:space="preserve">SPOC </w:t>
      </w:r>
      <w:r w:rsidRPr="00B112AF">
        <w:rPr>
          <w:rFonts w:ascii="Times New Roman" w:hAnsi="Times New Roman" w:cs="Times New Roman"/>
          <w:i/>
          <w:noProof/>
          <w:sz w:val="24"/>
        </w:rPr>
        <w:t xml:space="preserve">do not </w:t>
      </w:r>
      <w:r w:rsidRPr="00B112AF">
        <w:rPr>
          <w:rFonts w:ascii="Times New Roman" w:hAnsi="Times New Roman" w:cs="Times New Roman"/>
          <w:bCs/>
          <w:i/>
          <w:noProof/>
          <w:sz w:val="24"/>
        </w:rPr>
        <w:t>always</w:t>
      </w:r>
      <w:r w:rsidRPr="00B112AF">
        <w:rPr>
          <w:rFonts w:ascii="Times New Roman" w:hAnsi="Times New Roman" w:cs="Times New Roman"/>
          <w:i/>
          <w:noProof/>
          <w:sz w:val="24"/>
        </w:rPr>
        <w:t xml:space="preserve"> play their coordination </w:t>
      </w:r>
      <w:r w:rsidRPr="00B112AF">
        <w:rPr>
          <w:rFonts w:ascii="Times New Roman" w:hAnsi="Times New Roman" w:cs="Times New Roman"/>
          <w:bCs/>
          <w:i/>
          <w:noProof/>
          <w:sz w:val="24"/>
        </w:rPr>
        <w:t xml:space="preserve">role and </w:t>
      </w:r>
      <w:r w:rsidRPr="00B112AF">
        <w:rPr>
          <w:rFonts w:ascii="Times New Roman" w:hAnsi="Times New Roman" w:cs="Times New Roman"/>
          <w:i/>
          <w:noProof/>
          <w:sz w:val="24"/>
        </w:rPr>
        <w:t>lack resources to face the increasing number of information requests</w:t>
      </w:r>
      <w:r>
        <w:rPr>
          <w:rFonts w:ascii="Times New Roman" w:hAnsi="Times New Roman" w:cs="Times New Roman"/>
          <w:i/>
          <w:noProof/>
          <w:sz w:val="24"/>
        </w:rPr>
        <w:t>.</w:t>
      </w:r>
    </w:p>
    <w:p w14:paraId="3996EDFA" w14:textId="77777777" w:rsidR="00C76702" w:rsidRDefault="00C76702" w:rsidP="00C76702">
      <w:pPr>
        <w:autoSpaceDE w:val="0"/>
        <w:autoSpaceDN w:val="0"/>
        <w:adjustRightInd w:val="0"/>
        <w:spacing w:after="120" w:line="240" w:lineRule="auto"/>
        <w:jc w:val="both"/>
        <w:rPr>
          <w:rFonts w:ascii="Times New Roman" w:hAnsi="Times New Roman" w:cs="Times New Roman"/>
          <w:noProof/>
          <w:sz w:val="24"/>
        </w:rPr>
      </w:pPr>
      <w:r w:rsidRPr="00120A30">
        <w:rPr>
          <w:rFonts w:ascii="Times New Roman" w:hAnsi="Times New Roman" w:cs="Times New Roman"/>
          <w:noProof/>
          <w:sz w:val="24"/>
        </w:rPr>
        <w:t xml:space="preserve">Member States are free to decide which law enforcement </w:t>
      </w:r>
      <w:r>
        <w:rPr>
          <w:rFonts w:ascii="Times New Roman" w:hAnsi="Times New Roman" w:cs="Times New Roman"/>
          <w:noProof/>
          <w:sz w:val="24"/>
        </w:rPr>
        <w:t xml:space="preserve">authorities </w:t>
      </w:r>
      <w:r w:rsidRPr="00120A30">
        <w:rPr>
          <w:rFonts w:ascii="Times New Roman" w:hAnsi="Times New Roman" w:cs="Times New Roman"/>
          <w:noProof/>
          <w:sz w:val="24"/>
        </w:rPr>
        <w:t xml:space="preserve">and </w:t>
      </w:r>
      <w:r>
        <w:rPr>
          <w:rFonts w:ascii="Times New Roman" w:hAnsi="Times New Roman" w:cs="Times New Roman"/>
          <w:noProof/>
          <w:sz w:val="24"/>
        </w:rPr>
        <w:t xml:space="preserve">services </w:t>
      </w:r>
      <w:r w:rsidRPr="00120A30">
        <w:rPr>
          <w:rFonts w:ascii="Times New Roman" w:hAnsi="Times New Roman" w:cs="Times New Roman"/>
          <w:noProof/>
          <w:sz w:val="24"/>
        </w:rPr>
        <w:t>are repres</w:t>
      </w:r>
      <w:r w:rsidR="002635C2">
        <w:rPr>
          <w:rFonts w:ascii="Times New Roman" w:hAnsi="Times New Roman" w:cs="Times New Roman"/>
          <w:noProof/>
          <w:sz w:val="24"/>
        </w:rPr>
        <w:t>ented within their SPOCs</w:t>
      </w:r>
      <w:r w:rsidR="00A608D8" w:rsidRPr="00CB670E">
        <w:rPr>
          <w:rFonts w:ascii="Times New Roman" w:hAnsi="Times New Roman" w:cs="Times New Roman"/>
          <w:noProof/>
          <w:sz w:val="24"/>
          <w:vertAlign w:val="superscript"/>
        </w:rPr>
        <w:footnoteReference w:id="43"/>
      </w:r>
      <w:r w:rsidR="002635C2">
        <w:rPr>
          <w:rFonts w:ascii="Times New Roman" w:hAnsi="Times New Roman" w:cs="Times New Roman"/>
          <w:noProof/>
          <w:sz w:val="24"/>
        </w:rPr>
        <w:t>.</w:t>
      </w:r>
      <w:r w:rsidR="00A608D8" w:rsidRPr="00A608D8">
        <w:rPr>
          <w:rFonts w:ascii="Times New Roman" w:hAnsi="Times New Roman" w:cs="Times New Roman"/>
          <w:i/>
          <w:noProof/>
          <w:sz w:val="24"/>
          <w:vertAlign w:val="superscript"/>
        </w:rPr>
        <w:t xml:space="preserve"> </w:t>
      </w:r>
      <w:r w:rsidR="002635C2">
        <w:rPr>
          <w:rFonts w:ascii="Times New Roman" w:hAnsi="Times New Roman" w:cs="Times New Roman"/>
          <w:noProof/>
          <w:sz w:val="24"/>
        </w:rPr>
        <w:t>A</w:t>
      </w:r>
      <w:r w:rsidRPr="00120A30">
        <w:rPr>
          <w:rFonts w:ascii="Times New Roman" w:hAnsi="Times New Roman" w:cs="Times New Roman"/>
          <w:noProof/>
          <w:sz w:val="24"/>
        </w:rPr>
        <w:t>lthough different manuals and national factsheets have been produced in order to facilitate a harmonised approach to the way national SPOCs are organised</w:t>
      </w:r>
      <w:r w:rsidRPr="00120A30">
        <w:rPr>
          <w:rFonts w:ascii="Times New Roman" w:hAnsi="Times New Roman" w:cs="Times New Roman"/>
          <w:noProof/>
          <w:sz w:val="24"/>
          <w:vertAlign w:val="superscript"/>
        </w:rPr>
        <w:footnoteReference w:id="44"/>
      </w:r>
      <w:r>
        <w:rPr>
          <w:rFonts w:ascii="Times New Roman" w:hAnsi="Times New Roman" w:cs="Times New Roman"/>
          <w:noProof/>
          <w:sz w:val="24"/>
        </w:rPr>
        <w:t>,</w:t>
      </w:r>
      <w:r w:rsidRPr="00120A30">
        <w:rPr>
          <w:rFonts w:ascii="Times New Roman" w:hAnsi="Times New Roman" w:cs="Times New Roman"/>
          <w:noProof/>
          <w:sz w:val="24"/>
        </w:rPr>
        <w:t xml:space="preserve"> there are still significant differences across countries</w:t>
      </w:r>
      <w:r w:rsidR="003D7105">
        <w:rPr>
          <w:rFonts w:ascii="Times New Roman" w:hAnsi="Times New Roman" w:cs="Times New Roman"/>
          <w:noProof/>
          <w:sz w:val="24"/>
        </w:rPr>
        <w:t xml:space="preserve"> as regards the structures at national level</w:t>
      </w:r>
      <w:r w:rsidRPr="00120A30">
        <w:rPr>
          <w:rFonts w:ascii="Times New Roman" w:hAnsi="Times New Roman" w:cs="Times New Roman"/>
          <w:noProof/>
          <w:sz w:val="24"/>
          <w:vertAlign w:val="superscript"/>
        </w:rPr>
        <w:footnoteReference w:id="45"/>
      </w:r>
      <w:r>
        <w:rPr>
          <w:rFonts w:ascii="Times New Roman" w:hAnsi="Times New Roman" w:cs="Times New Roman"/>
          <w:noProof/>
          <w:sz w:val="24"/>
        </w:rPr>
        <w:t>.</w:t>
      </w:r>
    </w:p>
    <w:p w14:paraId="6828433C" w14:textId="77777777" w:rsidR="00C76702" w:rsidRDefault="00C76702" w:rsidP="00C76702">
      <w:pPr>
        <w:autoSpaceDE w:val="0"/>
        <w:autoSpaceDN w:val="0"/>
        <w:adjustRightInd w:val="0"/>
        <w:spacing w:after="120" w:line="240" w:lineRule="auto"/>
        <w:jc w:val="both"/>
        <w:rPr>
          <w:rFonts w:ascii="Times New Roman" w:hAnsi="Times New Roman" w:cs="Times New Roman"/>
          <w:noProof/>
          <w:sz w:val="24"/>
        </w:rPr>
      </w:pPr>
      <w:r w:rsidRPr="00120A30">
        <w:rPr>
          <w:rFonts w:ascii="Times New Roman" w:hAnsi="Times New Roman" w:cs="Times New Roman"/>
          <w:noProof/>
          <w:sz w:val="24"/>
        </w:rPr>
        <w:t>For example, in some countries the SPOC includes the Europol National Unit (ENU), the Supplementary Information Request at the National Entry (SIRENE) bureau and the I</w:t>
      </w:r>
      <w:r>
        <w:rPr>
          <w:rFonts w:ascii="Times New Roman" w:hAnsi="Times New Roman" w:cs="Times New Roman"/>
          <w:noProof/>
          <w:sz w:val="24"/>
        </w:rPr>
        <w:t>NTERPOL</w:t>
      </w:r>
      <w:r w:rsidRPr="00120A30">
        <w:rPr>
          <w:rFonts w:ascii="Times New Roman" w:hAnsi="Times New Roman" w:cs="Times New Roman"/>
          <w:noProof/>
          <w:sz w:val="24"/>
        </w:rPr>
        <w:t xml:space="preserve"> National Central Bureau, while in other countries these units are not include</w:t>
      </w:r>
      <w:r w:rsidR="002635C2">
        <w:rPr>
          <w:rFonts w:ascii="Times New Roman" w:hAnsi="Times New Roman" w:cs="Times New Roman"/>
          <w:noProof/>
          <w:sz w:val="24"/>
        </w:rPr>
        <w:t xml:space="preserve">d. Such differences lead to confusion </w:t>
      </w:r>
      <w:r w:rsidRPr="00120A30">
        <w:rPr>
          <w:rFonts w:ascii="Times New Roman" w:hAnsi="Times New Roman" w:cs="Times New Roman"/>
          <w:noProof/>
          <w:sz w:val="24"/>
        </w:rPr>
        <w:t>when it comes to the cross-border exchange of information</w:t>
      </w:r>
      <w:r>
        <w:rPr>
          <w:rFonts w:ascii="Times New Roman" w:hAnsi="Times New Roman" w:cs="Times New Roman"/>
          <w:noProof/>
          <w:sz w:val="24"/>
        </w:rPr>
        <w:t>.</w:t>
      </w:r>
    </w:p>
    <w:p w14:paraId="6BA85453" w14:textId="77777777" w:rsidR="00C76702" w:rsidRDefault="00C76702" w:rsidP="00C76702">
      <w:pPr>
        <w:autoSpaceDE w:val="0"/>
        <w:autoSpaceDN w:val="0"/>
        <w:adjustRightInd w:val="0"/>
        <w:spacing w:after="120" w:line="240" w:lineRule="auto"/>
        <w:jc w:val="both"/>
        <w:rPr>
          <w:rFonts w:ascii="Times New Roman" w:hAnsi="Times New Roman" w:cs="Times New Roman"/>
          <w:noProof/>
          <w:sz w:val="24"/>
        </w:rPr>
      </w:pPr>
      <w:r w:rsidRPr="00120A30">
        <w:rPr>
          <w:rFonts w:ascii="Times New Roman" w:hAnsi="Times New Roman" w:cs="Times New Roman"/>
          <w:noProof/>
          <w:sz w:val="24"/>
        </w:rPr>
        <w:t xml:space="preserve">Thus, when a request for information is addressed to a specific </w:t>
      </w:r>
      <w:r>
        <w:rPr>
          <w:rFonts w:ascii="Times New Roman" w:hAnsi="Times New Roman" w:cs="Times New Roman"/>
          <w:noProof/>
          <w:sz w:val="24"/>
        </w:rPr>
        <w:t>Law Enforcement Authority (LEA) or a dedicated service within a LEA</w:t>
      </w:r>
      <w:r w:rsidRPr="00120A30">
        <w:rPr>
          <w:rFonts w:ascii="Times New Roman" w:hAnsi="Times New Roman" w:cs="Times New Roman"/>
          <w:noProof/>
          <w:sz w:val="24"/>
        </w:rPr>
        <w:t xml:space="preserve">, the requesting Member State does not know in advance whether this </w:t>
      </w:r>
      <w:r>
        <w:rPr>
          <w:rFonts w:ascii="Times New Roman" w:hAnsi="Times New Roman" w:cs="Times New Roman"/>
          <w:noProof/>
          <w:sz w:val="24"/>
        </w:rPr>
        <w:t xml:space="preserve">entity </w:t>
      </w:r>
      <w:r w:rsidRPr="00120A30">
        <w:rPr>
          <w:rFonts w:ascii="Times New Roman" w:hAnsi="Times New Roman" w:cs="Times New Roman"/>
          <w:noProof/>
          <w:sz w:val="24"/>
        </w:rPr>
        <w:t xml:space="preserve">is included or not within the SPOC of the receiving Member State. This leads to a risk of duplication of requests, which are sent both to the SPOC and to the specific </w:t>
      </w:r>
      <w:r>
        <w:rPr>
          <w:rFonts w:ascii="Times New Roman" w:hAnsi="Times New Roman" w:cs="Times New Roman"/>
          <w:noProof/>
          <w:sz w:val="24"/>
        </w:rPr>
        <w:t>service</w:t>
      </w:r>
      <w:r w:rsidRPr="00120A30">
        <w:rPr>
          <w:rFonts w:ascii="Times New Roman" w:hAnsi="Times New Roman" w:cs="Times New Roman"/>
          <w:noProof/>
          <w:sz w:val="24"/>
        </w:rPr>
        <w:t>. Moreover, SPOCs face a high w</w:t>
      </w:r>
      <w:r>
        <w:rPr>
          <w:rFonts w:ascii="Times New Roman" w:hAnsi="Times New Roman" w:cs="Times New Roman"/>
          <w:noProof/>
          <w:sz w:val="24"/>
        </w:rPr>
        <w:t>orkload notably due to the practice of "</w:t>
      </w:r>
      <w:r w:rsidRPr="00120A30">
        <w:rPr>
          <w:rFonts w:ascii="Times New Roman" w:hAnsi="Times New Roman" w:cs="Times New Roman"/>
          <w:noProof/>
          <w:sz w:val="24"/>
        </w:rPr>
        <w:t>fishing</w:t>
      </w:r>
      <w:r>
        <w:rPr>
          <w:rFonts w:ascii="Times New Roman" w:hAnsi="Times New Roman" w:cs="Times New Roman"/>
          <w:noProof/>
          <w:sz w:val="24"/>
        </w:rPr>
        <w:t>"</w:t>
      </w:r>
      <w:r w:rsidRPr="00120A30">
        <w:rPr>
          <w:rFonts w:ascii="Times New Roman" w:hAnsi="Times New Roman" w:cs="Times New Roman"/>
          <w:noProof/>
          <w:sz w:val="24"/>
        </w:rPr>
        <w:t xml:space="preserve"> and difficulties in the choice of the most appropriate communication channels </w:t>
      </w:r>
      <w:r>
        <w:rPr>
          <w:rFonts w:ascii="Times New Roman" w:hAnsi="Times New Roman" w:cs="Times New Roman"/>
          <w:noProof/>
          <w:sz w:val="24"/>
        </w:rPr>
        <w:t xml:space="preserve">to be </w:t>
      </w:r>
      <w:r w:rsidRPr="00120A30">
        <w:rPr>
          <w:rFonts w:ascii="Times New Roman" w:hAnsi="Times New Roman" w:cs="Times New Roman"/>
          <w:noProof/>
          <w:sz w:val="24"/>
        </w:rPr>
        <w:t>used to exchange information</w:t>
      </w:r>
      <w:r w:rsidRPr="00120A30">
        <w:rPr>
          <w:rFonts w:ascii="Times New Roman" w:hAnsi="Times New Roman" w:cs="Times New Roman"/>
          <w:noProof/>
          <w:sz w:val="24"/>
          <w:vertAlign w:val="superscript"/>
        </w:rPr>
        <w:footnoteReference w:id="46"/>
      </w:r>
      <w:r>
        <w:rPr>
          <w:rFonts w:ascii="Times New Roman" w:hAnsi="Times New Roman" w:cs="Times New Roman"/>
          <w:noProof/>
          <w:sz w:val="24"/>
        </w:rPr>
        <w:t>.</w:t>
      </w:r>
    </w:p>
    <w:p w14:paraId="2E4690EF" w14:textId="77777777" w:rsidR="009834F3" w:rsidRDefault="009834F3" w:rsidP="00C76702">
      <w:pPr>
        <w:autoSpaceDE w:val="0"/>
        <w:autoSpaceDN w:val="0"/>
        <w:adjustRightInd w:val="0"/>
        <w:spacing w:after="120" w:line="240" w:lineRule="auto"/>
        <w:jc w:val="both"/>
        <w:rPr>
          <w:rFonts w:ascii="Times New Roman" w:hAnsi="Times New Roman" w:cs="Times New Roman"/>
          <w:noProof/>
          <w:sz w:val="24"/>
        </w:rPr>
      </w:pPr>
      <w:r>
        <w:rPr>
          <w:rFonts w:ascii="Times New Roman" w:hAnsi="Times New Roman" w:cs="Times New Roman"/>
          <w:noProof/>
          <w:sz w:val="24"/>
        </w:rPr>
        <w:t>Additionally</w:t>
      </w:r>
      <w:r w:rsidR="00C76702" w:rsidRPr="00120A30">
        <w:rPr>
          <w:rFonts w:ascii="Times New Roman" w:hAnsi="Times New Roman" w:cs="Times New Roman"/>
          <w:noProof/>
          <w:sz w:val="24"/>
        </w:rPr>
        <w:t>, the SPOCs – and in some cases also the PCCCs</w:t>
      </w:r>
      <w:r w:rsidR="00C76702" w:rsidRPr="00120A30">
        <w:rPr>
          <w:rFonts w:ascii="Times New Roman" w:hAnsi="Times New Roman" w:cs="Times New Roman"/>
          <w:noProof/>
          <w:sz w:val="24"/>
          <w:vertAlign w:val="superscript"/>
        </w:rPr>
        <w:footnoteReference w:id="47"/>
      </w:r>
      <w:r w:rsidR="00C76702" w:rsidRPr="00120A30">
        <w:rPr>
          <w:rFonts w:ascii="Times New Roman" w:hAnsi="Times New Roman" w:cs="Times New Roman"/>
          <w:noProof/>
          <w:sz w:val="24"/>
        </w:rPr>
        <w:t xml:space="preserve"> – lack resources to timely and effectively address the increasing number of requests they receive</w:t>
      </w:r>
      <w:r w:rsidR="00C76702" w:rsidRPr="00120A30">
        <w:rPr>
          <w:rFonts w:ascii="Times New Roman" w:hAnsi="Times New Roman" w:cs="Times New Roman"/>
          <w:noProof/>
          <w:sz w:val="24"/>
          <w:vertAlign w:val="superscript"/>
        </w:rPr>
        <w:footnoteReference w:id="48"/>
      </w:r>
      <w:r w:rsidR="00C76702">
        <w:rPr>
          <w:rFonts w:ascii="Times New Roman" w:hAnsi="Times New Roman" w:cs="Times New Roman"/>
          <w:noProof/>
          <w:sz w:val="24"/>
        </w:rPr>
        <w:t>.</w:t>
      </w:r>
      <w:r w:rsidR="00C76702" w:rsidRPr="00120A30">
        <w:rPr>
          <w:rFonts w:ascii="Times New Roman" w:hAnsi="Times New Roman" w:cs="Times New Roman"/>
          <w:noProof/>
          <w:sz w:val="24"/>
        </w:rPr>
        <w:t xml:space="preserve"> The increasing amount of information requests has not been accompanied by a proportionate increase of the resources allocated to manage these requests</w:t>
      </w:r>
      <w:r w:rsidR="00C76702" w:rsidRPr="00120A30">
        <w:rPr>
          <w:rFonts w:ascii="Times New Roman" w:hAnsi="Times New Roman" w:cs="Times New Roman"/>
          <w:noProof/>
          <w:sz w:val="24"/>
          <w:vertAlign w:val="superscript"/>
        </w:rPr>
        <w:footnoteReference w:id="49"/>
      </w:r>
      <w:r w:rsidR="00C76702">
        <w:rPr>
          <w:rFonts w:ascii="Times New Roman" w:hAnsi="Times New Roman" w:cs="Times New Roman"/>
          <w:noProof/>
          <w:sz w:val="24"/>
        </w:rPr>
        <w:t>.</w:t>
      </w:r>
      <w:r w:rsidR="00C76702" w:rsidRPr="00120A30">
        <w:rPr>
          <w:rFonts w:ascii="Times New Roman" w:hAnsi="Times New Roman" w:cs="Times New Roman"/>
          <w:noProof/>
          <w:sz w:val="24"/>
        </w:rPr>
        <w:t xml:space="preserve"> The lack of sufficient resources allocated to the SPOCs is particularly challenging in cases of urgent requests for information</w:t>
      </w:r>
      <w:r w:rsidR="00C76702" w:rsidRPr="00120A30">
        <w:rPr>
          <w:rFonts w:ascii="Times New Roman" w:hAnsi="Times New Roman" w:cs="Times New Roman"/>
          <w:noProof/>
          <w:sz w:val="24"/>
          <w:vertAlign w:val="superscript"/>
        </w:rPr>
        <w:footnoteReference w:id="50"/>
      </w:r>
      <w:r w:rsidR="00C76702">
        <w:rPr>
          <w:rFonts w:ascii="Times New Roman" w:hAnsi="Times New Roman" w:cs="Times New Roman"/>
          <w:noProof/>
          <w:sz w:val="24"/>
        </w:rPr>
        <w:t>.</w:t>
      </w:r>
      <w:r w:rsidR="00C76702" w:rsidRPr="00120A30">
        <w:rPr>
          <w:rFonts w:ascii="Times New Roman" w:hAnsi="Times New Roman" w:cs="Times New Roman"/>
          <w:noProof/>
          <w:sz w:val="24"/>
        </w:rPr>
        <w:t xml:space="preserve"> </w:t>
      </w:r>
    </w:p>
    <w:p w14:paraId="45D35501" w14:textId="77777777" w:rsidR="00C76702" w:rsidRPr="00511A37" w:rsidRDefault="00C76702" w:rsidP="00C76702">
      <w:pPr>
        <w:autoSpaceDE w:val="0"/>
        <w:autoSpaceDN w:val="0"/>
        <w:adjustRightInd w:val="0"/>
        <w:spacing w:after="120" w:line="240" w:lineRule="auto"/>
        <w:jc w:val="both"/>
        <w:rPr>
          <w:rFonts w:ascii="Times New Roman" w:hAnsi="Times New Roman" w:cs="Times New Roman"/>
          <w:i/>
          <w:noProof/>
          <w:sz w:val="24"/>
        </w:rPr>
      </w:pPr>
      <w:r w:rsidRPr="00120A30">
        <w:rPr>
          <w:rFonts w:ascii="Times New Roman" w:hAnsi="Times New Roman" w:cs="Times New Roman"/>
          <w:noProof/>
          <w:sz w:val="24"/>
        </w:rPr>
        <w:t xml:space="preserve">Pursuant to Article 4 </w:t>
      </w:r>
      <w:r w:rsidR="00327894">
        <w:rPr>
          <w:rFonts w:ascii="Times New Roman" w:hAnsi="Times New Roman" w:cs="Times New Roman"/>
          <w:noProof/>
          <w:sz w:val="24"/>
        </w:rPr>
        <w:t>of the Swedish Framework Decision (</w:t>
      </w:r>
      <w:r w:rsidRPr="00120A30">
        <w:rPr>
          <w:rFonts w:ascii="Times New Roman" w:hAnsi="Times New Roman" w:cs="Times New Roman"/>
          <w:noProof/>
          <w:sz w:val="24"/>
        </w:rPr>
        <w:t>SFD</w:t>
      </w:r>
      <w:r w:rsidR="00327894">
        <w:rPr>
          <w:rFonts w:ascii="Times New Roman" w:hAnsi="Times New Roman" w:cs="Times New Roman"/>
          <w:noProof/>
          <w:sz w:val="24"/>
        </w:rPr>
        <w:t>)</w:t>
      </w:r>
      <w:r w:rsidRPr="00120A30">
        <w:rPr>
          <w:rFonts w:ascii="Times New Roman" w:hAnsi="Times New Roman" w:cs="Times New Roman"/>
          <w:noProof/>
          <w:sz w:val="24"/>
        </w:rPr>
        <w:t xml:space="preserve">, urgent requests for information shall be addressed within 8 hours. This timeframe is not critical </w:t>
      </w:r>
      <w:r w:rsidRPr="00120A30">
        <w:rPr>
          <w:rFonts w:ascii="Times New Roman" w:hAnsi="Times New Roman" w:cs="Times New Roman"/>
          <w:i/>
          <w:iCs/>
          <w:noProof/>
          <w:sz w:val="24"/>
        </w:rPr>
        <w:t>per se</w:t>
      </w:r>
      <w:r w:rsidRPr="00120A30">
        <w:rPr>
          <w:rFonts w:ascii="Times New Roman" w:hAnsi="Times New Roman" w:cs="Times New Roman"/>
          <w:noProof/>
          <w:sz w:val="24"/>
        </w:rPr>
        <w:t xml:space="preserve"> and it seems well suited to share information, which is necessary to carry out the investigation</w:t>
      </w:r>
      <w:r>
        <w:rPr>
          <w:rFonts w:ascii="Times New Roman" w:hAnsi="Times New Roman" w:cs="Times New Roman"/>
          <w:noProof/>
          <w:sz w:val="24"/>
        </w:rPr>
        <w:t>.</w:t>
      </w:r>
      <w:r w:rsidR="009834F3">
        <w:rPr>
          <w:rFonts w:ascii="Times New Roman" w:hAnsi="Times New Roman" w:cs="Times New Roman"/>
          <w:noProof/>
          <w:sz w:val="24"/>
        </w:rPr>
        <w:t xml:space="preserve"> </w:t>
      </w:r>
      <w:r w:rsidRPr="00120A30">
        <w:rPr>
          <w:rFonts w:ascii="Times New Roman" w:hAnsi="Times New Roman" w:cs="Times New Roman"/>
          <w:noProof/>
          <w:sz w:val="24"/>
        </w:rPr>
        <w:t>However, if several urgent requests are received at the same time, enough officials would need to be available to manage them in parallel, and this is problematic since human resources within the SPOCs are limited. This is particularly challenging since the SFD does not envisage an automated tool for issuing reminders of the information requests</w:t>
      </w:r>
      <w:r>
        <w:rPr>
          <w:rFonts w:ascii="Times New Roman" w:hAnsi="Times New Roman" w:cs="Times New Roman"/>
          <w:noProof/>
          <w:sz w:val="24"/>
        </w:rPr>
        <w:t>.</w:t>
      </w:r>
      <w:r w:rsidRPr="00120A30">
        <w:rPr>
          <w:rFonts w:ascii="Times New Roman" w:hAnsi="Times New Roman" w:cs="Times New Roman"/>
          <w:noProof/>
          <w:sz w:val="24"/>
        </w:rPr>
        <w:t xml:space="preserve"> </w:t>
      </w:r>
    </w:p>
    <w:p w14:paraId="5770E566" w14:textId="680971B0" w:rsidR="00C76702" w:rsidRDefault="00C76702" w:rsidP="002635C2">
      <w:pPr>
        <w:pStyle w:val="Body"/>
        <w:spacing w:after="120"/>
        <w:jc w:val="both"/>
        <w:rPr>
          <w:rFonts w:ascii="Times New Roman" w:hAnsi="Times New Roman"/>
          <w:noProof/>
          <w:sz w:val="24"/>
        </w:rPr>
      </w:pPr>
      <w:r w:rsidRPr="00120A30">
        <w:rPr>
          <w:rFonts w:ascii="Times New Roman" w:hAnsi="Times New Roman"/>
          <w:noProof/>
          <w:sz w:val="24"/>
        </w:rPr>
        <w:t>Hence, timely responses depend on the SPOC</w:t>
      </w:r>
      <w:r>
        <w:rPr>
          <w:rFonts w:ascii="Times New Roman" w:hAnsi="Times New Roman"/>
          <w:noProof/>
          <w:sz w:val="24"/>
        </w:rPr>
        <w:t>'</w:t>
      </w:r>
      <w:r w:rsidRPr="00120A30">
        <w:rPr>
          <w:rFonts w:ascii="Times New Roman" w:hAnsi="Times New Roman"/>
          <w:noProof/>
          <w:sz w:val="24"/>
        </w:rPr>
        <w:t xml:space="preserve">s capacity to monitor and track the deadlines in the </w:t>
      </w:r>
      <w:r>
        <w:rPr>
          <w:rFonts w:ascii="Times New Roman" w:hAnsi="Times New Roman"/>
          <w:noProof/>
          <w:sz w:val="24"/>
        </w:rPr>
        <w:t>Case Management S</w:t>
      </w:r>
      <w:r w:rsidRPr="00120A30">
        <w:rPr>
          <w:rFonts w:ascii="Times New Roman" w:hAnsi="Times New Roman"/>
          <w:noProof/>
          <w:sz w:val="24"/>
        </w:rPr>
        <w:t>ystems</w:t>
      </w:r>
      <w:r w:rsidRPr="00120A30">
        <w:rPr>
          <w:rFonts w:ascii="Times New Roman" w:hAnsi="Times New Roman"/>
          <w:noProof/>
          <w:sz w:val="24"/>
          <w:vertAlign w:val="superscript"/>
        </w:rPr>
        <w:footnoteReference w:id="51"/>
      </w:r>
      <w:r>
        <w:rPr>
          <w:rFonts w:ascii="Times New Roman" w:hAnsi="Times New Roman"/>
          <w:noProof/>
          <w:sz w:val="24"/>
        </w:rPr>
        <w:t xml:space="preserve">. </w:t>
      </w:r>
      <w:r w:rsidR="00BF303A">
        <w:rPr>
          <w:rFonts w:ascii="Times New Roman" w:hAnsi="Times New Roman"/>
          <w:noProof/>
          <w:sz w:val="24"/>
        </w:rPr>
        <w:t>There is often a lack of a</w:t>
      </w:r>
      <w:r>
        <w:rPr>
          <w:rFonts w:ascii="Times New Roman" w:hAnsi="Times New Roman"/>
          <w:noProof/>
          <w:sz w:val="24"/>
        </w:rPr>
        <w:t xml:space="preserve"> modern information management architecture </w:t>
      </w:r>
      <w:r w:rsidR="00BF303A">
        <w:rPr>
          <w:rFonts w:ascii="Times New Roman" w:hAnsi="Times New Roman"/>
          <w:noProof/>
          <w:sz w:val="24"/>
        </w:rPr>
        <w:t>that would</w:t>
      </w:r>
      <w:r>
        <w:rPr>
          <w:rFonts w:ascii="Times New Roman" w:hAnsi="Times New Roman"/>
          <w:noProof/>
          <w:sz w:val="24"/>
        </w:rPr>
        <w:t xml:space="preserve"> alleviate tensions on limited human resources.</w:t>
      </w:r>
    </w:p>
    <w:p w14:paraId="3C1DB421" w14:textId="30FFBE08" w:rsidR="00E84C64" w:rsidRPr="00B357A8" w:rsidRDefault="00E84C64" w:rsidP="00E84C64">
      <w:pPr>
        <w:pStyle w:val="Caption"/>
        <w:keepNext/>
        <w:jc w:val="center"/>
        <w:rPr>
          <w:noProof/>
          <w:sz w:val="16"/>
          <w:lang w:val="en-GB"/>
        </w:rPr>
      </w:pPr>
      <w:r w:rsidRPr="00B357A8">
        <w:rPr>
          <w:noProof/>
          <w:sz w:val="16"/>
          <w:lang w:val="en-GB"/>
        </w:rPr>
        <w:t>SPOC's staff</w:t>
      </w:r>
    </w:p>
    <w:p w14:paraId="02A54210" w14:textId="24CA58A7" w:rsidR="00E84C64" w:rsidRPr="00B357A8" w:rsidRDefault="00E84C64" w:rsidP="00B357A8">
      <w:pPr>
        <w:pStyle w:val="Body"/>
        <w:spacing w:after="0"/>
        <w:rPr>
          <w:rStyle w:val="Subtitle21"/>
          <w:noProof/>
          <w:color w:val="808080" w:themeColor="text1" w:themeTint="7F"/>
        </w:rPr>
      </w:pPr>
      <w:r w:rsidRPr="00287BEA">
        <w:rPr>
          <w:rStyle w:val="SubtleEmphasis"/>
          <w:noProof/>
          <w:lang w:eastAsia="en-GB"/>
        </w:rPr>
        <w:drawing>
          <wp:inline distT="0" distB="0" distL="0" distR="0" wp14:anchorId="7EC246B4" wp14:editId="7E1F608C">
            <wp:extent cx="6115050" cy="289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15050" cy="289560"/>
                    </a:xfrm>
                    <a:prstGeom prst="rect">
                      <a:avLst/>
                    </a:prstGeom>
                  </pic:spPr>
                </pic:pic>
              </a:graphicData>
            </a:graphic>
          </wp:inline>
        </w:drawing>
      </w:r>
      <w:r w:rsidRPr="009C1BCF">
        <w:rPr>
          <w:rStyle w:val="Subtitle21"/>
          <w:noProof/>
          <w:sz w:val="16"/>
          <w:szCs w:val="16"/>
        </w:rPr>
        <w:t>*</w:t>
      </w:r>
      <w:r>
        <w:rPr>
          <w:rStyle w:val="Subtitle21"/>
          <w:noProof/>
          <w:sz w:val="16"/>
          <w:szCs w:val="16"/>
        </w:rPr>
        <w:t xml:space="preserve">Blue cells: number of SPOC’s staff. White cell: no data available. Grey cells: no </w:t>
      </w:r>
      <w:r w:rsidRPr="00D910D5">
        <w:rPr>
          <w:rStyle w:val="Subtitle21"/>
          <w:noProof/>
          <w:sz w:val="16"/>
          <w:szCs w:val="16"/>
        </w:rPr>
        <w:t>Schengen evaluation report</w:t>
      </w:r>
      <w:r>
        <w:rPr>
          <w:rStyle w:val="Subtitle21"/>
          <w:noProof/>
          <w:sz w:val="16"/>
          <w:szCs w:val="16"/>
        </w:rPr>
        <w:t xml:space="preserve"> available.</w:t>
      </w:r>
    </w:p>
    <w:p w14:paraId="18E405E1" w14:textId="25919C53" w:rsidR="00E84C64" w:rsidRPr="008206A8" w:rsidRDefault="00A863D1" w:rsidP="00B357A8">
      <w:pPr>
        <w:pStyle w:val="Body"/>
        <w:spacing w:after="120"/>
        <w:jc w:val="center"/>
        <w:rPr>
          <w:rStyle w:val="SubtleEmphasis"/>
          <w:noProof/>
        </w:rPr>
      </w:pPr>
      <w:r>
        <w:rPr>
          <w:rStyle w:val="SubtleEmphasis"/>
          <w:noProof/>
        </w:rPr>
        <w:t xml:space="preserve">Source: </w:t>
      </w:r>
      <w:r w:rsidR="00E84C64">
        <w:rPr>
          <w:rStyle w:val="SubtleEmphasis"/>
          <w:noProof/>
        </w:rPr>
        <w:t xml:space="preserve">EY/RAND study' </w:t>
      </w:r>
      <w:r w:rsidR="00E84C64" w:rsidRPr="007F1CC0">
        <w:rPr>
          <w:rStyle w:val="SubtleEmphasis"/>
          <w:noProof/>
        </w:rPr>
        <w:t>elaboration based on Schengen evaluation reports</w:t>
      </w:r>
    </w:p>
    <w:p w14:paraId="0689599A" w14:textId="68564D4A" w:rsidR="002E3778" w:rsidRPr="002E3778" w:rsidRDefault="002E3778" w:rsidP="00B357A8">
      <w:pPr>
        <w:pStyle w:val="Body"/>
        <w:pBdr>
          <w:top w:val="single" w:sz="4" w:space="1" w:color="auto"/>
          <w:left w:val="single" w:sz="4" w:space="1" w:color="auto"/>
          <w:bottom w:val="single" w:sz="4" w:space="1" w:color="auto"/>
          <w:right w:val="single" w:sz="4" w:space="1" w:color="auto"/>
        </w:pBdr>
        <w:shd w:val="clear" w:color="auto" w:fill="DEEAF6" w:themeFill="accent1" w:themeFillTint="33"/>
        <w:spacing w:after="120"/>
        <w:jc w:val="center"/>
        <w:rPr>
          <w:b/>
          <w:noProof/>
          <w:sz w:val="16"/>
          <w:szCs w:val="24"/>
        </w:rPr>
      </w:pPr>
      <w:r w:rsidRPr="002E3778">
        <w:rPr>
          <w:b/>
          <w:noProof/>
          <w:sz w:val="16"/>
          <w:szCs w:val="24"/>
        </w:rPr>
        <w:t>Examples found in Schengen evaluations in the field of police cooperation</w:t>
      </w:r>
      <w:r w:rsidR="00B357A8">
        <w:rPr>
          <w:b/>
          <w:noProof/>
          <w:sz w:val="16"/>
          <w:szCs w:val="24"/>
        </w:rPr>
        <w:t xml:space="preserve"> (2015-2019)</w:t>
      </w:r>
    </w:p>
    <w:p w14:paraId="0EE9E655" w14:textId="77777777" w:rsidR="00B357A8" w:rsidRDefault="002E3778" w:rsidP="00B357A8">
      <w:pPr>
        <w:pStyle w:val="Bulletmain"/>
        <w:pBdr>
          <w:top w:val="single" w:sz="4" w:space="1" w:color="auto"/>
          <w:left w:val="single" w:sz="4" w:space="1" w:color="auto"/>
          <w:bottom w:val="single" w:sz="4" w:space="1" w:color="auto"/>
          <w:right w:val="single" w:sz="4" w:space="1" w:color="auto"/>
        </w:pBdr>
        <w:shd w:val="clear" w:color="auto" w:fill="DEEAF6" w:themeFill="accent1" w:themeFillTint="33"/>
        <w:spacing w:before="0"/>
        <w:rPr>
          <w:noProof/>
          <w:sz w:val="16"/>
        </w:rPr>
      </w:pPr>
      <w:r w:rsidRPr="00B357A8">
        <w:rPr>
          <w:noProof/>
          <w:sz w:val="16"/>
        </w:rPr>
        <w:t>- In three countries, the total number of messages exchanged through all channels used by the SPOC has been increasing over the past years and was not mirrored by a comparable increase in the number of available staff, leading to challenges to cope with all requests for information;</w:t>
      </w:r>
    </w:p>
    <w:p w14:paraId="61C24A9B" w14:textId="77777777" w:rsidR="00244B25" w:rsidRDefault="002E3778" w:rsidP="00B357A8">
      <w:pPr>
        <w:pStyle w:val="Bulletmain"/>
        <w:pBdr>
          <w:top w:val="single" w:sz="4" w:space="1" w:color="auto"/>
          <w:left w:val="single" w:sz="4" w:space="1" w:color="auto"/>
          <w:bottom w:val="single" w:sz="4" w:space="1" w:color="auto"/>
          <w:right w:val="single" w:sz="4" w:space="1" w:color="auto"/>
        </w:pBdr>
        <w:shd w:val="clear" w:color="auto" w:fill="DEEAF6" w:themeFill="accent1" w:themeFillTint="33"/>
        <w:rPr>
          <w:noProof/>
          <w:sz w:val="16"/>
        </w:rPr>
      </w:pPr>
      <w:r w:rsidRPr="00B357A8">
        <w:rPr>
          <w:noProof/>
          <w:sz w:val="16"/>
        </w:rPr>
        <w:t xml:space="preserve">- </w:t>
      </w:r>
      <w:r w:rsidR="00244B25" w:rsidRPr="00B357A8">
        <w:rPr>
          <w:noProof/>
          <w:sz w:val="16"/>
        </w:rPr>
        <w:t>In one country, the human resources allocated to the national SPOC are deemed insufficient to properly address all requested exchanges of information</w:t>
      </w:r>
      <w:r w:rsidR="00244B25">
        <w:rPr>
          <w:noProof/>
          <w:sz w:val="16"/>
        </w:rPr>
        <w:t>;</w:t>
      </w:r>
    </w:p>
    <w:p w14:paraId="3BDD6E21" w14:textId="3ABCFC82" w:rsidR="00B357A8" w:rsidRPr="00B357A8" w:rsidRDefault="00244B25" w:rsidP="00244B25">
      <w:pPr>
        <w:pStyle w:val="Bulletmain"/>
        <w:pBdr>
          <w:top w:val="single" w:sz="4" w:space="1" w:color="auto"/>
          <w:left w:val="single" w:sz="4" w:space="1" w:color="auto"/>
          <w:bottom w:val="single" w:sz="4" w:space="1" w:color="auto"/>
          <w:right w:val="single" w:sz="4" w:space="1" w:color="auto"/>
        </w:pBdr>
        <w:shd w:val="clear" w:color="auto" w:fill="DEEAF6" w:themeFill="accent1" w:themeFillTint="33"/>
        <w:rPr>
          <w:rFonts w:ascii="Times New Roman" w:hAnsi="Times New Roman"/>
          <w:i/>
          <w:noProof/>
        </w:rPr>
      </w:pPr>
      <w:r>
        <w:rPr>
          <w:noProof/>
          <w:sz w:val="16"/>
        </w:rPr>
        <w:t>-</w:t>
      </w:r>
      <w:r w:rsidRPr="00B357A8">
        <w:rPr>
          <w:noProof/>
          <w:sz w:val="16"/>
        </w:rPr>
        <w:t xml:space="preserve"> </w:t>
      </w:r>
      <w:r w:rsidR="002E3778" w:rsidRPr="00B357A8">
        <w:rPr>
          <w:noProof/>
          <w:sz w:val="16"/>
        </w:rPr>
        <w:t>In one country, the number of SPOC staff has decreased recently despite a sizable increase in t</w:t>
      </w:r>
      <w:r>
        <w:rPr>
          <w:noProof/>
          <w:sz w:val="16"/>
        </w:rPr>
        <w:t>he number of messages exchanged.</w:t>
      </w:r>
    </w:p>
    <w:p w14:paraId="7CEBEC93" w14:textId="77777777" w:rsidR="00C76702" w:rsidRPr="00120A30" w:rsidRDefault="00C76702" w:rsidP="00B357A8">
      <w:pPr>
        <w:pStyle w:val="Body"/>
        <w:spacing w:before="120" w:after="120"/>
        <w:jc w:val="both"/>
        <w:rPr>
          <w:rFonts w:ascii="Times New Roman" w:hAnsi="Times New Roman"/>
          <w:i/>
          <w:noProof/>
          <w:sz w:val="24"/>
        </w:rPr>
      </w:pPr>
      <w:r w:rsidRPr="00120A30">
        <w:rPr>
          <w:rFonts w:ascii="Times New Roman" w:hAnsi="Times New Roman"/>
          <w:i/>
          <w:noProof/>
          <w:sz w:val="24"/>
        </w:rPr>
        <w:t xml:space="preserve">Information from (i) different units within the SPOCs and (ii) from the PCCCs (and equivalent structures </w:t>
      </w:r>
      <w:r w:rsidR="003A4ECC">
        <w:rPr>
          <w:rFonts w:ascii="Times New Roman" w:hAnsi="Times New Roman"/>
          <w:i/>
          <w:noProof/>
          <w:sz w:val="24"/>
        </w:rPr>
        <w:t xml:space="preserve">in </w:t>
      </w:r>
      <w:r w:rsidRPr="00120A30">
        <w:rPr>
          <w:rFonts w:ascii="Times New Roman" w:hAnsi="Times New Roman"/>
          <w:i/>
          <w:noProof/>
          <w:sz w:val="24"/>
        </w:rPr>
        <w:t>the border area) is not always integrated in the SPOC information management system</w:t>
      </w:r>
      <w:r w:rsidR="002635C2">
        <w:rPr>
          <w:rFonts w:ascii="Times New Roman" w:hAnsi="Times New Roman"/>
          <w:i/>
          <w:noProof/>
          <w:sz w:val="24"/>
        </w:rPr>
        <w:t>.</w:t>
      </w:r>
    </w:p>
    <w:p w14:paraId="01DFCCFA" w14:textId="1C965799" w:rsidR="00C76702" w:rsidRPr="00B357A8" w:rsidRDefault="00C76702" w:rsidP="00707BFC">
      <w:pPr>
        <w:pStyle w:val="Body"/>
        <w:spacing w:after="120"/>
        <w:jc w:val="both"/>
        <w:rPr>
          <w:noProof/>
        </w:rPr>
      </w:pPr>
      <w:r w:rsidRPr="00120A30">
        <w:rPr>
          <w:rFonts w:ascii="Times New Roman" w:hAnsi="Times New Roman"/>
          <w:noProof/>
          <w:sz w:val="24"/>
        </w:rPr>
        <w:t xml:space="preserve">In some Member States </w:t>
      </w:r>
      <w:r w:rsidRPr="002635C2">
        <w:rPr>
          <w:rFonts w:ascii="Times New Roman" w:hAnsi="Times New Roman"/>
          <w:bCs/>
          <w:noProof/>
          <w:sz w:val="24"/>
        </w:rPr>
        <w:t>there is</w:t>
      </w:r>
      <w:r w:rsidRPr="00120A30">
        <w:rPr>
          <w:rFonts w:ascii="Times New Roman" w:hAnsi="Times New Roman"/>
          <w:b/>
          <w:bCs/>
          <w:noProof/>
          <w:sz w:val="24"/>
        </w:rPr>
        <w:t xml:space="preserve"> no integration of information </w:t>
      </w:r>
      <w:r w:rsidRPr="002635C2">
        <w:rPr>
          <w:rFonts w:ascii="Times New Roman" w:hAnsi="Times New Roman"/>
          <w:bCs/>
          <w:noProof/>
          <w:sz w:val="24"/>
        </w:rPr>
        <w:t xml:space="preserve">included in databases owned by the different law enforcement </w:t>
      </w:r>
      <w:r w:rsidR="003A4ECC">
        <w:rPr>
          <w:rFonts w:ascii="Times New Roman" w:hAnsi="Times New Roman"/>
          <w:bCs/>
          <w:noProof/>
          <w:sz w:val="24"/>
        </w:rPr>
        <w:t>authorities</w:t>
      </w:r>
      <w:r w:rsidRPr="002635C2">
        <w:rPr>
          <w:rFonts w:ascii="Times New Roman" w:hAnsi="Times New Roman"/>
          <w:noProof/>
          <w:sz w:val="24"/>
        </w:rPr>
        <w:t>,</w:t>
      </w:r>
      <w:r w:rsidRPr="00120A30">
        <w:rPr>
          <w:rFonts w:ascii="Times New Roman" w:hAnsi="Times New Roman"/>
          <w:noProof/>
          <w:sz w:val="24"/>
        </w:rPr>
        <w:t xml:space="preserve"> which form part of the same SPOC and/or the PCCC. The lack of integration of information collected and stored by different </w:t>
      </w:r>
      <w:r w:rsidR="003A4ECC">
        <w:rPr>
          <w:rFonts w:ascii="Times New Roman" w:hAnsi="Times New Roman"/>
          <w:noProof/>
          <w:sz w:val="24"/>
        </w:rPr>
        <w:t>l</w:t>
      </w:r>
      <w:r w:rsidR="00480B9A">
        <w:rPr>
          <w:rFonts w:ascii="Times New Roman" w:hAnsi="Times New Roman"/>
          <w:noProof/>
          <w:sz w:val="24"/>
        </w:rPr>
        <w:t xml:space="preserve">aw </w:t>
      </w:r>
      <w:r w:rsidR="003A4ECC">
        <w:rPr>
          <w:rFonts w:ascii="Times New Roman" w:hAnsi="Times New Roman"/>
          <w:noProof/>
          <w:sz w:val="24"/>
        </w:rPr>
        <w:t>e</w:t>
      </w:r>
      <w:r w:rsidR="00480B9A">
        <w:rPr>
          <w:rFonts w:ascii="Times New Roman" w:hAnsi="Times New Roman"/>
          <w:noProof/>
          <w:sz w:val="24"/>
        </w:rPr>
        <w:t xml:space="preserve">nforcement </w:t>
      </w:r>
      <w:r w:rsidR="003A4ECC">
        <w:rPr>
          <w:rFonts w:ascii="Times New Roman" w:hAnsi="Times New Roman"/>
          <w:noProof/>
          <w:sz w:val="24"/>
        </w:rPr>
        <w:t>a</w:t>
      </w:r>
      <w:r w:rsidR="00480B9A">
        <w:rPr>
          <w:rFonts w:ascii="Times New Roman" w:hAnsi="Times New Roman"/>
          <w:noProof/>
          <w:sz w:val="24"/>
        </w:rPr>
        <w:t>uthoritie</w:t>
      </w:r>
      <w:r w:rsidRPr="00120A30">
        <w:rPr>
          <w:rFonts w:ascii="Times New Roman" w:hAnsi="Times New Roman"/>
          <w:noProof/>
          <w:sz w:val="24"/>
        </w:rPr>
        <w:t>s results in a risk of duplications of both uploads and searches of information, hence reducing the overall efficiency of information exchange</w:t>
      </w:r>
      <w:r w:rsidRPr="00120A30">
        <w:rPr>
          <w:rFonts w:ascii="Times New Roman" w:hAnsi="Times New Roman"/>
          <w:noProof/>
          <w:sz w:val="24"/>
          <w:vertAlign w:val="superscript"/>
        </w:rPr>
        <w:footnoteReference w:id="52"/>
      </w:r>
      <w:r>
        <w:rPr>
          <w:rFonts w:ascii="Times New Roman" w:hAnsi="Times New Roman"/>
          <w:noProof/>
          <w:sz w:val="24"/>
        </w:rPr>
        <w:t>.</w:t>
      </w:r>
    </w:p>
    <w:p w14:paraId="51F544E8" w14:textId="77777777" w:rsidR="00C76702" w:rsidRPr="00120A30" w:rsidRDefault="00C76702" w:rsidP="00EB7963">
      <w:pPr>
        <w:pStyle w:val="Body"/>
        <w:spacing w:after="120"/>
        <w:jc w:val="both"/>
        <w:rPr>
          <w:rFonts w:ascii="Times New Roman" w:hAnsi="Times New Roman"/>
          <w:i/>
          <w:noProof/>
          <w:sz w:val="24"/>
        </w:rPr>
      </w:pPr>
      <w:r w:rsidRPr="00120A30">
        <w:rPr>
          <w:rFonts w:ascii="Times New Roman" w:hAnsi="Times New Roman"/>
          <w:i/>
          <w:noProof/>
          <w:sz w:val="24"/>
        </w:rPr>
        <w:t xml:space="preserve">Direct and user-friendly access to all relevant EU and international databases and platforms is not the norm in the SPOCs and the PCCCs. The specific national </w:t>
      </w:r>
      <w:r>
        <w:rPr>
          <w:rFonts w:ascii="Times New Roman" w:hAnsi="Times New Roman"/>
          <w:i/>
          <w:noProof/>
          <w:sz w:val="24"/>
        </w:rPr>
        <w:t>law enforcement authorities</w:t>
      </w:r>
      <w:r w:rsidR="00480B9A">
        <w:rPr>
          <w:rFonts w:ascii="Times New Roman" w:hAnsi="Times New Roman"/>
          <w:i/>
          <w:noProof/>
          <w:sz w:val="24"/>
        </w:rPr>
        <w:t xml:space="preserve"> (LEAs)</w:t>
      </w:r>
      <w:r w:rsidRPr="00120A30">
        <w:rPr>
          <w:rFonts w:ascii="Times New Roman" w:hAnsi="Times New Roman"/>
          <w:i/>
          <w:noProof/>
          <w:sz w:val="24"/>
        </w:rPr>
        <w:t xml:space="preserve"> entitled to access and use EU and international databases and platforms </w:t>
      </w:r>
      <w:r>
        <w:rPr>
          <w:rFonts w:ascii="Times New Roman" w:hAnsi="Times New Roman"/>
          <w:i/>
          <w:noProof/>
          <w:sz w:val="24"/>
        </w:rPr>
        <w:t>vary between the Member States.</w:t>
      </w:r>
    </w:p>
    <w:p w14:paraId="496165F9" w14:textId="322E7A78" w:rsidR="00C76702" w:rsidRDefault="00C76702" w:rsidP="00EB7963">
      <w:pPr>
        <w:pStyle w:val="Body"/>
        <w:spacing w:after="120"/>
        <w:jc w:val="both"/>
        <w:rPr>
          <w:rFonts w:ascii="Times New Roman" w:hAnsi="Times New Roman"/>
          <w:noProof/>
          <w:sz w:val="24"/>
        </w:rPr>
      </w:pPr>
      <w:r w:rsidRPr="00120A30">
        <w:rPr>
          <w:rFonts w:ascii="Times New Roman" w:hAnsi="Times New Roman"/>
          <w:noProof/>
          <w:sz w:val="24"/>
        </w:rPr>
        <w:t xml:space="preserve">An additional issue hampering a smooth </w:t>
      </w:r>
      <w:r w:rsidRPr="00120A30" w:rsidDel="00756FE9">
        <w:rPr>
          <w:rFonts w:ascii="Times New Roman" w:hAnsi="Times New Roman"/>
          <w:noProof/>
          <w:sz w:val="24"/>
        </w:rPr>
        <w:t>cross</w:t>
      </w:r>
      <w:r w:rsidRPr="00120A30">
        <w:rPr>
          <w:rFonts w:ascii="Times New Roman" w:hAnsi="Times New Roman"/>
          <w:noProof/>
          <w:sz w:val="24"/>
        </w:rPr>
        <w:t xml:space="preserve">-border exchange of information is that </w:t>
      </w:r>
      <w:r w:rsidRPr="002635C2">
        <w:rPr>
          <w:rFonts w:ascii="Times New Roman" w:hAnsi="Times New Roman"/>
          <w:bCs/>
          <w:noProof/>
          <w:sz w:val="24"/>
        </w:rPr>
        <w:t xml:space="preserve">the SPOCs and the PCCCs do </w:t>
      </w:r>
      <w:r w:rsidRPr="00120A30">
        <w:rPr>
          <w:rFonts w:ascii="Times New Roman" w:hAnsi="Times New Roman"/>
          <w:b/>
          <w:bCs/>
          <w:noProof/>
          <w:sz w:val="24"/>
        </w:rPr>
        <w:t xml:space="preserve">not </w:t>
      </w:r>
      <w:r w:rsidRPr="002635C2">
        <w:rPr>
          <w:rFonts w:ascii="Times New Roman" w:hAnsi="Times New Roman"/>
          <w:bCs/>
          <w:noProof/>
          <w:sz w:val="24"/>
        </w:rPr>
        <w:t>always</w:t>
      </w:r>
      <w:r w:rsidRPr="00120A30">
        <w:rPr>
          <w:rFonts w:ascii="Times New Roman" w:hAnsi="Times New Roman"/>
          <w:b/>
          <w:bCs/>
          <w:noProof/>
          <w:sz w:val="24"/>
        </w:rPr>
        <w:t xml:space="preserve"> have direct </w:t>
      </w:r>
      <w:r w:rsidRPr="002635C2">
        <w:rPr>
          <w:rFonts w:ascii="Times New Roman" w:hAnsi="Times New Roman"/>
          <w:bCs/>
          <w:noProof/>
          <w:sz w:val="24"/>
        </w:rPr>
        <w:t>and user-friendly</w:t>
      </w:r>
      <w:r w:rsidRPr="00120A30">
        <w:rPr>
          <w:rFonts w:ascii="Times New Roman" w:hAnsi="Times New Roman"/>
          <w:b/>
          <w:bCs/>
          <w:noProof/>
          <w:sz w:val="24"/>
        </w:rPr>
        <w:t xml:space="preserve"> access to all relevant EU and international databases and platforms</w:t>
      </w:r>
      <w:r w:rsidRPr="00120A30">
        <w:rPr>
          <w:rFonts w:ascii="Times New Roman" w:hAnsi="Times New Roman"/>
          <w:noProof/>
          <w:sz w:val="24"/>
        </w:rPr>
        <w:t xml:space="preserve">, limiting their capacity to effectively support </w:t>
      </w:r>
      <w:r w:rsidRPr="00120A30" w:rsidDel="00756FE9">
        <w:rPr>
          <w:rFonts w:ascii="Times New Roman" w:hAnsi="Times New Roman"/>
          <w:noProof/>
          <w:sz w:val="24"/>
        </w:rPr>
        <w:t>cross</w:t>
      </w:r>
      <w:r w:rsidRPr="00120A30">
        <w:rPr>
          <w:rFonts w:ascii="Times New Roman" w:hAnsi="Times New Roman"/>
          <w:noProof/>
          <w:sz w:val="24"/>
        </w:rPr>
        <w:t>-border exchange of information</w:t>
      </w:r>
      <w:r w:rsidRPr="00120A30">
        <w:rPr>
          <w:rFonts w:ascii="Times New Roman" w:hAnsi="Times New Roman"/>
          <w:noProof/>
          <w:sz w:val="24"/>
          <w:vertAlign w:val="superscript"/>
        </w:rPr>
        <w:footnoteReference w:id="53"/>
      </w:r>
      <w:r>
        <w:rPr>
          <w:rFonts w:ascii="Times New Roman" w:hAnsi="Times New Roman"/>
          <w:noProof/>
          <w:sz w:val="24"/>
        </w:rPr>
        <w:t>,</w:t>
      </w:r>
      <w:r w:rsidRPr="00120A30">
        <w:rPr>
          <w:rFonts w:ascii="Times New Roman" w:hAnsi="Times New Roman"/>
          <w:noProof/>
          <w:sz w:val="24"/>
        </w:rPr>
        <w:t xml:space="preserve"> thus hampering cross-border law enforce</w:t>
      </w:r>
      <w:r>
        <w:rPr>
          <w:rFonts w:ascii="Times New Roman" w:hAnsi="Times New Roman"/>
          <w:noProof/>
          <w:sz w:val="24"/>
        </w:rPr>
        <w:t>ment cooperation</w:t>
      </w:r>
      <w:r w:rsidRPr="00120A30">
        <w:rPr>
          <w:rFonts w:ascii="Times New Roman" w:hAnsi="Times New Roman"/>
          <w:noProof/>
          <w:sz w:val="24"/>
          <w:vertAlign w:val="superscript"/>
        </w:rPr>
        <w:footnoteReference w:id="54"/>
      </w:r>
      <w:r>
        <w:rPr>
          <w:rFonts w:ascii="Times New Roman" w:hAnsi="Times New Roman"/>
          <w:noProof/>
          <w:sz w:val="24"/>
        </w:rPr>
        <w:t>.</w:t>
      </w:r>
      <w:r w:rsidRPr="00120A30">
        <w:rPr>
          <w:rFonts w:ascii="Times New Roman" w:hAnsi="Times New Roman"/>
          <w:noProof/>
          <w:sz w:val="24"/>
        </w:rPr>
        <w:t xml:space="preserve"> As regards the PCCCs, out of 59 PCCCs active in Europe, </w:t>
      </w:r>
      <w:r w:rsidR="009834F3">
        <w:rPr>
          <w:rFonts w:ascii="Times New Roman" w:hAnsi="Times New Roman"/>
          <w:noProof/>
          <w:sz w:val="24"/>
        </w:rPr>
        <w:t xml:space="preserve">only </w:t>
      </w:r>
      <w:r w:rsidR="00327894">
        <w:rPr>
          <w:rFonts w:ascii="Times New Roman" w:hAnsi="Times New Roman"/>
          <w:noProof/>
          <w:sz w:val="24"/>
        </w:rPr>
        <w:t xml:space="preserve">14 are </w:t>
      </w:r>
      <w:r w:rsidRPr="00120A30">
        <w:rPr>
          <w:rFonts w:ascii="Times New Roman" w:hAnsi="Times New Roman"/>
          <w:noProof/>
          <w:sz w:val="24"/>
        </w:rPr>
        <w:t xml:space="preserve">connected to </w:t>
      </w:r>
      <w:r>
        <w:rPr>
          <w:rFonts w:ascii="Times New Roman" w:hAnsi="Times New Roman"/>
          <w:noProof/>
          <w:sz w:val="24"/>
        </w:rPr>
        <w:t xml:space="preserve">Europol </w:t>
      </w:r>
      <w:r w:rsidRPr="00120A30">
        <w:rPr>
          <w:rFonts w:ascii="Times New Roman" w:hAnsi="Times New Roman"/>
          <w:noProof/>
          <w:sz w:val="24"/>
        </w:rPr>
        <w:t>SIENA</w:t>
      </w:r>
      <w:r w:rsidRPr="00120A30">
        <w:rPr>
          <w:rFonts w:ascii="Times New Roman" w:hAnsi="Times New Roman"/>
          <w:noProof/>
          <w:sz w:val="24"/>
          <w:vertAlign w:val="superscript"/>
        </w:rPr>
        <w:footnoteReference w:id="55"/>
      </w:r>
      <w:r>
        <w:rPr>
          <w:rFonts w:ascii="Times New Roman" w:hAnsi="Times New Roman"/>
          <w:noProof/>
          <w:sz w:val="24"/>
        </w:rPr>
        <w:t>.</w:t>
      </w:r>
      <w:r w:rsidRPr="00120A30">
        <w:rPr>
          <w:rFonts w:ascii="Times New Roman" w:hAnsi="Times New Roman"/>
          <w:noProof/>
          <w:sz w:val="24"/>
        </w:rPr>
        <w:t xml:space="preserve"> Besides the PCCCs, this consideration also appli</w:t>
      </w:r>
      <w:r>
        <w:rPr>
          <w:rFonts w:ascii="Times New Roman" w:hAnsi="Times New Roman"/>
          <w:noProof/>
          <w:sz w:val="24"/>
        </w:rPr>
        <w:t>es to regional and local level law enforcement authority investigation departments</w:t>
      </w:r>
      <w:r w:rsidRPr="00120A30">
        <w:rPr>
          <w:rFonts w:ascii="Times New Roman" w:hAnsi="Times New Roman"/>
          <w:noProof/>
          <w:sz w:val="24"/>
        </w:rPr>
        <w:t xml:space="preserve"> that most of the times do not have access to SIENA</w:t>
      </w:r>
      <w:r w:rsidRPr="00120A30">
        <w:rPr>
          <w:rFonts w:ascii="Times New Roman" w:hAnsi="Times New Roman"/>
          <w:noProof/>
          <w:sz w:val="24"/>
          <w:vertAlign w:val="superscript"/>
        </w:rPr>
        <w:footnoteReference w:id="56"/>
      </w:r>
      <w:r>
        <w:rPr>
          <w:rFonts w:ascii="Times New Roman" w:hAnsi="Times New Roman"/>
          <w:noProof/>
          <w:sz w:val="24"/>
        </w:rPr>
        <w:t>.</w:t>
      </w:r>
    </w:p>
    <w:p w14:paraId="3C1D092A" w14:textId="417FE67C" w:rsidR="002E3778" w:rsidRDefault="002E3778" w:rsidP="00B357A8">
      <w:pPr>
        <w:pStyle w:val="Body"/>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noProof/>
          <w:sz w:val="24"/>
        </w:rPr>
      </w:pPr>
      <w:r w:rsidRPr="002E3778">
        <w:rPr>
          <w:b/>
          <w:noProof/>
          <w:sz w:val="16"/>
          <w:szCs w:val="24"/>
        </w:rPr>
        <w:t>Examples found in Schengen evaluations in the field of police cooperation</w:t>
      </w:r>
      <w:r w:rsidR="00B357A8">
        <w:rPr>
          <w:b/>
          <w:noProof/>
          <w:sz w:val="16"/>
          <w:szCs w:val="24"/>
        </w:rPr>
        <w:t xml:space="preserve"> (2015-2019)</w:t>
      </w:r>
    </w:p>
    <w:p w14:paraId="61280879" w14:textId="0F95CE8B"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One country reported that the customs Liaison Official at Europol is the only national customs staff granted with direct access to the E</w:t>
      </w:r>
      <w:r w:rsidR="002E3778">
        <w:rPr>
          <w:noProof/>
          <w:sz w:val="16"/>
        </w:rPr>
        <w:t>uropol Information System</w:t>
      </w:r>
      <w:r w:rsidR="002E3778" w:rsidRPr="00B357A8">
        <w:rPr>
          <w:noProof/>
          <w:sz w:val="16"/>
        </w:rPr>
        <w:t>;</w:t>
      </w:r>
    </w:p>
    <w:p w14:paraId="57DA06C9" w14:textId="35424B78"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One country</w:t>
      </w:r>
      <w:r w:rsidR="002E3778" w:rsidRPr="00B357A8">
        <w:rPr>
          <w:b/>
          <w:bCs w:val="0"/>
          <w:noProof/>
          <w:sz w:val="16"/>
        </w:rPr>
        <w:t xml:space="preserve"> </w:t>
      </w:r>
      <w:r w:rsidR="002E3778" w:rsidRPr="00B357A8">
        <w:rPr>
          <w:noProof/>
          <w:sz w:val="16"/>
        </w:rPr>
        <w:t>reported to have no Case Management System (CMS) in place at the international police in the unit responsible for all matters relating to international police cooperation and communication within the police;</w:t>
      </w:r>
    </w:p>
    <w:p w14:paraId="62433E62" w14:textId="2CD11CA9"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In one country, national LEAs do not have direct access to the national identity document registry;</w:t>
      </w:r>
    </w:p>
    <w:p w14:paraId="1CC05D47" w14:textId="4AC40EEC"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In one country</w:t>
      </w:r>
      <w:r w:rsidR="002E3778" w:rsidRPr="00B357A8">
        <w:rPr>
          <w:b/>
          <w:bCs w:val="0"/>
          <w:noProof/>
          <w:sz w:val="16"/>
        </w:rPr>
        <w:t>,</w:t>
      </w:r>
      <w:r w:rsidR="002E3778" w:rsidRPr="00B357A8">
        <w:rPr>
          <w:noProof/>
          <w:sz w:val="16"/>
        </w:rPr>
        <w:t xml:space="preserve"> the national police database is not linked to the national case management system;</w:t>
      </w:r>
    </w:p>
    <w:p w14:paraId="1AC73D91" w14:textId="54454A56"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B357A8">
        <w:rPr>
          <w:noProof/>
          <w:sz w:val="16"/>
        </w:rPr>
        <w:t>In o</w:t>
      </w:r>
      <w:r w:rsidR="002E3778" w:rsidRPr="00B357A8">
        <w:rPr>
          <w:noProof/>
          <w:sz w:val="16"/>
        </w:rPr>
        <w:t>ne country, the search criteria for the national police database do not fully mirror those for accessing the data included in the SIS II database. For this reason, officials have difficulties to retrieve information from the different databases, especially when they lack specific information such as the passport nationality or document type, which may be required by one information system and not by the other;</w:t>
      </w:r>
    </w:p>
    <w:p w14:paraId="39068F4D" w14:textId="4B69A431"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In one country</w:t>
      </w:r>
      <w:r w:rsidR="002E3778" w:rsidRPr="00B357A8">
        <w:rPr>
          <w:b/>
          <w:bCs w:val="0"/>
          <w:noProof/>
          <w:sz w:val="16"/>
        </w:rPr>
        <w:t>,</w:t>
      </w:r>
      <w:r w:rsidR="002E3778" w:rsidRPr="00B357A8">
        <w:rPr>
          <w:noProof/>
          <w:sz w:val="16"/>
        </w:rPr>
        <w:t xml:space="preserve"> each national police force has its own database which is not accessible to and interoperable with databases used by other police forces: in order to check whether a person or object has been registered in a specific database, officials from each agency have to perform separate searches in their corresponding databases, each accessible from different workstations. Hence, the risk of waste of time and duplication of information and related searches;</w:t>
      </w:r>
    </w:p>
    <w:p w14:paraId="4BB4443B" w14:textId="0CE3F56F"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 xml:space="preserve">In one country, incoming requests for information are managed by the </w:t>
      </w:r>
      <w:r w:rsidR="00B357A8" w:rsidRPr="00B357A8">
        <w:rPr>
          <w:noProof/>
          <w:sz w:val="16"/>
        </w:rPr>
        <w:t>international</w:t>
      </w:r>
      <w:r w:rsidR="002E3778" w:rsidRPr="00B357A8">
        <w:rPr>
          <w:noProof/>
          <w:sz w:val="16"/>
        </w:rPr>
        <w:t xml:space="preserve"> police, which consists of different units, each having its own case management system. When the request is received, the overarching unit forwards it to the different units; this double-step process takes time, and this could represent a hurdle in the case of urgent requests;</w:t>
      </w:r>
    </w:p>
    <w:p w14:paraId="5DAA5B4E" w14:textId="2980B224"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Similar issues are reported also in another two countries, where manual double-checking by officials is performed to avoid duplications of information and requests;</w:t>
      </w:r>
    </w:p>
    <w:p w14:paraId="6B7DB14D" w14:textId="645C718E"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Moreover, duplications are particularly challenging where, like in</w:t>
      </w:r>
      <w:r w:rsidR="002E3778" w:rsidRPr="00B357A8">
        <w:rPr>
          <w:b/>
          <w:bCs w:val="0"/>
          <w:noProof/>
          <w:sz w:val="16"/>
        </w:rPr>
        <w:t xml:space="preserve"> </w:t>
      </w:r>
      <w:r w:rsidR="002E3778" w:rsidRPr="00B357A8">
        <w:rPr>
          <w:noProof/>
          <w:sz w:val="16"/>
        </w:rPr>
        <w:t>one country, there are no available electronic means for automatically identifying cases of duplications of information between the workflow systems;</w:t>
      </w:r>
    </w:p>
    <w:p w14:paraId="5007BB60" w14:textId="72FE6313"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In one country, requests and messages received through i24/7, SIS, SIRENE and SIENA are entered into the SPOC’s case management system. However, the information included in the messages is not automatically cross-checked against the national databases and this means that the checks have to be performed manually;</w:t>
      </w:r>
    </w:p>
    <w:p w14:paraId="53AC3B00" w14:textId="32325E93" w:rsidR="002E3778" w:rsidRPr="00B357A8" w:rsidRDefault="00244B25" w:rsidP="00B357A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002E3778" w:rsidRPr="00B357A8">
        <w:rPr>
          <w:noProof/>
          <w:sz w:val="16"/>
        </w:rPr>
        <w:t>In one country, limited interoperability is further exacerbated by the fact that international information exchanges at the local or regional levels are not systematically reported to the SPOC undermining its coordination role.</w:t>
      </w:r>
    </w:p>
    <w:p w14:paraId="00EC755A" w14:textId="77777777" w:rsidR="00C76702" w:rsidRPr="00120A30" w:rsidRDefault="00C76702" w:rsidP="00EB7963">
      <w:pPr>
        <w:pStyle w:val="Body"/>
        <w:spacing w:after="120"/>
        <w:jc w:val="both"/>
        <w:rPr>
          <w:rFonts w:ascii="Times New Roman" w:hAnsi="Times New Roman"/>
          <w:b/>
          <w:iCs/>
          <w:noProof/>
          <w:sz w:val="24"/>
          <w:u w:val="single"/>
        </w:rPr>
      </w:pPr>
      <w:r w:rsidRPr="00120A30">
        <w:rPr>
          <w:rFonts w:ascii="Times New Roman" w:hAnsi="Times New Roman"/>
          <w:i/>
          <w:noProof/>
          <w:sz w:val="24"/>
        </w:rPr>
        <w:t>National LEAs have limited awareness and knowledge of relevant databases</w:t>
      </w:r>
      <w:r w:rsidR="002635C2">
        <w:rPr>
          <w:rFonts w:ascii="Times New Roman" w:hAnsi="Times New Roman"/>
          <w:i/>
          <w:noProof/>
          <w:sz w:val="24"/>
        </w:rPr>
        <w:t>.</w:t>
      </w:r>
    </w:p>
    <w:p w14:paraId="0A5EADA7" w14:textId="77777777" w:rsidR="00C76702" w:rsidRPr="00120A30" w:rsidRDefault="00C76702" w:rsidP="00EB7963">
      <w:pPr>
        <w:pStyle w:val="Body"/>
        <w:spacing w:after="120"/>
        <w:jc w:val="both"/>
        <w:rPr>
          <w:rFonts w:ascii="Times New Roman" w:hAnsi="Times New Roman"/>
          <w:noProof/>
          <w:sz w:val="24"/>
        </w:rPr>
      </w:pPr>
      <w:r w:rsidRPr="00120A30">
        <w:rPr>
          <w:rFonts w:ascii="Times New Roman" w:hAnsi="Times New Roman"/>
          <w:noProof/>
          <w:sz w:val="24"/>
        </w:rPr>
        <w:t>C</w:t>
      </w:r>
      <w:r w:rsidRPr="00120A30" w:rsidDel="00756FE9">
        <w:rPr>
          <w:rFonts w:ascii="Times New Roman" w:hAnsi="Times New Roman"/>
          <w:noProof/>
          <w:sz w:val="24"/>
        </w:rPr>
        <w:t>ross</w:t>
      </w:r>
      <w:r w:rsidRPr="00120A30">
        <w:rPr>
          <w:rFonts w:ascii="Times New Roman" w:hAnsi="Times New Roman"/>
          <w:noProof/>
          <w:sz w:val="24"/>
        </w:rPr>
        <w:t xml:space="preserve">-border information sharing is further hampered </w:t>
      </w:r>
      <w:r w:rsidRPr="00120A30">
        <w:rPr>
          <w:rFonts w:ascii="Times New Roman" w:hAnsi="Times New Roman"/>
          <w:bCs/>
          <w:noProof/>
          <w:sz w:val="24"/>
        </w:rPr>
        <w:t>by the</w:t>
      </w:r>
      <w:r w:rsidRPr="00120A30">
        <w:rPr>
          <w:rFonts w:ascii="Times New Roman" w:hAnsi="Times New Roman"/>
          <w:noProof/>
          <w:sz w:val="24"/>
        </w:rPr>
        <w:t xml:space="preserve"> </w:t>
      </w:r>
      <w:r w:rsidRPr="00120A30">
        <w:rPr>
          <w:rFonts w:ascii="Times New Roman" w:hAnsi="Times New Roman"/>
          <w:b/>
          <w:noProof/>
          <w:sz w:val="24"/>
        </w:rPr>
        <w:t xml:space="preserve">national </w:t>
      </w:r>
      <w:r w:rsidRPr="00120A30">
        <w:rPr>
          <w:rFonts w:ascii="Times New Roman" w:hAnsi="Times New Roman"/>
          <w:b/>
          <w:bCs/>
          <w:noProof/>
          <w:sz w:val="24"/>
        </w:rPr>
        <w:t>LEAs</w:t>
      </w:r>
      <w:r>
        <w:rPr>
          <w:rFonts w:ascii="Times New Roman" w:hAnsi="Times New Roman"/>
          <w:b/>
          <w:bCs/>
          <w:noProof/>
          <w:sz w:val="24"/>
        </w:rPr>
        <w:t>'</w:t>
      </w:r>
      <w:r w:rsidRPr="00120A30">
        <w:rPr>
          <w:rFonts w:ascii="Times New Roman" w:hAnsi="Times New Roman"/>
          <w:noProof/>
          <w:sz w:val="24"/>
        </w:rPr>
        <w:t xml:space="preserve"> </w:t>
      </w:r>
      <w:r w:rsidRPr="00120A30">
        <w:rPr>
          <w:rFonts w:ascii="Times New Roman" w:hAnsi="Times New Roman"/>
          <w:b/>
          <w:noProof/>
          <w:sz w:val="24"/>
        </w:rPr>
        <w:t xml:space="preserve">limited awareness </w:t>
      </w:r>
      <w:r w:rsidRPr="002635C2">
        <w:rPr>
          <w:rFonts w:ascii="Times New Roman" w:hAnsi="Times New Roman"/>
          <w:noProof/>
          <w:sz w:val="24"/>
        </w:rPr>
        <w:t>and knowledge of</w:t>
      </w:r>
      <w:r w:rsidRPr="00120A30">
        <w:rPr>
          <w:rFonts w:ascii="Times New Roman" w:hAnsi="Times New Roman"/>
          <w:b/>
          <w:noProof/>
          <w:sz w:val="24"/>
        </w:rPr>
        <w:t xml:space="preserve"> relevant databases</w:t>
      </w:r>
      <w:r w:rsidRPr="00120A30">
        <w:rPr>
          <w:rFonts w:ascii="Times New Roman" w:hAnsi="Times New Roman"/>
          <w:noProof/>
          <w:sz w:val="24"/>
        </w:rPr>
        <w:t xml:space="preserve">. Notably, the majority of Member States </w:t>
      </w:r>
      <w:r>
        <w:rPr>
          <w:rFonts w:ascii="Times New Roman" w:hAnsi="Times New Roman"/>
          <w:noProof/>
          <w:sz w:val="24"/>
        </w:rPr>
        <w:t>reported that national LEAs'</w:t>
      </w:r>
      <w:r w:rsidRPr="00120A30">
        <w:rPr>
          <w:rFonts w:ascii="Times New Roman" w:hAnsi="Times New Roman"/>
          <w:noProof/>
          <w:sz w:val="24"/>
        </w:rPr>
        <w:t xml:space="preserve"> officials are not completely aware of all the law enforcement databases available to them or they are not sufficiently experienced an</w:t>
      </w:r>
      <w:r>
        <w:rPr>
          <w:rFonts w:ascii="Times New Roman" w:hAnsi="Times New Roman"/>
          <w:noProof/>
          <w:sz w:val="24"/>
        </w:rPr>
        <w:t xml:space="preserve">d proficient </w:t>
      </w:r>
      <w:r w:rsidR="008F3ABA">
        <w:rPr>
          <w:rFonts w:ascii="Times New Roman" w:hAnsi="Times New Roman"/>
          <w:noProof/>
          <w:sz w:val="24"/>
        </w:rPr>
        <w:t>in their use</w:t>
      </w:r>
      <w:r w:rsidRPr="00120A30">
        <w:rPr>
          <w:rFonts w:ascii="Times New Roman" w:hAnsi="Times New Roman"/>
          <w:noProof/>
          <w:sz w:val="24"/>
          <w:vertAlign w:val="superscript"/>
        </w:rPr>
        <w:footnoteReference w:id="57"/>
      </w:r>
      <w:r>
        <w:rPr>
          <w:rFonts w:ascii="Times New Roman" w:hAnsi="Times New Roman"/>
          <w:noProof/>
          <w:sz w:val="24"/>
        </w:rPr>
        <w:t>.</w:t>
      </w:r>
      <w:r w:rsidRPr="00120A30">
        <w:rPr>
          <w:rFonts w:ascii="Times New Roman" w:hAnsi="Times New Roman"/>
          <w:noProof/>
          <w:sz w:val="24"/>
        </w:rPr>
        <w:t xml:space="preserve"> </w:t>
      </w:r>
    </w:p>
    <w:p w14:paraId="2FE1BF10" w14:textId="77777777" w:rsidR="00C76702" w:rsidRDefault="00C76702" w:rsidP="00EB7963">
      <w:pPr>
        <w:pStyle w:val="Body"/>
        <w:spacing w:after="120"/>
        <w:jc w:val="both"/>
        <w:rPr>
          <w:rFonts w:ascii="Times New Roman" w:hAnsi="Times New Roman"/>
          <w:noProof/>
          <w:sz w:val="24"/>
          <w:szCs w:val="24"/>
        </w:rPr>
      </w:pPr>
      <w:r w:rsidRPr="00120A30">
        <w:rPr>
          <w:rFonts w:ascii="Times New Roman" w:hAnsi="Times New Roman"/>
          <w:i/>
          <w:noProof/>
          <w:sz w:val="24"/>
          <w:szCs w:val="24"/>
        </w:rPr>
        <w:t>The SPOCs often face IT capacity issues when dealing with the increasing requests for urgent information.</w:t>
      </w:r>
      <w:r w:rsidRPr="00C42841">
        <w:rPr>
          <w:rFonts w:ascii="Times New Roman" w:hAnsi="Times New Roman"/>
          <w:noProof/>
          <w:sz w:val="24"/>
          <w:szCs w:val="24"/>
        </w:rPr>
        <w:t xml:space="preserve"> </w:t>
      </w:r>
    </w:p>
    <w:p w14:paraId="026B941F" w14:textId="77777777" w:rsidR="00C76702" w:rsidRDefault="00C76702" w:rsidP="00EB7963">
      <w:pPr>
        <w:pStyle w:val="Body"/>
        <w:spacing w:after="120"/>
        <w:jc w:val="both"/>
        <w:rPr>
          <w:rFonts w:ascii="Times New Roman" w:hAnsi="Times New Roman"/>
          <w:noProof/>
          <w:sz w:val="24"/>
          <w:szCs w:val="24"/>
        </w:rPr>
      </w:pPr>
      <w:r w:rsidRPr="00C42841">
        <w:rPr>
          <w:rFonts w:ascii="Times New Roman" w:hAnsi="Times New Roman"/>
          <w:noProof/>
          <w:sz w:val="24"/>
          <w:szCs w:val="24"/>
        </w:rPr>
        <w:t xml:space="preserve">This is further challenged by the fact that </w:t>
      </w:r>
      <w:r w:rsidRPr="0069432B">
        <w:rPr>
          <w:rFonts w:ascii="Times New Roman" w:hAnsi="Times New Roman"/>
          <w:noProof/>
          <w:sz w:val="24"/>
          <w:szCs w:val="24"/>
        </w:rPr>
        <w:t>the SPOCs and the PCCCs are</w:t>
      </w:r>
      <w:r w:rsidRPr="00C42841">
        <w:rPr>
          <w:rFonts w:ascii="Times New Roman" w:hAnsi="Times New Roman"/>
          <w:b/>
          <w:noProof/>
          <w:sz w:val="24"/>
          <w:szCs w:val="24"/>
        </w:rPr>
        <w:t xml:space="preserve"> not </w:t>
      </w:r>
      <w:r w:rsidRPr="0069432B">
        <w:rPr>
          <w:rFonts w:ascii="Times New Roman" w:hAnsi="Times New Roman"/>
          <w:noProof/>
          <w:sz w:val="24"/>
          <w:szCs w:val="24"/>
        </w:rPr>
        <w:t>always</w:t>
      </w:r>
      <w:r w:rsidRPr="00C42841">
        <w:rPr>
          <w:rFonts w:ascii="Times New Roman" w:hAnsi="Times New Roman"/>
          <w:b/>
          <w:noProof/>
          <w:sz w:val="24"/>
          <w:szCs w:val="24"/>
        </w:rPr>
        <w:t xml:space="preserve"> equipped with the necessary information management tools</w:t>
      </w:r>
      <w:r w:rsidRPr="00C42841">
        <w:rPr>
          <w:rFonts w:ascii="Times New Roman" w:hAnsi="Times New Roman"/>
          <w:noProof/>
          <w:sz w:val="24"/>
          <w:szCs w:val="24"/>
        </w:rPr>
        <w:t>, preventing an efficient tracking/filing of information in cross-border cases</w:t>
      </w:r>
      <w:r w:rsidRPr="00C42841">
        <w:rPr>
          <w:rFonts w:ascii="Times New Roman" w:hAnsi="Times New Roman"/>
          <w:noProof/>
          <w:sz w:val="24"/>
          <w:szCs w:val="24"/>
          <w:vertAlign w:val="superscript"/>
        </w:rPr>
        <w:footnoteReference w:id="58"/>
      </w:r>
      <w:r>
        <w:rPr>
          <w:rFonts w:ascii="Times New Roman" w:hAnsi="Times New Roman"/>
          <w:noProof/>
          <w:sz w:val="24"/>
          <w:szCs w:val="24"/>
        </w:rPr>
        <w:t>.</w:t>
      </w:r>
    </w:p>
    <w:p w14:paraId="3FA94E35" w14:textId="77777777" w:rsidR="00C76702" w:rsidRPr="00C42841" w:rsidRDefault="00C76702" w:rsidP="00EB7963">
      <w:pPr>
        <w:pStyle w:val="Body"/>
        <w:spacing w:after="120"/>
        <w:jc w:val="both"/>
        <w:rPr>
          <w:rFonts w:ascii="Times New Roman" w:hAnsi="Times New Roman"/>
          <w:noProof/>
          <w:sz w:val="24"/>
          <w:szCs w:val="24"/>
        </w:rPr>
      </w:pPr>
      <w:r w:rsidRPr="00C42841">
        <w:rPr>
          <w:rFonts w:ascii="Times New Roman" w:hAnsi="Times New Roman"/>
          <w:noProof/>
          <w:sz w:val="24"/>
          <w:szCs w:val="24"/>
        </w:rPr>
        <w:t>For instance, some SPOCs have limited access</w:t>
      </w:r>
      <w:r>
        <w:rPr>
          <w:rFonts w:ascii="Times New Roman" w:hAnsi="Times New Roman"/>
          <w:noProof/>
          <w:sz w:val="24"/>
          <w:szCs w:val="24"/>
        </w:rPr>
        <w:t xml:space="preserve"> to relevant national databases</w:t>
      </w:r>
      <w:r w:rsidRPr="00C42841">
        <w:rPr>
          <w:rFonts w:ascii="Times New Roman" w:hAnsi="Times New Roman"/>
          <w:noProof/>
          <w:sz w:val="24"/>
          <w:szCs w:val="24"/>
          <w:vertAlign w:val="superscript"/>
        </w:rPr>
        <w:footnoteReference w:id="59"/>
      </w:r>
      <w:r>
        <w:rPr>
          <w:rFonts w:ascii="Times New Roman" w:hAnsi="Times New Roman"/>
          <w:noProof/>
          <w:sz w:val="24"/>
          <w:szCs w:val="24"/>
        </w:rPr>
        <w:t>.</w:t>
      </w:r>
      <w:r w:rsidRPr="00C42841">
        <w:rPr>
          <w:rFonts w:ascii="Times New Roman" w:hAnsi="Times New Roman"/>
          <w:noProof/>
          <w:sz w:val="24"/>
          <w:szCs w:val="24"/>
        </w:rPr>
        <w:t xml:space="preserve"> Since they cannot access directly the databases of other law enforcement </w:t>
      </w:r>
      <w:r>
        <w:rPr>
          <w:rFonts w:ascii="Times New Roman" w:hAnsi="Times New Roman"/>
          <w:noProof/>
          <w:sz w:val="24"/>
          <w:szCs w:val="24"/>
        </w:rPr>
        <w:t>authorities</w:t>
      </w:r>
      <w:r w:rsidRPr="00C42841">
        <w:rPr>
          <w:rFonts w:ascii="Times New Roman" w:hAnsi="Times New Roman"/>
          <w:noProof/>
          <w:sz w:val="24"/>
          <w:szCs w:val="24"/>
        </w:rPr>
        <w:t xml:space="preserve">, they need to ask officials within those </w:t>
      </w:r>
      <w:r>
        <w:rPr>
          <w:rFonts w:ascii="Times New Roman" w:hAnsi="Times New Roman"/>
          <w:noProof/>
          <w:sz w:val="24"/>
          <w:szCs w:val="24"/>
        </w:rPr>
        <w:t xml:space="preserve">authorities </w:t>
      </w:r>
      <w:r w:rsidRPr="00C42841">
        <w:rPr>
          <w:rFonts w:ascii="Times New Roman" w:hAnsi="Times New Roman"/>
          <w:noProof/>
          <w:sz w:val="24"/>
          <w:szCs w:val="24"/>
        </w:rPr>
        <w:t>to collect and share the information. This dela</w:t>
      </w:r>
      <w:r>
        <w:rPr>
          <w:rFonts w:ascii="Times New Roman" w:hAnsi="Times New Roman"/>
          <w:noProof/>
          <w:sz w:val="24"/>
          <w:szCs w:val="24"/>
        </w:rPr>
        <w:t>ys the overall exchange process</w:t>
      </w:r>
      <w:r w:rsidRPr="00C42841">
        <w:rPr>
          <w:rFonts w:ascii="Times New Roman" w:hAnsi="Times New Roman"/>
          <w:noProof/>
          <w:sz w:val="24"/>
          <w:szCs w:val="24"/>
          <w:vertAlign w:val="superscript"/>
        </w:rPr>
        <w:footnoteReference w:id="60"/>
      </w:r>
      <w:r>
        <w:rPr>
          <w:rFonts w:ascii="Times New Roman" w:hAnsi="Times New Roman"/>
          <w:noProof/>
          <w:sz w:val="24"/>
          <w:szCs w:val="24"/>
        </w:rPr>
        <w:t>.</w:t>
      </w:r>
      <w:r w:rsidRPr="00C42841">
        <w:rPr>
          <w:rFonts w:ascii="Times New Roman" w:hAnsi="Times New Roman"/>
          <w:noProof/>
          <w:sz w:val="24"/>
          <w:szCs w:val="24"/>
        </w:rPr>
        <w:t xml:space="preserve"> Difficulties related to the steps needed for the SPOCs to obtain the relevant information included in national databases are further exacerbated by the actual limited </w:t>
      </w:r>
      <w:r w:rsidR="00432BD6">
        <w:rPr>
          <w:rFonts w:ascii="Times New Roman" w:hAnsi="Times New Roman"/>
          <w:noProof/>
          <w:sz w:val="24"/>
          <w:szCs w:val="24"/>
        </w:rPr>
        <w:t>interconnectivity</w:t>
      </w:r>
      <w:r w:rsidR="00432BD6" w:rsidRPr="00C42841">
        <w:rPr>
          <w:rFonts w:ascii="Times New Roman" w:hAnsi="Times New Roman"/>
          <w:noProof/>
          <w:sz w:val="24"/>
          <w:szCs w:val="24"/>
        </w:rPr>
        <w:t xml:space="preserve"> </w:t>
      </w:r>
      <w:r w:rsidRPr="00C42841">
        <w:rPr>
          <w:rFonts w:ascii="Times New Roman" w:hAnsi="Times New Roman"/>
          <w:noProof/>
          <w:sz w:val="24"/>
          <w:szCs w:val="24"/>
        </w:rPr>
        <w:t>between national law enforcement databases</w:t>
      </w:r>
      <w:r w:rsidRPr="00C42841" w:rsidDel="006454AD">
        <w:rPr>
          <w:rFonts w:ascii="Times New Roman" w:hAnsi="Times New Roman"/>
          <w:noProof/>
          <w:sz w:val="24"/>
          <w:szCs w:val="24"/>
          <w:vertAlign w:val="superscript"/>
        </w:rPr>
        <w:footnoteReference w:id="61"/>
      </w:r>
      <w:r>
        <w:rPr>
          <w:rFonts w:ascii="Times New Roman" w:hAnsi="Times New Roman"/>
          <w:noProof/>
          <w:sz w:val="24"/>
          <w:szCs w:val="24"/>
        </w:rPr>
        <w:t>.</w:t>
      </w:r>
    </w:p>
    <w:p w14:paraId="5731DE50" w14:textId="77777777" w:rsidR="00707BFC" w:rsidRPr="00B357A8" w:rsidRDefault="00707BFC" w:rsidP="00707BFC">
      <w:pPr>
        <w:pStyle w:val="Caption"/>
        <w:keepNext/>
        <w:jc w:val="center"/>
        <w:rPr>
          <w:noProof/>
          <w:sz w:val="10"/>
          <w:lang w:val="en-GB"/>
        </w:rPr>
      </w:pPr>
      <w:r w:rsidRPr="00B357A8">
        <w:rPr>
          <w:noProof/>
          <w:sz w:val="16"/>
          <w:szCs w:val="24"/>
          <w:lang w:val="en-GB"/>
        </w:rPr>
        <w:t>Main features of SPOC's Case Management System</w:t>
      </w:r>
    </w:p>
    <w:p w14:paraId="333763A1" w14:textId="77777777" w:rsidR="00707BFC" w:rsidRDefault="00707BFC" w:rsidP="00707BFC">
      <w:pPr>
        <w:pStyle w:val="Body"/>
        <w:spacing w:after="120"/>
        <w:jc w:val="both"/>
        <w:rPr>
          <w:rStyle w:val="SubtleEmphasis"/>
          <w:noProof/>
          <w:sz w:val="16"/>
        </w:rPr>
      </w:pPr>
      <w:r w:rsidRPr="006E7FA2">
        <w:rPr>
          <w:noProof/>
          <w:lang w:eastAsia="en-GB"/>
        </w:rPr>
        <w:drawing>
          <wp:inline distT="0" distB="0" distL="0" distR="0" wp14:anchorId="0EEC1A3A" wp14:editId="12B6E10A">
            <wp:extent cx="6115050" cy="2402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15050" cy="2402205"/>
                    </a:xfrm>
                    <a:prstGeom prst="rect">
                      <a:avLst/>
                    </a:prstGeom>
                  </pic:spPr>
                </pic:pic>
              </a:graphicData>
            </a:graphic>
          </wp:inline>
        </w:drawing>
      </w:r>
      <w:r w:rsidRPr="00B77914">
        <w:rPr>
          <w:rStyle w:val="SubtleEmphasis"/>
          <w:noProof/>
          <w:sz w:val="16"/>
          <w:szCs w:val="18"/>
        </w:rPr>
        <w:t xml:space="preserve">Source: </w:t>
      </w:r>
      <w:r w:rsidRPr="00B77914">
        <w:rPr>
          <w:i/>
          <w:noProof/>
          <w:color w:val="7F7F7F" w:themeColor="text1" w:themeTint="80"/>
          <w:sz w:val="16"/>
          <w:szCs w:val="18"/>
        </w:rPr>
        <w:t>EY/RAND Europe Study’s elaboration</w:t>
      </w:r>
      <w:r w:rsidRPr="00B77914">
        <w:rPr>
          <w:rStyle w:val="SubtleEmphasis"/>
          <w:noProof/>
          <w:sz w:val="16"/>
          <w:szCs w:val="18"/>
        </w:rPr>
        <w:t xml:space="preserve"> based on desk research</w:t>
      </w:r>
      <w:r>
        <w:rPr>
          <w:rStyle w:val="SubtleEmphasis"/>
          <w:noProof/>
        </w:rPr>
        <w:t xml:space="preserve"> </w:t>
      </w:r>
      <w:r w:rsidRPr="00704502">
        <w:rPr>
          <w:rStyle w:val="SubtleEmphasis"/>
          <w:noProof/>
          <w:sz w:val="16"/>
        </w:rPr>
        <w:t>(dark grey cells indicate that no information is available)</w:t>
      </w:r>
    </w:p>
    <w:p w14:paraId="200B2AD7" w14:textId="4EDA9949" w:rsidR="00C76702" w:rsidRPr="00C42841" w:rsidRDefault="00C76702" w:rsidP="00707BFC">
      <w:pPr>
        <w:pStyle w:val="Body"/>
        <w:spacing w:after="120"/>
        <w:jc w:val="both"/>
        <w:rPr>
          <w:rFonts w:ascii="Times New Roman" w:hAnsi="Times New Roman"/>
          <w:i/>
          <w:noProof/>
          <w:sz w:val="24"/>
          <w:szCs w:val="24"/>
        </w:rPr>
      </w:pPr>
      <w:r w:rsidRPr="00C42841">
        <w:rPr>
          <w:rFonts w:ascii="Times New Roman" w:hAnsi="Times New Roman"/>
          <w:i/>
          <w:noProof/>
          <w:sz w:val="24"/>
          <w:szCs w:val="24"/>
        </w:rPr>
        <w:t>The use of rudimentary search tools hampers the a</w:t>
      </w:r>
      <w:r>
        <w:rPr>
          <w:rFonts w:ascii="Times New Roman" w:hAnsi="Times New Roman"/>
          <w:i/>
          <w:noProof/>
          <w:sz w:val="24"/>
          <w:szCs w:val="24"/>
        </w:rPr>
        <w:t>doption of transliteration and "</w:t>
      </w:r>
      <w:r w:rsidRPr="00C42841">
        <w:rPr>
          <w:rFonts w:ascii="Times New Roman" w:hAnsi="Times New Roman"/>
          <w:i/>
          <w:noProof/>
          <w:sz w:val="24"/>
          <w:szCs w:val="24"/>
        </w:rPr>
        <w:t>fuzzy logic</w:t>
      </w:r>
      <w:r>
        <w:rPr>
          <w:rFonts w:ascii="Times New Roman" w:hAnsi="Times New Roman"/>
          <w:i/>
          <w:noProof/>
          <w:sz w:val="24"/>
          <w:szCs w:val="24"/>
        </w:rPr>
        <w:t>"</w:t>
      </w:r>
      <w:r w:rsidRPr="00C42841">
        <w:rPr>
          <w:rFonts w:ascii="Times New Roman" w:hAnsi="Times New Roman"/>
          <w:i/>
          <w:noProof/>
          <w:sz w:val="24"/>
          <w:szCs w:val="24"/>
        </w:rPr>
        <w:t xml:space="preserve"> search</w:t>
      </w:r>
      <w:r>
        <w:rPr>
          <w:rFonts w:ascii="Times New Roman" w:hAnsi="Times New Roman"/>
          <w:i/>
          <w:noProof/>
          <w:sz w:val="24"/>
          <w:szCs w:val="24"/>
        </w:rPr>
        <w:t>.</w:t>
      </w:r>
    </w:p>
    <w:p w14:paraId="67774974" w14:textId="4E7B35B3" w:rsidR="00C76702" w:rsidRDefault="00C76702" w:rsidP="00EB7963">
      <w:pPr>
        <w:pStyle w:val="Body"/>
        <w:spacing w:after="120"/>
        <w:jc w:val="both"/>
        <w:rPr>
          <w:rFonts w:ascii="Times New Roman" w:hAnsi="Times New Roman"/>
          <w:noProof/>
          <w:sz w:val="24"/>
          <w:szCs w:val="24"/>
        </w:rPr>
      </w:pPr>
      <w:r w:rsidRPr="00C42841">
        <w:rPr>
          <w:rFonts w:ascii="Times New Roman" w:hAnsi="Times New Roman"/>
          <w:noProof/>
          <w:sz w:val="24"/>
          <w:szCs w:val="24"/>
        </w:rPr>
        <w:t xml:space="preserve">Furthermore, the </w:t>
      </w:r>
      <w:bookmarkStart w:id="29" w:name="_Hlk73114859"/>
      <w:r w:rsidRPr="00C42841">
        <w:rPr>
          <w:rFonts w:ascii="Times New Roman" w:hAnsi="Times New Roman"/>
          <w:noProof/>
          <w:sz w:val="24"/>
          <w:szCs w:val="24"/>
        </w:rPr>
        <w:t xml:space="preserve">exploitation of the full potential of existing databases </w:t>
      </w:r>
      <w:bookmarkEnd w:id="29"/>
      <w:r w:rsidRPr="00C42841">
        <w:rPr>
          <w:rFonts w:ascii="Times New Roman" w:hAnsi="Times New Roman"/>
          <w:noProof/>
          <w:sz w:val="24"/>
          <w:szCs w:val="24"/>
        </w:rPr>
        <w:t xml:space="preserve">is hindered by the </w:t>
      </w:r>
      <w:r w:rsidRPr="00C42841">
        <w:rPr>
          <w:rFonts w:ascii="Times New Roman" w:hAnsi="Times New Roman"/>
          <w:b/>
          <w:bCs/>
          <w:noProof/>
          <w:sz w:val="24"/>
          <w:szCs w:val="24"/>
        </w:rPr>
        <w:t>use of</w:t>
      </w:r>
      <w:r w:rsidRPr="00C42841">
        <w:rPr>
          <w:rFonts w:ascii="Times New Roman" w:hAnsi="Times New Roman"/>
          <w:noProof/>
          <w:sz w:val="24"/>
          <w:szCs w:val="24"/>
        </w:rPr>
        <w:t xml:space="preserve"> </w:t>
      </w:r>
      <w:r w:rsidRPr="00C42841">
        <w:rPr>
          <w:rFonts w:ascii="Times New Roman" w:hAnsi="Times New Roman"/>
          <w:b/>
          <w:bCs/>
          <w:noProof/>
          <w:sz w:val="24"/>
          <w:szCs w:val="24"/>
        </w:rPr>
        <w:t xml:space="preserve">rudimentary search tools, </w:t>
      </w:r>
      <w:r w:rsidRPr="0069432B">
        <w:rPr>
          <w:rFonts w:ascii="Times New Roman" w:hAnsi="Times New Roman"/>
          <w:bCs/>
          <w:noProof/>
          <w:sz w:val="24"/>
          <w:szCs w:val="24"/>
        </w:rPr>
        <w:t>which prevent the adoption of transliteration</w:t>
      </w:r>
      <w:r w:rsidRPr="0069432B">
        <w:rPr>
          <w:rFonts w:ascii="Times New Roman" w:hAnsi="Times New Roman"/>
          <w:noProof/>
          <w:sz w:val="24"/>
          <w:szCs w:val="24"/>
          <w:vertAlign w:val="superscript"/>
        </w:rPr>
        <w:footnoteReference w:id="62"/>
      </w:r>
      <w:r w:rsidRPr="0069432B">
        <w:rPr>
          <w:rFonts w:ascii="Times New Roman" w:hAnsi="Times New Roman"/>
          <w:bCs/>
          <w:noProof/>
          <w:sz w:val="24"/>
          <w:szCs w:val="24"/>
        </w:rPr>
        <w:t xml:space="preserve"> techniques and "fuzzy logic"</w:t>
      </w:r>
      <w:r w:rsidRPr="0069432B">
        <w:rPr>
          <w:rFonts w:ascii="Times New Roman" w:hAnsi="Times New Roman"/>
          <w:noProof/>
          <w:sz w:val="24"/>
          <w:szCs w:val="24"/>
          <w:vertAlign w:val="superscript"/>
        </w:rPr>
        <w:footnoteReference w:id="63"/>
      </w:r>
      <w:r w:rsidRPr="0069432B">
        <w:rPr>
          <w:rFonts w:ascii="Times New Roman" w:hAnsi="Times New Roman"/>
          <w:bCs/>
          <w:noProof/>
          <w:sz w:val="24"/>
          <w:szCs w:val="24"/>
        </w:rPr>
        <w:t xml:space="preserve"> search functions</w:t>
      </w:r>
      <w:r w:rsidRPr="0069432B">
        <w:rPr>
          <w:rFonts w:ascii="Times New Roman" w:hAnsi="Times New Roman"/>
          <w:noProof/>
          <w:sz w:val="24"/>
          <w:szCs w:val="24"/>
        </w:rPr>
        <w:t>.</w:t>
      </w:r>
      <w:r w:rsidRPr="00C42841">
        <w:rPr>
          <w:rFonts w:ascii="Times New Roman" w:hAnsi="Times New Roman"/>
          <w:noProof/>
          <w:sz w:val="24"/>
          <w:szCs w:val="24"/>
        </w:rPr>
        <w:t xml:space="preserve"> The lack of transliteration and fuzzy logic search options within national databases and information systems prevents officials to get a full picture about the person they are looking for in the systems through a unique query. As a result, officials have to carry out a new search for each personal detail they are investigating, resulting in an increased workload, which slows down the search process</w:t>
      </w:r>
      <w:r>
        <w:rPr>
          <w:rFonts w:ascii="Times New Roman" w:hAnsi="Times New Roman"/>
          <w:noProof/>
          <w:sz w:val="24"/>
          <w:szCs w:val="24"/>
        </w:rPr>
        <w:t xml:space="preserve"> (e.g. inversion of first and last name, different spelling used for the same individual notably stemming from different languages, alphabets and diacritic accents).</w:t>
      </w:r>
    </w:p>
    <w:p w14:paraId="09728907" w14:textId="545FB8AA" w:rsidR="002E3778" w:rsidRPr="002E3778" w:rsidRDefault="002E3778" w:rsidP="002E3778">
      <w:pPr>
        <w:pStyle w:val="Body"/>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b/>
          <w:noProof/>
          <w:sz w:val="16"/>
          <w:szCs w:val="24"/>
        </w:rPr>
      </w:pPr>
      <w:r w:rsidRPr="002E3778">
        <w:rPr>
          <w:b/>
          <w:noProof/>
          <w:sz w:val="16"/>
          <w:szCs w:val="24"/>
        </w:rPr>
        <w:t>Examples found in Schengen evaluations in the field of police cooperation</w:t>
      </w:r>
      <w:r w:rsidR="00B357A8">
        <w:rPr>
          <w:b/>
          <w:noProof/>
          <w:sz w:val="16"/>
          <w:szCs w:val="24"/>
        </w:rPr>
        <w:t xml:space="preserve"> (2015-2019)</w:t>
      </w:r>
    </w:p>
    <w:p w14:paraId="1E7AD693" w14:textId="0CDC9B9B" w:rsidR="002E3778" w:rsidRPr="002E3778" w:rsidRDefault="002E3778" w:rsidP="002E377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Pr="002E3778">
        <w:rPr>
          <w:noProof/>
          <w:sz w:val="16"/>
        </w:rPr>
        <w:t>In one country, a transliteration issue was identified when some letters were entered differently or in case some letters were left out at the end of the name, as the system was not able to find matches in the databases;</w:t>
      </w:r>
    </w:p>
    <w:p w14:paraId="69867DE5" w14:textId="39EC7413" w:rsidR="002E3778" w:rsidRPr="002E3778" w:rsidRDefault="002E3778" w:rsidP="002E377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Pr="002E3778">
        <w:rPr>
          <w:noProof/>
          <w:sz w:val="16"/>
        </w:rPr>
        <w:t>In one country, issues were reported related to transliteration and fuzzy logic searches in the national application used for mobile access to police databases. In particular, when there is some uncertainty if a given word corresponds to the surname or name of a suspect, the system is not able to search both fields at the same time, which means that an official has to make the search twice;</w:t>
      </w:r>
    </w:p>
    <w:p w14:paraId="6798B8BE" w14:textId="11C95E2A" w:rsidR="002E3778" w:rsidRPr="002E3778" w:rsidRDefault="002E3778" w:rsidP="002E377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Pr="002E3778">
        <w:rPr>
          <w:noProof/>
          <w:sz w:val="16"/>
        </w:rPr>
        <w:t>In one country, the same problem was identified with reference to the interconnection with SIS: due to the lack of fuzzy logic instruments, some SIS hits were missed;</w:t>
      </w:r>
    </w:p>
    <w:p w14:paraId="68F44935" w14:textId="0C30B8F5" w:rsidR="002E3778" w:rsidRPr="002E3778" w:rsidRDefault="002E3778" w:rsidP="002E377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Pr="002E3778">
        <w:rPr>
          <w:noProof/>
          <w:sz w:val="16"/>
        </w:rPr>
        <w:t>In one country, the need to repeat a search was raised, as the on-site team noted that the inversion of the name/surname is not possible, and a second search must be carried out;</w:t>
      </w:r>
    </w:p>
    <w:p w14:paraId="7EA95D94" w14:textId="771DC257" w:rsidR="002E3778" w:rsidRPr="002E3778" w:rsidRDefault="002E3778" w:rsidP="002E377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Pr="002E3778">
        <w:rPr>
          <w:noProof/>
          <w:sz w:val="16"/>
        </w:rPr>
        <w:t>In one country, if a record includes special characters, the system will not be able to identify it unless these characters are included in the search term. Moreover, there were differences depending on the tool used as fuzzy logic searches were not possible on the fixed stations or on mobile devices;</w:t>
      </w:r>
    </w:p>
    <w:p w14:paraId="4277E31D" w14:textId="3974C8E0" w:rsidR="002E3778" w:rsidRPr="002E3778" w:rsidRDefault="002E3778" w:rsidP="002E3778">
      <w:pPr>
        <w:pStyle w:val="Bulletmain"/>
        <w:pBdr>
          <w:top w:val="single" w:sz="4" w:space="1" w:color="auto"/>
          <w:left w:val="single" w:sz="4" w:space="4" w:color="auto"/>
          <w:bottom w:val="single" w:sz="4" w:space="1" w:color="auto"/>
          <w:right w:val="single" w:sz="4" w:space="4" w:color="auto"/>
        </w:pBdr>
        <w:shd w:val="clear" w:color="auto" w:fill="DEEAF6" w:themeFill="accent1" w:themeFillTint="33"/>
        <w:spacing w:before="0"/>
        <w:rPr>
          <w:noProof/>
          <w:sz w:val="16"/>
        </w:rPr>
      </w:pPr>
      <w:r>
        <w:rPr>
          <w:noProof/>
          <w:sz w:val="16"/>
        </w:rPr>
        <w:t xml:space="preserve">- </w:t>
      </w:r>
      <w:r w:rsidRPr="002E3778">
        <w:rPr>
          <w:noProof/>
          <w:sz w:val="16"/>
        </w:rPr>
        <w:t>In one country, none of the information systems that have been assessed included a “fuzzy logic” search capability;</w:t>
      </w:r>
    </w:p>
    <w:p w14:paraId="36706BAF" w14:textId="71B043C9" w:rsidR="002E3778" w:rsidRPr="0001435D" w:rsidRDefault="002E3778" w:rsidP="002E3778">
      <w:pPr>
        <w:pStyle w:val="Body"/>
        <w:pBdr>
          <w:top w:val="single" w:sz="4" w:space="1" w:color="auto"/>
          <w:left w:val="single" w:sz="4" w:space="4" w:color="auto"/>
          <w:bottom w:val="single" w:sz="4" w:space="1" w:color="auto"/>
          <w:right w:val="single" w:sz="4" w:space="4" w:color="auto"/>
        </w:pBdr>
        <w:shd w:val="clear" w:color="auto" w:fill="DEEAF6" w:themeFill="accent1" w:themeFillTint="33"/>
        <w:spacing w:after="120"/>
        <w:jc w:val="both"/>
        <w:rPr>
          <w:rFonts w:ascii="Times New Roman" w:hAnsi="Times New Roman"/>
          <w:noProof/>
          <w:szCs w:val="24"/>
        </w:rPr>
      </w:pPr>
      <w:r>
        <w:rPr>
          <w:noProof/>
          <w:sz w:val="16"/>
        </w:rPr>
        <w:t xml:space="preserve">- </w:t>
      </w:r>
      <w:r w:rsidRPr="002E3778">
        <w:rPr>
          <w:noProof/>
          <w:sz w:val="16"/>
        </w:rPr>
        <w:t>In one country, the absence of a universal search tool incorporating fuzzy logic results in that law enforcement officials have to repeat a search several times in order to ensure that all the relevant records are considered, which increases the risk of missing possible matches.</w:t>
      </w:r>
    </w:p>
    <w:p w14:paraId="22D06D9C" w14:textId="77777777" w:rsidR="00C76702" w:rsidRPr="00120A30" w:rsidRDefault="00C76702" w:rsidP="00EB7963">
      <w:pPr>
        <w:pStyle w:val="Body"/>
        <w:spacing w:after="120"/>
        <w:jc w:val="both"/>
        <w:rPr>
          <w:rFonts w:ascii="Times New Roman" w:hAnsi="Times New Roman"/>
          <w:i/>
          <w:noProof/>
          <w:sz w:val="24"/>
        </w:rPr>
      </w:pPr>
      <w:r w:rsidRPr="00120A30">
        <w:rPr>
          <w:rFonts w:ascii="Times New Roman" w:hAnsi="Times New Roman"/>
          <w:i/>
          <w:noProof/>
          <w:sz w:val="24"/>
        </w:rPr>
        <w:t>There is limited availability of training for law enforcement staff involved in cross-border information exchanges and cooperation</w:t>
      </w:r>
      <w:r w:rsidR="0069432B">
        <w:rPr>
          <w:rFonts w:ascii="Times New Roman" w:hAnsi="Times New Roman"/>
          <w:i/>
          <w:noProof/>
          <w:sz w:val="24"/>
        </w:rPr>
        <w:t>.</w:t>
      </w:r>
    </w:p>
    <w:p w14:paraId="3109CD25" w14:textId="56021757" w:rsidR="00C76702" w:rsidRPr="00120A30" w:rsidRDefault="009834F3" w:rsidP="00EB7963">
      <w:pPr>
        <w:pStyle w:val="Body"/>
        <w:spacing w:after="120"/>
        <w:jc w:val="both"/>
        <w:rPr>
          <w:rFonts w:ascii="Times New Roman" w:hAnsi="Times New Roman"/>
          <w:noProof/>
          <w:sz w:val="24"/>
        </w:rPr>
      </w:pPr>
      <w:r w:rsidRPr="00704502">
        <w:rPr>
          <w:rFonts w:ascii="Times New Roman" w:hAnsi="Times New Roman"/>
          <w:b/>
          <w:noProof/>
          <w:sz w:val="24"/>
        </w:rPr>
        <w:t>T</w:t>
      </w:r>
      <w:r w:rsidR="0069432B">
        <w:rPr>
          <w:rFonts w:ascii="Times New Roman" w:hAnsi="Times New Roman"/>
          <w:b/>
          <w:noProof/>
          <w:sz w:val="24"/>
        </w:rPr>
        <w:t xml:space="preserve">raining </w:t>
      </w:r>
      <w:r w:rsidR="0069432B" w:rsidRPr="0069432B">
        <w:rPr>
          <w:rFonts w:ascii="Times New Roman" w:hAnsi="Times New Roman"/>
          <w:noProof/>
          <w:sz w:val="24"/>
        </w:rPr>
        <w:t>concerning</w:t>
      </w:r>
      <w:r w:rsidR="0069432B">
        <w:rPr>
          <w:rFonts w:ascii="Times New Roman" w:hAnsi="Times New Roman"/>
          <w:b/>
          <w:noProof/>
          <w:sz w:val="24"/>
        </w:rPr>
        <w:t xml:space="preserve"> </w:t>
      </w:r>
      <w:r w:rsidR="00C76702" w:rsidRPr="00120A30">
        <w:rPr>
          <w:rFonts w:ascii="Times New Roman" w:hAnsi="Times New Roman"/>
          <w:b/>
          <w:noProof/>
          <w:sz w:val="24"/>
        </w:rPr>
        <w:t xml:space="preserve">cross-border law enforcement cooperation </w:t>
      </w:r>
      <w:r w:rsidR="00C76702" w:rsidRPr="0069432B">
        <w:rPr>
          <w:rFonts w:ascii="Times New Roman" w:hAnsi="Times New Roman"/>
          <w:noProof/>
          <w:sz w:val="24"/>
        </w:rPr>
        <w:t xml:space="preserve">is </w:t>
      </w:r>
      <w:r w:rsidR="00C76702" w:rsidRPr="00120A30">
        <w:rPr>
          <w:rFonts w:ascii="Times New Roman" w:hAnsi="Times New Roman"/>
          <w:b/>
          <w:noProof/>
          <w:sz w:val="24"/>
        </w:rPr>
        <w:t xml:space="preserve">not </w:t>
      </w:r>
      <w:r w:rsidR="00C76702" w:rsidRPr="0069432B">
        <w:rPr>
          <w:rFonts w:ascii="Times New Roman" w:hAnsi="Times New Roman"/>
          <w:noProof/>
          <w:sz w:val="24"/>
        </w:rPr>
        <w:t xml:space="preserve">held on a </w:t>
      </w:r>
      <w:r w:rsidR="00C76702" w:rsidRPr="00120A30">
        <w:rPr>
          <w:rFonts w:ascii="Times New Roman" w:hAnsi="Times New Roman"/>
          <w:b/>
          <w:noProof/>
          <w:sz w:val="24"/>
        </w:rPr>
        <w:t>regular basis at national level</w:t>
      </w:r>
      <w:r w:rsidR="00C76702" w:rsidRPr="00120A30">
        <w:rPr>
          <w:rFonts w:ascii="Times New Roman" w:hAnsi="Times New Roman"/>
          <w:noProof/>
          <w:sz w:val="24"/>
        </w:rPr>
        <w:t xml:space="preserve"> and does not always take into account the latest changes in the EU law enforcement legislative framework in a timely manner (e.g. new EU or Schengen-related legislative initiatives)</w:t>
      </w:r>
      <w:r w:rsidR="00C76702" w:rsidRPr="00120A30">
        <w:rPr>
          <w:rFonts w:ascii="Times New Roman" w:hAnsi="Times New Roman"/>
          <w:noProof/>
          <w:sz w:val="24"/>
          <w:vertAlign w:val="superscript"/>
        </w:rPr>
        <w:footnoteReference w:id="64"/>
      </w:r>
      <w:r w:rsidR="00C76702">
        <w:rPr>
          <w:rFonts w:ascii="Times New Roman" w:hAnsi="Times New Roman"/>
          <w:noProof/>
          <w:sz w:val="24"/>
        </w:rPr>
        <w:t>.</w:t>
      </w:r>
      <w:r w:rsidR="00C76702" w:rsidRPr="00120A30">
        <w:rPr>
          <w:rFonts w:ascii="Times New Roman" w:hAnsi="Times New Roman"/>
          <w:noProof/>
          <w:sz w:val="24"/>
        </w:rPr>
        <w:t xml:space="preserve"> In practice, this implies that training for staff involved in cross-border cooperation is often based on informal mentoring by experienced colleagues, which has a negative impact on the number of officials who possess the necessary skills to properly manage all the different procedures</w:t>
      </w:r>
      <w:r w:rsidR="00C76702">
        <w:rPr>
          <w:rFonts w:ascii="Times New Roman" w:hAnsi="Times New Roman"/>
          <w:noProof/>
          <w:sz w:val="24"/>
        </w:rPr>
        <w:t xml:space="preserve"> and information tools required</w:t>
      </w:r>
      <w:r w:rsidR="00C76702" w:rsidRPr="00120A30">
        <w:rPr>
          <w:rFonts w:ascii="Times New Roman" w:hAnsi="Times New Roman"/>
          <w:noProof/>
          <w:sz w:val="24"/>
          <w:vertAlign w:val="superscript"/>
        </w:rPr>
        <w:footnoteReference w:id="65"/>
      </w:r>
      <w:r w:rsidR="00C76702">
        <w:rPr>
          <w:rFonts w:ascii="Times New Roman" w:hAnsi="Times New Roman"/>
          <w:noProof/>
          <w:sz w:val="24"/>
        </w:rPr>
        <w:t>.</w:t>
      </w:r>
      <w:r w:rsidR="00C76702" w:rsidRPr="00120A30">
        <w:rPr>
          <w:rFonts w:ascii="Times New Roman" w:hAnsi="Times New Roman"/>
          <w:noProof/>
          <w:sz w:val="24"/>
        </w:rPr>
        <w:t xml:space="preserve"> Moreover, this training is often voluntary, thus leaving room for heterogeneous skills between police officials, and </w:t>
      </w:r>
      <w:r w:rsidR="00120D94">
        <w:rPr>
          <w:rFonts w:ascii="Times New Roman" w:hAnsi="Times New Roman"/>
          <w:noProof/>
          <w:sz w:val="24"/>
        </w:rPr>
        <w:t>it</w:t>
      </w:r>
      <w:r w:rsidR="00120D94" w:rsidRPr="00120A30">
        <w:rPr>
          <w:rFonts w:ascii="Times New Roman" w:hAnsi="Times New Roman"/>
          <w:noProof/>
          <w:sz w:val="24"/>
        </w:rPr>
        <w:t xml:space="preserve"> </w:t>
      </w:r>
      <w:r w:rsidR="008F3ABA">
        <w:rPr>
          <w:rFonts w:ascii="Times New Roman" w:hAnsi="Times New Roman"/>
          <w:noProof/>
          <w:sz w:val="24"/>
        </w:rPr>
        <w:t xml:space="preserve">is </w:t>
      </w:r>
      <w:r w:rsidR="00C76702" w:rsidRPr="00120A30">
        <w:rPr>
          <w:rFonts w:ascii="Times New Roman" w:hAnsi="Times New Roman"/>
          <w:noProof/>
          <w:sz w:val="24"/>
        </w:rPr>
        <w:t xml:space="preserve">not always </w:t>
      </w:r>
      <w:r w:rsidR="008F3ABA">
        <w:rPr>
          <w:rFonts w:ascii="Times New Roman" w:hAnsi="Times New Roman"/>
          <w:noProof/>
          <w:sz w:val="24"/>
        </w:rPr>
        <w:t xml:space="preserve">systematic for </w:t>
      </w:r>
      <w:r w:rsidR="00C76702" w:rsidRPr="00120A30">
        <w:rPr>
          <w:rFonts w:ascii="Times New Roman" w:hAnsi="Times New Roman"/>
          <w:noProof/>
          <w:sz w:val="24"/>
        </w:rPr>
        <w:t>newco</w:t>
      </w:r>
      <w:r w:rsidR="00C76702">
        <w:rPr>
          <w:rFonts w:ascii="Times New Roman" w:hAnsi="Times New Roman"/>
          <w:noProof/>
          <w:sz w:val="24"/>
        </w:rPr>
        <w:t>mers in the SPOCs and PCCCs</w:t>
      </w:r>
      <w:r w:rsidR="00C76702" w:rsidRPr="00120A30">
        <w:rPr>
          <w:rFonts w:ascii="Times New Roman" w:hAnsi="Times New Roman"/>
          <w:noProof/>
          <w:sz w:val="24"/>
          <w:vertAlign w:val="superscript"/>
        </w:rPr>
        <w:footnoteReference w:id="66"/>
      </w:r>
      <w:r w:rsidR="00C76702">
        <w:rPr>
          <w:rFonts w:ascii="Times New Roman" w:hAnsi="Times New Roman"/>
          <w:noProof/>
          <w:sz w:val="24"/>
        </w:rPr>
        <w:t>.</w:t>
      </w:r>
    </w:p>
    <w:p w14:paraId="63EC2F48" w14:textId="77777777" w:rsidR="00C76702" w:rsidRPr="00120A30" w:rsidRDefault="00C76702" w:rsidP="00EB7963">
      <w:pPr>
        <w:pStyle w:val="Body"/>
        <w:spacing w:after="120"/>
        <w:jc w:val="both"/>
        <w:rPr>
          <w:rFonts w:ascii="Times New Roman" w:hAnsi="Times New Roman"/>
          <w:i/>
          <w:noProof/>
          <w:sz w:val="24"/>
        </w:rPr>
      </w:pPr>
      <w:r w:rsidRPr="00120A30">
        <w:rPr>
          <w:rFonts w:ascii="Times New Roman" w:hAnsi="Times New Roman"/>
          <w:i/>
          <w:noProof/>
          <w:sz w:val="24"/>
        </w:rPr>
        <w:t>Language barriers hamper the efficient cross-border exchange of information</w:t>
      </w:r>
      <w:r>
        <w:rPr>
          <w:rFonts w:ascii="Times New Roman" w:hAnsi="Times New Roman"/>
          <w:i/>
          <w:noProof/>
          <w:sz w:val="24"/>
        </w:rPr>
        <w:t>.</w:t>
      </w:r>
    </w:p>
    <w:p w14:paraId="76DEC23B" w14:textId="77777777" w:rsidR="00C76702" w:rsidRPr="00120A30" w:rsidRDefault="00C76702" w:rsidP="005B7685">
      <w:pPr>
        <w:pStyle w:val="Body"/>
        <w:jc w:val="both"/>
        <w:rPr>
          <w:rFonts w:ascii="Times New Roman" w:hAnsi="Times New Roman"/>
          <w:noProof/>
          <w:sz w:val="24"/>
        </w:rPr>
      </w:pPr>
      <w:r w:rsidRPr="00120A30">
        <w:rPr>
          <w:rFonts w:ascii="Times New Roman" w:hAnsi="Times New Roman"/>
          <w:bCs/>
          <w:noProof/>
          <w:sz w:val="24"/>
        </w:rPr>
        <w:t xml:space="preserve">Finally, </w:t>
      </w:r>
      <w:r w:rsidRPr="00120A30">
        <w:rPr>
          <w:rFonts w:ascii="Times New Roman" w:hAnsi="Times New Roman"/>
          <w:b/>
          <w:noProof/>
          <w:sz w:val="24"/>
        </w:rPr>
        <w:t>language barriers</w:t>
      </w:r>
      <w:r w:rsidRPr="00120A30">
        <w:rPr>
          <w:rFonts w:ascii="Times New Roman" w:hAnsi="Times New Roman"/>
          <w:noProof/>
          <w:sz w:val="24"/>
        </w:rPr>
        <w:t xml:space="preserve"> </w:t>
      </w:r>
      <w:r w:rsidRPr="0069432B">
        <w:rPr>
          <w:rFonts w:ascii="Times New Roman" w:hAnsi="Times New Roman"/>
          <w:noProof/>
          <w:sz w:val="24"/>
        </w:rPr>
        <w:t>were reported by some Member States</w:t>
      </w:r>
      <w:r w:rsidRPr="00120A30">
        <w:rPr>
          <w:rFonts w:ascii="Times New Roman" w:hAnsi="Times New Roman"/>
          <w:b/>
          <w:noProof/>
          <w:sz w:val="24"/>
        </w:rPr>
        <w:t xml:space="preserve"> </w:t>
      </w:r>
      <w:r w:rsidRPr="00120A30">
        <w:rPr>
          <w:rFonts w:ascii="Times New Roman" w:hAnsi="Times New Roman"/>
          <w:noProof/>
          <w:sz w:val="24"/>
        </w:rPr>
        <w:t xml:space="preserve">as hampering the cross-border exchange </w:t>
      </w:r>
      <w:r>
        <w:rPr>
          <w:rFonts w:ascii="Times New Roman" w:hAnsi="Times New Roman"/>
          <w:noProof/>
          <w:sz w:val="24"/>
        </w:rPr>
        <w:t>of information</w:t>
      </w:r>
      <w:r w:rsidRPr="00120A30">
        <w:rPr>
          <w:rFonts w:ascii="Times New Roman" w:hAnsi="Times New Roman"/>
          <w:noProof/>
          <w:sz w:val="24"/>
          <w:vertAlign w:val="superscript"/>
        </w:rPr>
        <w:footnoteReference w:id="67"/>
      </w:r>
      <w:r>
        <w:rPr>
          <w:rFonts w:ascii="Times New Roman" w:hAnsi="Times New Roman"/>
          <w:noProof/>
          <w:sz w:val="24"/>
        </w:rPr>
        <w:t>.</w:t>
      </w:r>
      <w:r w:rsidRPr="00120A30">
        <w:rPr>
          <w:rFonts w:ascii="Times New Roman" w:hAnsi="Times New Roman"/>
          <w:noProof/>
          <w:sz w:val="24"/>
        </w:rPr>
        <w:t xml:space="preserve"> Officials engaged in cross-border cooperation are not always proficient in English and this has a twofold drawback. </w:t>
      </w:r>
      <w:r w:rsidRPr="00E831E3">
        <w:rPr>
          <w:rFonts w:ascii="Times New Roman" w:hAnsi="Times New Roman"/>
          <w:b/>
          <w:noProof/>
          <w:sz w:val="24"/>
        </w:rPr>
        <w:t>First,</w:t>
      </w:r>
      <w:r w:rsidRPr="00120A30">
        <w:rPr>
          <w:rFonts w:ascii="Times New Roman" w:hAnsi="Times New Roman"/>
          <w:noProof/>
          <w:sz w:val="24"/>
        </w:rPr>
        <w:t xml:space="preserve"> since EU official communication channels requires the exchange of information in a language that can be understood by the receiving Member State, officials who are not proficient in English or in the language of the requesting country prefer to exchange information via informal channels (e.g. email, etc.). </w:t>
      </w:r>
      <w:r w:rsidRPr="00E831E3">
        <w:rPr>
          <w:rFonts w:ascii="Times New Roman" w:hAnsi="Times New Roman"/>
          <w:b/>
          <w:noProof/>
          <w:sz w:val="24"/>
        </w:rPr>
        <w:t>Second,</w:t>
      </w:r>
      <w:r w:rsidRPr="00120A30">
        <w:rPr>
          <w:rFonts w:ascii="Times New Roman" w:hAnsi="Times New Roman"/>
          <w:noProof/>
          <w:sz w:val="24"/>
        </w:rPr>
        <w:t xml:space="preserve"> even when official channels are used, information i</w:t>
      </w:r>
      <w:r>
        <w:rPr>
          <w:rFonts w:ascii="Times New Roman" w:hAnsi="Times New Roman"/>
          <w:noProof/>
          <w:sz w:val="24"/>
        </w:rPr>
        <w:t xml:space="preserve">s often reported in a rudimentary </w:t>
      </w:r>
      <w:r w:rsidRPr="00120A30">
        <w:rPr>
          <w:rFonts w:ascii="Times New Roman" w:hAnsi="Times New Roman"/>
          <w:noProof/>
          <w:sz w:val="24"/>
        </w:rPr>
        <w:t>English</w:t>
      </w:r>
      <w:r w:rsidR="00D453AD">
        <w:rPr>
          <w:rFonts w:ascii="Times New Roman" w:hAnsi="Times New Roman"/>
          <w:noProof/>
          <w:sz w:val="24"/>
        </w:rPr>
        <w:t>.</w:t>
      </w:r>
      <w:r w:rsidRPr="00120A30">
        <w:rPr>
          <w:rFonts w:ascii="Times New Roman" w:hAnsi="Times New Roman"/>
          <w:noProof/>
          <w:sz w:val="24"/>
        </w:rPr>
        <w:t xml:space="preserve"> Thus, officials receiving a request for information often need to take time to transla</w:t>
      </w:r>
      <w:r>
        <w:rPr>
          <w:rFonts w:ascii="Times New Roman" w:hAnsi="Times New Roman"/>
          <w:noProof/>
          <w:sz w:val="24"/>
        </w:rPr>
        <w:t>te it</w:t>
      </w:r>
      <w:r>
        <w:rPr>
          <w:rStyle w:val="FootnoteReference"/>
          <w:rFonts w:ascii="Times New Roman" w:hAnsi="Times New Roman"/>
          <w:noProof/>
          <w:sz w:val="24"/>
        </w:rPr>
        <w:footnoteReference w:id="68"/>
      </w:r>
      <w:r>
        <w:rPr>
          <w:rFonts w:ascii="Times New Roman" w:hAnsi="Times New Roman"/>
          <w:noProof/>
          <w:sz w:val="24"/>
        </w:rPr>
        <w:t>.</w:t>
      </w:r>
    </w:p>
    <w:p w14:paraId="5E6204FE" w14:textId="630D3BC1" w:rsidR="00C76702" w:rsidRPr="002F22A9" w:rsidRDefault="00173E60" w:rsidP="00173E60">
      <w:pPr>
        <w:pStyle w:val="Heading3"/>
        <w:rPr>
          <w:noProof/>
        </w:rPr>
      </w:pPr>
      <w:bookmarkStart w:id="30" w:name="_Toc74838158"/>
      <w:bookmarkStart w:id="31" w:name="_Toc83801019"/>
      <w:r w:rsidRPr="00173E60">
        <w:t>2.2.3.</w:t>
      </w:r>
      <w:r w:rsidRPr="00173E60">
        <w:tab/>
      </w:r>
      <w:r w:rsidR="00C76702" w:rsidRPr="002F22A9">
        <w:rPr>
          <w:noProof/>
        </w:rPr>
        <w:t>How will the problem evolve without intervention?</w:t>
      </w:r>
      <w:bookmarkEnd w:id="30"/>
      <w:bookmarkEnd w:id="31"/>
    </w:p>
    <w:p w14:paraId="00C7AE42" w14:textId="77777777" w:rsidR="00433DDF" w:rsidRDefault="00C76702" w:rsidP="00433DDF">
      <w:pPr>
        <w:pStyle w:val="Body"/>
        <w:spacing w:after="120"/>
        <w:jc w:val="both"/>
        <w:rPr>
          <w:rFonts w:ascii="Times New Roman" w:hAnsi="Times New Roman"/>
          <w:noProof/>
          <w:sz w:val="24"/>
          <w:szCs w:val="16"/>
        </w:rPr>
      </w:pPr>
      <w:r w:rsidRPr="006338FF">
        <w:rPr>
          <w:rFonts w:ascii="Times New Roman" w:hAnsi="Times New Roman"/>
          <w:noProof/>
          <w:sz w:val="24"/>
          <w:szCs w:val="16"/>
        </w:rPr>
        <w:t xml:space="preserve">Whilst it remains possible that the SPOCs and PCCCs will over time incrementally update and improve their information management systems, these developments would not be aligned between the Member States and the current </w:t>
      </w:r>
      <w:r>
        <w:rPr>
          <w:rFonts w:ascii="Times New Roman" w:hAnsi="Times New Roman"/>
          <w:noProof/>
          <w:sz w:val="24"/>
          <w:szCs w:val="16"/>
        </w:rPr>
        <w:t>efficiency and effectiveness gaps are expected to remain.</w:t>
      </w:r>
      <w:r w:rsidR="00C624EA">
        <w:rPr>
          <w:rFonts w:ascii="Times New Roman" w:hAnsi="Times New Roman"/>
          <w:noProof/>
          <w:sz w:val="24"/>
          <w:szCs w:val="16"/>
        </w:rPr>
        <w:t xml:space="preserve"> </w:t>
      </w:r>
      <w:r w:rsidRPr="006338FF">
        <w:rPr>
          <w:rFonts w:ascii="Times New Roman" w:hAnsi="Times New Roman"/>
          <w:noProof/>
          <w:sz w:val="24"/>
          <w:szCs w:val="16"/>
        </w:rPr>
        <w:t>The varied</w:t>
      </w:r>
      <w:r w:rsidRPr="006338FF" w:rsidDel="00D22F9B">
        <w:rPr>
          <w:rFonts w:ascii="Times New Roman" w:hAnsi="Times New Roman"/>
          <w:noProof/>
          <w:sz w:val="24"/>
          <w:szCs w:val="16"/>
        </w:rPr>
        <w:t xml:space="preserve"> </w:t>
      </w:r>
      <w:r w:rsidRPr="006338FF">
        <w:rPr>
          <w:rFonts w:ascii="Times New Roman" w:hAnsi="Times New Roman"/>
          <w:noProof/>
          <w:sz w:val="24"/>
          <w:szCs w:val="16"/>
        </w:rPr>
        <w:t xml:space="preserve">competences of the SPOCs across the EU would </w:t>
      </w:r>
      <w:r>
        <w:rPr>
          <w:rFonts w:ascii="Times New Roman" w:hAnsi="Times New Roman"/>
          <w:noProof/>
          <w:sz w:val="24"/>
          <w:szCs w:val="16"/>
        </w:rPr>
        <w:t>continue to</w:t>
      </w:r>
      <w:r w:rsidRPr="006338FF">
        <w:rPr>
          <w:rFonts w:ascii="Times New Roman" w:hAnsi="Times New Roman"/>
          <w:noProof/>
          <w:sz w:val="24"/>
          <w:szCs w:val="16"/>
        </w:rPr>
        <w:t xml:space="preserve"> hamper the efficient </w:t>
      </w:r>
      <w:r>
        <w:rPr>
          <w:rFonts w:ascii="Times New Roman" w:hAnsi="Times New Roman"/>
          <w:noProof/>
          <w:sz w:val="24"/>
          <w:szCs w:val="16"/>
        </w:rPr>
        <w:t xml:space="preserve">and effective </w:t>
      </w:r>
      <w:r w:rsidRPr="006338FF">
        <w:rPr>
          <w:rFonts w:ascii="Times New Roman" w:hAnsi="Times New Roman"/>
          <w:noProof/>
          <w:sz w:val="24"/>
          <w:szCs w:val="16"/>
        </w:rPr>
        <w:t xml:space="preserve">exchange of </w:t>
      </w:r>
      <w:r>
        <w:rPr>
          <w:rFonts w:ascii="Times New Roman" w:hAnsi="Times New Roman"/>
          <w:noProof/>
          <w:sz w:val="24"/>
          <w:szCs w:val="16"/>
        </w:rPr>
        <w:t xml:space="preserve">information, notably because </w:t>
      </w:r>
      <w:r w:rsidRPr="006338FF">
        <w:rPr>
          <w:rFonts w:ascii="Times New Roman" w:hAnsi="Times New Roman"/>
          <w:noProof/>
          <w:sz w:val="24"/>
          <w:szCs w:val="16"/>
        </w:rPr>
        <w:t xml:space="preserve">adequate access to key databases and platforms </w:t>
      </w:r>
      <w:r>
        <w:rPr>
          <w:rFonts w:ascii="Times New Roman" w:hAnsi="Times New Roman"/>
          <w:noProof/>
          <w:sz w:val="24"/>
          <w:szCs w:val="16"/>
        </w:rPr>
        <w:t xml:space="preserve">would </w:t>
      </w:r>
      <w:r w:rsidRPr="006338FF">
        <w:rPr>
          <w:rFonts w:ascii="Times New Roman" w:hAnsi="Times New Roman"/>
          <w:noProof/>
          <w:sz w:val="24"/>
          <w:szCs w:val="16"/>
        </w:rPr>
        <w:t xml:space="preserve">not </w:t>
      </w:r>
      <w:r>
        <w:rPr>
          <w:rFonts w:ascii="Times New Roman" w:hAnsi="Times New Roman"/>
          <w:noProof/>
          <w:sz w:val="24"/>
          <w:szCs w:val="16"/>
        </w:rPr>
        <w:t xml:space="preserve">be </w:t>
      </w:r>
      <w:r w:rsidRPr="006338FF">
        <w:rPr>
          <w:rFonts w:ascii="Times New Roman" w:hAnsi="Times New Roman"/>
          <w:noProof/>
          <w:sz w:val="24"/>
          <w:szCs w:val="16"/>
        </w:rPr>
        <w:t>ensured in all SPOCs</w:t>
      </w:r>
      <w:r>
        <w:rPr>
          <w:rFonts w:ascii="Times New Roman" w:hAnsi="Times New Roman"/>
          <w:noProof/>
          <w:sz w:val="24"/>
          <w:szCs w:val="16"/>
        </w:rPr>
        <w:t xml:space="preserve"> and PCCCs</w:t>
      </w:r>
      <w:r w:rsidRPr="006338FF">
        <w:rPr>
          <w:rFonts w:ascii="Times New Roman" w:hAnsi="Times New Roman"/>
          <w:noProof/>
          <w:sz w:val="24"/>
          <w:szCs w:val="16"/>
        </w:rPr>
        <w:t xml:space="preserve">. Moreover, some SPOCs </w:t>
      </w:r>
      <w:r>
        <w:rPr>
          <w:rFonts w:ascii="Times New Roman" w:hAnsi="Times New Roman"/>
          <w:noProof/>
          <w:sz w:val="24"/>
          <w:szCs w:val="16"/>
        </w:rPr>
        <w:t xml:space="preserve">would continue to </w:t>
      </w:r>
      <w:r w:rsidRPr="006338FF">
        <w:rPr>
          <w:rFonts w:ascii="Times New Roman" w:hAnsi="Times New Roman"/>
          <w:noProof/>
          <w:sz w:val="24"/>
          <w:szCs w:val="16"/>
        </w:rPr>
        <w:t xml:space="preserve">have insufficient resources to address the information requests received within the deadlines in all cases. </w:t>
      </w:r>
    </w:p>
    <w:p w14:paraId="00E4BC1B" w14:textId="09902D46" w:rsidR="00433DDF" w:rsidRPr="00433DDF" w:rsidRDefault="00433DDF" w:rsidP="00433DDF">
      <w:pPr>
        <w:pStyle w:val="Body"/>
        <w:spacing w:after="120"/>
        <w:jc w:val="both"/>
        <w:rPr>
          <w:rFonts w:ascii="Times New Roman" w:hAnsi="Times New Roman"/>
          <w:noProof/>
          <w:sz w:val="24"/>
          <w:szCs w:val="24"/>
        </w:rPr>
      </w:pPr>
      <w:r w:rsidRPr="00433DDF">
        <w:rPr>
          <w:rFonts w:ascii="Times New Roman" w:hAnsi="Times New Roman"/>
          <w:noProof/>
          <w:sz w:val="24"/>
          <w:szCs w:val="24"/>
        </w:rPr>
        <w:t>The latest cycle of Schengen evaluations in the field of police cooperation revealed, in a number of Member States, deeply engrained internal coordination issues between different law enforcement authorities, preventing the proper functioning of their national SPOC/PCCCs.</w:t>
      </w:r>
    </w:p>
    <w:p w14:paraId="44C007B4" w14:textId="77777777" w:rsidR="008C6C59" w:rsidRDefault="00433DDF" w:rsidP="00433DDF">
      <w:pPr>
        <w:pStyle w:val="ListNumber"/>
        <w:numPr>
          <w:ilvl w:val="0"/>
          <w:numId w:val="0"/>
        </w:numPr>
        <w:spacing w:before="120" w:after="120" w:line="23" w:lineRule="atLeast"/>
        <w:rPr>
          <w:noProof/>
          <w:szCs w:val="24"/>
          <w:lang w:val="en-GB"/>
        </w:rPr>
      </w:pPr>
      <w:r w:rsidRPr="00433DDF">
        <w:rPr>
          <w:noProof/>
          <w:szCs w:val="24"/>
          <w:lang w:val="en-GB"/>
        </w:rPr>
        <w:t xml:space="preserve">Such internal issues have been proven to significantly hinder the efficient and effective functioning of the SPOC/PCCCs and hence the exchange of information between Member States. For example, some national SPOCs/PCCCs do not have a direct access to relevant national databases, nor benefit from a modern information architecture, thereby preventing necessary cross-match with EU and International databases. </w:t>
      </w:r>
    </w:p>
    <w:p w14:paraId="79A06EC4" w14:textId="5B313424" w:rsidR="0001435D" w:rsidRDefault="00433DDF" w:rsidP="0001435D">
      <w:pPr>
        <w:pStyle w:val="ListNumber"/>
        <w:numPr>
          <w:ilvl w:val="0"/>
          <w:numId w:val="0"/>
        </w:numPr>
        <w:spacing w:before="120" w:after="120"/>
        <w:rPr>
          <w:noProof/>
          <w:szCs w:val="24"/>
          <w:lang w:val="en-GB"/>
        </w:rPr>
      </w:pPr>
      <w:r w:rsidRPr="00433DDF">
        <w:rPr>
          <w:noProof/>
          <w:szCs w:val="24"/>
          <w:lang w:val="en-GB"/>
        </w:rPr>
        <w:t>Furthermore, designing IT upgrades can be complex and the implication far reaching rendering an efficient internal coordination even more essential. A general finding of the Schengen evaluations points to the need to address national/domestic structures, processes and procedure in order to improve the</w:t>
      </w:r>
      <w:r w:rsidRPr="00433DDF">
        <w:rPr>
          <w:noProof/>
          <w:lang w:val="en-GB"/>
        </w:rPr>
        <w:t xml:space="preserve"> exchange of information between Member States in the framework of EU law.</w:t>
      </w:r>
      <w:r w:rsidR="0001435D">
        <w:rPr>
          <w:noProof/>
          <w:szCs w:val="24"/>
          <w:lang w:val="en-GB"/>
        </w:rPr>
        <w:t xml:space="preserve"> </w:t>
      </w:r>
    </w:p>
    <w:p w14:paraId="042BD70D" w14:textId="4B6EEDAA" w:rsidR="009D1687" w:rsidRPr="002F6386" w:rsidRDefault="00C76702" w:rsidP="00433DDF">
      <w:pPr>
        <w:pStyle w:val="ListNumber"/>
        <w:numPr>
          <w:ilvl w:val="0"/>
          <w:numId w:val="0"/>
        </w:numPr>
        <w:spacing w:before="120" w:after="120" w:line="23" w:lineRule="atLeast"/>
        <w:rPr>
          <w:noProof/>
          <w:szCs w:val="24"/>
          <w:lang w:val="en-GB"/>
        </w:rPr>
      </w:pPr>
      <w:r w:rsidRPr="00433DDF">
        <w:rPr>
          <w:noProof/>
          <w:szCs w:val="24"/>
          <w:lang w:val="en-GB"/>
        </w:rPr>
        <w:t xml:space="preserve">Member States would not ensure appropriate and uniform level of training </w:t>
      </w:r>
      <w:r w:rsidRPr="00433DDF">
        <w:rPr>
          <w:noProof/>
          <w:szCs w:val="16"/>
          <w:lang w:val="en-GB"/>
        </w:rPr>
        <w:t>in intra-EU cross-border cases</w:t>
      </w:r>
      <w:r w:rsidRPr="00433DDF">
        <w:rPr>
          <w:noProof/>
          <w:szCs w:val="24"/>
          <w:lang w:val="en-GB"/>
        </w:rPr>
        <w:t>, in foreign language</w:t>
      </w:r>
      <w:r w:rsidR="008F3ABA" w:rsidRPr="00433DDF">
        <w:rPr>
          <w:noProof/>
          <w:szCs w:val="24"/>
          <w:lang w:val="en-GB"/>
        </w:rPr>
        <w:t>s</w:t>
      </w:r>
      <w:r w:rsidRPr="00433DDF">
        <w:rPr>
          <w:noProof/>
          <w:szCs w:val="24"/>
          <w:lang w:val="en-GB"/>
        </w:rPr>
        <w:t xml:space="preserve"> and in the adequate use relevant databases and communication channels either.</w:t>
      </w:r>
      <w:r w:rsidR="00EA0A1C" w:rsidRPr="00433DDF">
        <w:rPr>
          <w:noProof/>
          <w:szCs w:val="24"/>
          <w:lang w:val="en-GB"/>
        </w:rPr>
        <w:t xml:space="preserve"> </w:t>
      </w:r>
      <w:r w:rsidR="009D1687" w:rsidRPr="002F6386">
        <w:rPr>
          <w:noProof/>
          <w:lang w:val="en-GB"/>
        </w:rPr>
        <w:t xml:space="preserve">Law enforcement authorities will not effectively and efficiently exchange information with their partners in other Member States, thereby leaving the impacts in the </w:t>
      </w:r>
      <w:r w:rsidR="009D1687" w:rsidRPr="002F6386">
        <w:rPr>
          <w:noProof/>
          <w:szCs w:val="24"/>
          <w:lang w:val="en-GB"/>
        </w:rPr>
        <w:t>evolution of the EU security landscape and in the increased cross-border mobility essentially unaddressed.</w:t>
      </w:r>
    </w:p>
    <w:p w14:paraId="20E5AE52" w14:textId="7AE9B98B" w:rsidR="00C76702" w:rsidRPr="00570CA3" w:rsidRDefault="00CF3D6A" w:rsidP="00094199">
      <w:pPr>
        <w:pStyle w:val="Heading2"/>
        <w:rPr>
          <w:noProof/>
        </w:rPr>
      </w:pPr>
      <w:bookmarkStart w:id="32" w:name="_Toc74838159"/>
      <w:r>
        <w:rPr>
          <w:noProof/>
        </w:rPr>
        <w:t xml:space="preserve"> </w:t>
      </w:r>
      <w:bookmarkStart w:id="33" w:name="_Toc83801020"/>
      <w:r w:rsidR="00C76702" w:rsidRPr="00570CA3">
        <w:rPr>
          <w:noProof/>
        </w:rPr>
        <w:t xml:space="preserve">Problem </w:t>
      </w:r>
      <w:r w:rsidR="00516D03">
        <w:rPr>
          <w:noProof/>
        </w:rPr>
        <w:t>3</w:t>
      </w:r>
      <w:r w:rsidR="00C76702" w:rsidRPr="00570CA3">
        <w:rPr>
          <w:noProof/>
        </w:rPr>
        <w:t>:</w:t>
      </w:r>
      <w:r w:rsidR="00C76702" w:rsidRPr="002F22A9">
        <w:rPr>
          <w:noProof/>
        </w:rPr>
        <w:t xml:space="preserve"> The free choice of communication channel(s) between Member States </w:t>
      </w:r>
      <w:r w:rsidR="00FD2457">
        <w:rPr>
          <w:noProof/>
        </w:rPr>
        <w:t>causes</w:t>
      </w:r>
      <w:r w:rsidR="00FD2457" w:rsidRPr="002F22A9">
        <w:rPr>
          <w:noProof/>
        </w:rPr>
        <w:t xml:space="preserve"> </w:t>
      </w:r>
      <w:r w:rsidR="00C76702" w:rsidRPr="002F22A9">
        <w:rPr>
          <w:noProof/>
        </w:rPr>
        <w:t>recurrent duplication of requests</w:t>
      </w:r>
      <w:bookmarkEnd w:id="32"/>
      <w:bookmarkEnd w:id="33"/>
    </w:p>
    <w:p w14:paraId="265D33CB" w14:textId="1DCD2B92" w:rsidR="00C76702" w:rsidRPr="001521FB" w:rsidRDefault="00173E60" w:rsidP="00173E60">
      <w:pPr>
        <w:pStyle w:val="Heading3"/>
        <w:rPr>
          <w:noProof/>
        </w:rPr>
      </w:pPr>
      <w:bookmarkStart w:id="34" w:name="_Toc74838160"/>
      <w:bookmarkStart w:id="35" w:name="_Toc83801021"/>
      <w:r w:rsidRPr="00173E60">
        <w:t>2.3.1.</w:t>
      </w:r>
      <w:r w:rsidRPr="00173E60">
        <w:tab/>
      </w:r>
      <w:r w:rsidR="00C76702" w:rsidRPr="001521FB">
        <w:rPr>
          <w:noProof/>
        </w:rPr>
        <w:t>What is the problem?</w:t>
      </w:r>
      <w:bookmarkEnd w:id="34"/>
      <w:bookmarkEnd w:id="35"/>
    </w:p>
    <w:p w14:paraId="6098A878" w14:textId="73AB34F7" w:rsidR="00AB4286" w:rsidRDefault="00BF303A" w:rsidP="00AB4286">
      <w:pPr>
        <w:pStyle w:val="Body"/>
        <w:spacing w:after="120"/>
        <w:jc w:val="both"/>
        <w:rPr>
          <w:rFonts w:ascii="Times New Roman" w:hAnsi="Times New Roman"/>
          <w:noProof/>
          <w:sz w:val="24"/>
          <w:szCs w:val="24"/>
        </w:rPr>
      </w:pPr>
      <w:r>
        <w:rPr>
          <w:rFonts w:ascii="Times New Roman" w:hAnsi="Times New Roman"/>
          <w:noProof/>
          <w:sz w:val="24"/>
        </w:rPr>
        <w:t>Member States</w:t>
      </w:r>
      <w:r w:rsidR="008D16B5">
        <w:rPr>
          <w:rFonts w:ascii="Times New Roman" w:hAnsi="Times New Roman"/>
          <w:noProof/>
          <w:sz w:val="24"/>
        </w:rPr>
        <w:t>'</w:t>
      </w:r>
      <w:r>
        <w:rPr>
          <w:rFonts w:ascii="Times New Roman" w:hAnsi="Times New Roman"/>
          <w:noProof/>
          <w:sz w:val="24"/>
        </w:rPr>
        <w:t xml:space="preserve"> law enforcement authorities use a variety of different channels to exchange information</w:t>
      </w:r>
      <w:r w:rsidR="00C76702" w:rsidRPr="0069432B">
        <w:rPr>
          <w:rFonts w:ascii="Times New Roman" w:hAnsi="Times New Roman"/>
          <w:noProof/>
          <w:sz w:val="24"/>
        </w:rPr>
        <w:t xml:space="preserve">, leading to recurrent duplication of requests and </w:t>
      </w:r>
      <w:r w:rsidR="00C76702" w:rsidRPr="0069432B">
        <w:rPr>
          <w:rFonts w:ascii="Times New Roman" w:hAnsi="Times New Roman"/>
          <w:bCs/>
          <w:noProof/>
          <w:sz w:val="24"/>
        </w:rPr>
        <w:t>creating confusion</w:t>
      </w:r>
      <w:r w:rsidR="00C76702" w:rsidRPr="0069432B">
        <w:rPr>
          <w:rFonts w:ascii="Times New Roman" w:hAnsi="Times New Roman"/>
          <w:b/>
          <w:bCs/>
          <w:noProof/>
          <w:sz w:val="24"/>
        </w:rPr>
        <w:t xml:space="preserve"> </w:t>
      </w:r>
      <w:r w:rsidR="00C76702" w:rsidRPr="0069432B">
        <w:rPr>
          <w:rFonts w:ascii="Times New Roman" w:hAnsi="Times New Roman"/>
          <w:noProof/>
          <w:sz w:val="24"/>
        </w:rPr>
        <w:t>due to the number of information systems that can be used</w:t>
      </w:r>
      <w:r w:rsidR="00C76702" w:rsidRPr="0069432B">
        <w:rPr>
          <w:rFonts w:ascii="Times New Roman" w:hAnsi="Times New Roman"/>
          <w:noProof/>
          <w:sz w:val="24"/>
          <w:szCs w:val="24"/>
          <w:vertAlign w:val="superscript"/>
        </w:rPr>
        <w:footnoteReference w:id="69"/>
      </w:r>
      <w:r w:rsidR="00C76702" w:rsidRPr="0069432B">
        <w:rPr>
          <w:rFonts w:ascii="Times New Roman" w:hAnsi="Times New Roman"/>
          <w:noProof/>
          <w:sz w:val="24"/>
          <w:szCs w:val="24"/>
        </w:rPr>
        <w:t xml:space="preserve">. </w:t>
      </w:r>
      <w:r w:rsidR="00AB4286" w:rsidRPr="00AC0345">
        <w:rPr>
          <w:rFonts w:ascii="Times New Roman" w:hAnsi="Times New Roman"/>
          <w:b/>
          <w:noProof/>
          <w:sz w:val="24"/>
          <w:szCs w:val="24"/>
        </w:rPr>
        <w:t>Three main channels</w:t>
      </w:r>
      <w:r w:rsidR="00AB4286" w:rsidRPr="00AC0345">
        <w:rPr>
          <w:rFonts w:ascii="Times New Roman" w:hAnsi="Times New Roman"/>
          <w:noProof/>
          <w:sz w:val="24"/>
          <w:szCs w:val="24"/>
        </w:rPr>
        <w:t xml:space="preserve"> are used for cross-border information exchange, each based on national units in each Member State that use a related communication tool: </w:t>
      </w:r>
    </w:p>
    <w:p w14:paraId="6E2E8D58" w14:textId="77777777" w:rsidR="00AB4286" w:rsidRDefault="00AB4286" w:rsidP="00900BC7">
      <w:pPr>
        <w:pStyle w:val="Body"/>
        <w:numPr>
          <w:ilvl w:val="0"/>
          <w:numId w:val="78"/>
        </w:numPr>
        <w:spacing w:after="60"/>
        <w:ind w:left="714" w:hanging="357"/>
        <w:jc w:val="both"/>
        <w:rPr>
          <w:rFonts w:ascii="Times New Roman" w:hAnsi="Times New Roman"/>
          <w:noProof/>
          <w:sz w:val="24"/>
          <w:szCs w:val="24"/>
        </w:rPr>
      </w:pPr>
      <w:r w:rsidRPr="00AC0345">
        <w:rPr>
          <w:rFonts w:ascii="Times New Roman" w:hAnsi="Times New Roman"/>
          <w:noProof/>
          <w:sz w:val="24"/>
          <w:szCs w:val="24"/>
        </w:rPr>
        <w:t>SIRENE Bureaux can, following a hit on an alert in S</w:t>
      </w:r>
      <w:r w:rsidR="00480B9A">
        <w:rPr>
          <w:rFonts w:ascii="Times New Roman" w:hAnsi="Times New Roman"/>
          <w:noProof/>
          <w:sz w:val="24"/>
          <w:szCs w:val="24"/>
        </w:rPr>
        <w:t xml:space="preserve">chengen </w:t>
      </w:r>
      <w:r w:rsidRPr="00AC0345">
        <w:rPr>
          <w:rFonts w:ascii="Times New Roman" w:hAnsi="Times New Roman"/>
          <w:noProof/>
          <w:sz w:val="24"/>
          <w:szCs w:val="24"/>
        </w:rPr>
        <w:t>I</w:t>
      </w:r>
      <w:r w:rsidR="00480B9A">
        <w:rPr>
          <w:rFonts w:ascii="Times New Roman" w:hAnsi="Times New Roman"/>
          <w:noProof/>
          <w:sz w:val="24"/>
          <w:szCs w:val="24"/>
        </w:rPr>
        <w:t>nformation System (SIS)</w:t>
      </w:r>
      <w:r w:rsidRPr="00AC0345">
        <w:rPr>
          <w:rFonts w:ascii="Times New Roman" w:hAnsi="Times New Roman"/>
          <w:noProof/>
          <w:sz w:val="24"/>
          <w:szCs w:val="24"/>
        </w:rPr>
        <w:t xml:space="preserve">, obtain supplementary information from the Member State that issued the alert. They operate 24/7 and follow the procedures </w:t>
      </w:r>
      <w:r w:rsidR="008F3ABA">
        <w:rPr>
          <w:rFonts w:ascii="Times New Roman" w:hAnsi="Times New Roman"/>
          <w:noProof/>
          <w:sz w:val="24"/>
          <w:szCs w:val="24"/>
        </w:rPr>
        <w:t>of</w:t>
      </w:r>
      <w:r w:rsidRPr="00AC0345">
        <w:rPr>
          <w:rFonts w:ascii="Times New Roman" w:hAnsi="Times New Roman"/>
          <w:noProof/>
          <w:sz w:val="24"/>
          <w:szCs w:val="24"/>
        </w:rPr>
        <w:t xml:space="preserve"> the SIRENE Manual. </w:t>
      </w:r>
    </w:p>
    <w:p w14:paraId="0AF168CD" w14:textId="77777777" w:rsidR="00AB4286" w:rsidRDefault="00AB4286" w:rsidP="00900BC7">
      <w:pPr>
        <w:pStyle w:val="Body"/>
        <w:numPr>
          <w:ilvl w:val="0"/>
          <w:numId w:val="78"/>
        </w:numPr>
        <w:spacing w:after="60"/>
        <w:ind w:left="714" w:hanging="357"/>
        <w:jc w:val="both"/>
        <w:rPr>
          <w:rFonts w:ascii="Times New Roman" w:hAnsi="Times New Roman"/>
          <w:noProof/>
          <w:sz w:val="24"/>
          <w:szCs w:val="24"/>
        </w:rPr>
      </w:pPr>
      <w:r w:rsidRPr="00AC0345">
        <w:rPr>
          <w:rFonts w:ascii="Times New Roman" w:hAnsi="Times New Roman"/>
          <w:noProof/>
          <w:sz w:val="24"/>
          <w:szCs w:val="24"/>
        </w:rPr>
        <w:t xml:space="preserve">Europol National Units (ENUs) exchange information with Europol. They may also exchange information bilaterally on crime </w:t>
      </w:r>
      <w:r w:rsidRPr="00AB4286">
        <w:rPr>
          <w:rFonts w:ascii="Times New Roman" w:hAnsi="Times New Roman"/>
          <w:noProof/>
          <w:sz w:val="24"/>
          <w:szCs w:val="24"/>
        </w:rPr>
        <w:t>outside Europol</w:t>
      </w:r>
      <w:r>
        <w:rPr>
          <w:rFonts w:ascii="Times New Roman" w:hAnsi="Times New Roman"/>
          <w:noProof/>
          <w:sz w:val="24"/>
          <w:szCs w:val="24"/>
        </w:rPr>
        <w:t>'</w:t>
      </w:r>
      <w:r w:rsidRPr="00AC0345">
        <w:rPr>
          <w:rFonts w:ascii="Times New Roman" w:hAnsi="Times New Roman"/>
          <w:noProof/>
          <w:sz w:val="24"/>
          <w:szCs w:val="24"/>
        </w:rPr>
        <w:t>s mandate and without involving Europol. ENUs can exchange information directly or through Europol Liaison Officers, who are part of an ENU but stationed at Europol headquarters. A secure communications tool, SIENA</w:t>
      </w:r>
      <w:r w:rsidR="00C5236E">
        <w:rPr>
          <w:rStyle w:val="FootnoteReference"/>
          <w:rFonts w:ascii="Times New Roman" w:hAnsi="Times New Roman"/>
          <w:noProof/>
          <w:sz w:val="24"/>
          <w:szCs w:val="24"/>
        </w:rPr>
        <w:footnoteReference w:id="70"/>
      </w:r>
      <w:r w:rsidRPr="00AC0345">
        <w:rPr>
          <w:rFonts w:ascii="Times New Roman" w:hAnsi="Times New Roman"/>
          <w:noProof/>
          <w:sz w:val="24"/>
          <w:szCs w:val="24"/>
        </w:rPr>
        <w:t xml:space="preserve">, has been developed by Europol for exchanges with Europol and between Member States. </w:t>
      </w:r>
    </w:p>
    <w:p w14:paraId="547F4AB5" w14:textId="77777777" w:rsidR="00AB4286" w:rsidRDefault="00AB4286" w:rsidP="00900BC7">
      <w:pPr>
        <w:pStyle w:val="Body"/>
        <w:numPr>
          <w:ilvl w:val="0"/>
          <w:numId w:val="78"/>
        </w:numPr>
        <w:spacing w:after="120"/>
        <w:jc w:val="both"/>
        <w:rPr>
          <w:rFonts w:ascii="Times New Roman" w:hAnsi="Times New Roman"/>
          <w:noProof/>
          <w:sz w:val="24"/>
          <w:szCs w:val="24"/>
        </w:rPr>
      </w:pPr>
      <w:r w:rsidRPr="00AC0345">
        <w:rPr>
          <w:rFonts w:ascii="Times New Roman" w:hAnsi="Times New Roman"/>
          <w:noProof/>
          <w:sz w:val="24"/>
          <w:szCs w:val="24"/>
        </w:rPr>
        <w:t>I</w:t>
      </w:r>
      <w:r>
        <w:rPr>
          <w:rFonts w:ascii="Times New Roman" w:hAnsi="Times New Roman"/>
          <w:noProof/>
          <w:sz w:val="24"/>
          <w:szCs w:val="24"/>
        </w:rPr>
        <w:t>NTERPOL</w:t>
      </w:r>
      <w:r w:rsidRPr="00AC0345">
        <w:rPr>
          <w:rFonts w:ascii="Times New Roman" w:hAnsi="Times New Roman"/>
          <w:noProof/>
          <w:sz w:val="24"/>
          <w:szCs w:val="24"/>
        </w:rPr>
        <w:t xml:space="preserve"> National Central Bureaux, operating 24/7, exchange information with I</w:t>
      </w:r>
      <w:r w:rsidR="00D31254">
        <w:rPr>
          <w:rFonts w:ascii="Times New Roman" w:hAnsi="Times New Roman"/>
          <w:noProof/>
          <w:sz w:val="24"/>
          <w:szCs w:val="24"/>
        </w:rPr>
        <w:t>NTERPOL</w:t>
      </w:r>
      <w:r w:rsidRPr="00AC0345">
        <w:rPr>
          <w:rFonts w:ascii="Times New Roman" w:hAnsi="Times New Roman"/>
          <w:noProof/>
          <w:sz w:val="24"/>
          <w:szCs w:val="24"/>
        </w:rPr>
        <w:t xml:space="preserve"> as well as bilaterally without involving I</w:t>
      </w:r>
      <w:r>
        <w:rPr>
          <w:rFonts w:ascii="Times New Roman" w:hAnsi="Times New Roman"/>
          <w:noProof/>
          <w:sz w:val="24"/>
          <w:szCs w:val="24"/>
        </w:rPr>
        <w:t>NTERPOL</w:t>
      </w:r>
      <w:r w:rsidRPr="00AC0345">
        <w:rPr>
          <w:rFonts w:ascii="Times New Roman" w:hAnsi="Times New Roman"/>
          <w:noProof/>
          <w:sz w:val="24"/>
          <w:szCs w:val="24"/>
        </w:rPr>
        <w:t>. National Central Bureaux use the I-24/7 communication tool developed by I</w:t>
      </w:r>
      <w:r>
        <w:rPr>
          <w:rFonts w:ascii="Times New Roman" w:hAnsi="Times New Roman"/>
          <w:noProof/>
          <w:sz w:val="24"/>
          <w:szCs w:val="24"/>
        </w:rPr>
        <w:t>NTERPOL</w:t>
      </w:r>
      <w:r w:rsidRPr="00AC0345">
        <w:rPr>
          <w:rFonts w:ascii="Times New Roman" w:hAnsi="Times New Roman"/>
          <w:noProof/>
          <w:sz w:val="24"/>
          <w:szCs w:val="24"/>
        </w:rPr>
        <w:t xml:space="preserve">. </w:t>
      </w:r>
    </w:p>
    <w:p w14:paraId="67ECBBF6" w14:textId="39AA2830" w:rsidR="00A21EA2" w:rsidRDefault="00AB4286" w:rsidP="005476B1">
      <w:pPr>
        <w:pStyle w:val="Body"/>
        <w:spacing w:after="120"/>
        <w:jc w:val="both"/>
        <w:rPr>
          <w:rFonts w:ascii="Times New Roman" w:hAnsi="Times New Roman"/>
          <w:noProof/>
          <w:sz w:val="24"/>
          <w:szCs w:val="24"/>
        </w:rPr>
      </w:pPr>
      <w:r w:rsidRPr="00AC0345">
        <w:rPr>
          <w:rFonts w:ascii="Times New Roman" w:hAnsi="Times New Roman"/>
          <w:noProof/>
          <w:sz w:val="24"/>
          <w:szCs w:val="24"/>
        </w:rPr>
        <w:t>Other channels include bilateral Liaison Officers (stationed in other Member States and typically used in more complex cases) and P</w:t>
      </w:r>
      <w:r w:rsidR="00500A35">
        <w:rPr>
          <w:rFonts w:ascii="Times New Roman" w:hAnsi="Times New Roman"/>
          <w:noProof/>
          <w:sz w:val="24"/>
          <w:szCs w:val="24"/>
        </w:rPr>
        <w:t>CCCs</w:t>
      </w:r>
      <w:r w:rsidRPr="00AC0345">
        <w:rPr>
          <w:rFonts w:ascii="Times New Roman" w:hAnsi="Times New Roman"/>
          <w:noProof/>
          <w:sz w:val="24"/>
          <w:szCs w:val="24"/>
        </w:rPr>
        <w:t>.</w:t>
      </w:r>
    </w:p>
    <w:p w14:paraId="3261EC3A" w14:textId="66E9E6B0" w:rsidR="00AB4286" w:rsidRDefault="00A21EA2" w:rsidP="005476B1">
      <w:pPr>
        <w:pStyle w:val="Body"/>
        <w:spacing w:after="120"/>
        <w:jc w:val="both"/>
        <w:rPr>
          <w:rFonts w:ascii="Times New Roman" w:hAnsi="Times New Roman"/>
          <w:noProof/>
          <w:sz w:val="24"/>
          <w:szCs w:val="24"/>
        </w:rPr>
      </w:pPr>
      <w:r w:rsidRPr="00EB3A48">
        <w:rPr>
          <w:rFonts w:ascii="Times New Roman" w:hAnsi="Times New Roman"/>
          <w:noProof/>
          <w:sz w:val="24"/>
          <w:szCs w:val="24"/>
          <w:lang w:eastAsia="en-GB"/>
        </w:rPr>
        <w:t>Member States use different</w:t>
      </w:r>
      <w:r>
        <w:rPr>
          <w:rFonts w:ascii="Times New Roman" w:hAnsi="Times New Roman"/>
          <w:noProof/>
          <w:sz w:val="24"/>
          <w:szCs w:val="24"/>
          <w:lang w:eastAsia="en-GB"/>
        </w:rPr>
        <w:t xml:space="preserve"> channels to different extents</w:t>
      </w:r>
      <w:r w:rsidRPr="00896103">
        <w:rPr>
          <w:rFonts w:ascii="Times New Roman" w:hAnsi="Times New Roman"/>
          <w:noProof/>
          <w:sz w:val="24"/>
          <w:szCs w:val="24"/>
        </w:rPr>
        <w:t xml:space="preserve"> </w:t>
      </w:r>
      <w:r w:rsidRPr="0002350A">
        <w:rPr>
          <w:rFonts w:ascii="Times New Roman" w:hAnsi="Times New Roman"/>
          <w:noProof/>
          <w:sz w:val="24"/>
          <w:szCs w:val="24"/>
        </w:rPr>
        <w:t xml:space="preserve">to </w:t>
      </w:r>
      <w:r>
        <w:rPr>
          <w:rFonts w:ascii="Times New Roman" w:hAnsi="Times New Roman"/>
          <w:noProof/>
          <w:sz w:val="24"/>
          <w:szCs w:val="24"/>
        </w:rPr>
        <w:t xml:space="preserve">request, send and receive </w:t>
      </w:r>
      <w:r w:rsidRPr="0002350A">
        <w:rPr>
          <w:rFonts w:ascii="Times New Roman" w:hAnsi="Times New Roman"/>
          <w:noProof/>
          <w:sz w:val="24"/>
          <w:szCs w:val="24"/>
        </w:rPr>
        <w:t>information, which hampers effective and ef</w:t>
      </w:r>
      <w:r>
        <w:rPr>
          <w:rFonts w:ascii="Times New Roman" w:hAnsi="Times New Roman"/>
          <w:noProof/>
          <w:sz w:val="24"/>
          <w:szCs w:val="24"/>
        </w:rPr>
        <w:t>ficient exchange of information</w:t>
      </w:r>
      <w:r>
        <w:rPr>
          <w:rFonts w:ascii="Times New Roman" w:hAnsi="Times New Roman"/>
          <w:noProof/>
          <w:sz w:val="24"/>
          <w:szCs w:val="24"/>
          <w:lang w:eastAsia="en-GB"/>
        </w:rPr>
        <w:t>.</w:t>
      </w:r>
      <w:r w:rsidRPr="009B15D1">
        <w:rPr>
          <w:rFonts w:ascii="Times New Roman" w:hAnsi="Times New Roman"/>
          <w:noProof/>
          <w:sz w:val="24"/>
          <w:szCs w:val="24"/>
        </w:rPr>
        <w:t xml:space="preserve"> This was also confirmed by a number of stakeholders who</w:t>
      </w:r>
      <w:r>
        <w:rPr>
          <w:rFonts w:ascii="Times New Roman" w:hAnsi="Times New Roman"/>
          <w:noProof/>
          <w:sz w:val="24"/>
          <w:szCs w:val="24"/>
        </w:rPr>
        <w:t xml:space="preserve"> also</w:t>
      </w:r>
      <w:r w:rsidRPr="009B15D1">
        <w:rPr>
          <w:rFonts w:ascii="Times New Roman" w:hAnsi="Times New Roman"/>
          <w:noProof/>
          <w:sz w:val="24"/>
          <w:szCs w:val="24"/>
        </w:rPr>
        <w:t xml:space="preserve"> pointed out that the use of </w:t>
      </w:r>
      <w:r>
        <w:rPr>
          <w:rFonts w:ascii="Times New Roman" w:hAnsi="Times New Roman"/>
          <w:noProof/>
          <w:sz w:val="24"/>
          <w:szCs w:val="24"/>
        </w:rPr>
        <w:t>different</w:t>
      </w:r>
      <w:r w:rsidRPr="009B15D1">
        <w:rPr>
          <w:rFonts w:ascii="Times New Roman" w:hAnsi="Times New Roman"/>
          <w:noProof/>
          <w:sz w:val="24"/>
          <w:szCs w:val="24"/>
        </w:rPr>
        <w:t xml:space="preserve"> tools at the same time contributes to the duplication of requests. Such cases of duplications of requests due to the use of different channels concerning the same piece of information were also reported during the technical workshop held on 24 March 2021</w:t>
      </w:r>
      <w:r w:rsidRPr="009B15D1">
        <w:rPr>
          <w:rStyle w:val="FootnoteReference"/>
          <w:rFonts w:ascii="Times New Roman" w:hAnsi="Times New Roman"/>
          <w:noProof/>
          <w:sz w:val="24"/>
          <w:szCs w:val="24"/>
        </w:rPr>
        <w:footnoteReference w:id="71"/>
      </w:r>
      <w:r w:rsidRPr="009B15D1">
        <w:rPr>
          <w:rFonts w:ascii="Times New Roman" w:hAnsi="Times New Roman"/>
          <w:noProof/>
          <w:sz w:val="24"/>
          <w:szCs w:val="24"/>
        </w:rPr>
        <w:t>.</w:t>
      </w:r>
    </w:p>
    <w:p w14:paraId="769EC6ED" w14:textId="1E69CC1D" w:rsidR="008D16B5" w:rsidRDefault="00DB2A16" w:rsidP="008D16B5">
      <w:pPr>
        <w:spacing w:after="120" w:line="240" w:lineRule="auto"/>
        <w:jc w:val="both"/>
        <w:rPr>
          <w:rFonts w:ascii="Times New Roman" w:hAnsi="Times New Roman" w:cs="Times New Roman"/>
          <w:noProof/>
          <w:sz w:val="24"/>
        </w:rPr>
      </w:pPr>
      <w:r>
        <w:rPr>
          <w:rFonts w:ascii="Times New Roman" w:hAnsi="Times New Roman"/>
          <w:noProof/>
          <w:sz w:val="24"/>
        </w:rPr>
        <w:t xml:space="preserve">On top of noted duplications, the </w:t>
      </w:r>
      <w:r w:rsidR="00A21EA2">
        <w:rPr>
          <w:rFonts w:ascii="Times New Roman" w:hAnsi="Times New Roman"/>
          <w:noProof/>
          <w:sz w:val="24"/>
        </w:rPr>
        <w:t>use of different</w:t>
      </w:r>
      <w:r>
        <w:rPr>
          <w:rFonts w:ascii="Times New Roman" w:hAnsi="Times New Roman"/>
          <w:noProof/>
          <w:sz w:val="24"/>
        </w:rPr>
        <w:t xml:space="preserve"> communication channels leads to the </w:t>
      </w:r>
      <w:r w:rsidRPr="0069432B">
        <w:rPr>
          <w:rFonts w:ascii="Times New Roman" w:hAnsi="Times New Roman"/>
          <w:noProof/>
          <w:sz w:val="24"/>
          <w:szCs w:val="24"/>
        </w:rPr>
        <w:t xml:space="preserve">Europol </w:t>
      </w:r>
      <w:r w:rsidRPr="0069432B">
        <w:rPr>
          <w:rFonts w:ascii="Times New Roman" w:hAnsi="Times New Roman"/>
          <w:noProof/>
          <w:sz w:val="24"/>
        </w:rPr>
        <w:t>Secure Information Exchange Network Application</w:t>
      </w:r>
      <w:r w:rsidRPr="0069432B">
        <w:rPr>
          <w:rFonts w:ascii="Times New Roman" w:hAnsi="Times New Roman"/>
          <w:noProof/>
          <w:sz w:val="32"/>
          <w:szCs w:val="24"/>
        </w:rPr>
        <w:t xml:space="preserve"> </w:t>
      </w:r>
      <w:r w:rsidRPr="0069432B">
        <w:rPr>
          <w:rFonts w:ascii="Times New Roman" w:hAnsi="Times New Roman"/>
          <w:noProof/>
          <w:sz w:val="24"/>
          <w:szCs w:val="24"/>
        </w:rPr>
        <w:t xml:space="preserve">(SIENA) </w:t>
      </w:r>
      <w:r>
        <w:rPr>
          <w:rFonts w:ascii="Times New Roman" w:hAnsi="Times New Roman"/>
          <w:noProof/>
          <w:sz w:val="24"/>
        </w:rPr>
        <w:t>to being underused in spite of its tailored features</w:t>
      </w:r>
      <w:r w:rsidR="004E3868">
        <w:rPr>
          <w:rFonts w:ascii="Times New Roman" w:hAnsi="Times New Roman"/>
          <w:noProof/>
          <w:sz w:val="24"/>
        </w:rPr>
        <w:t xml:space="preserve"> and strong </w:t>
      </w:r>
      <w:r w:rsidR="00A21EA2">
        <w:rPr>
          <w:rFonts w:ascii="Times New Roman" w:hAnsi="Times New Roman"/>
          <w:noProof/>
          <w:sz w:val="24"/>
        </w:rPr>
        <w:t>data</w:t>
      </w:r>
      <w:r w:rsidR="004E3868">
        <w:rPr>
          <w:rFonts w:ascii="Times New Roman" w:hAnsi="Times New Roman"/>
          <w:noProof/>
          <w:sz w:val="24"/>
        </w:rPr>
        <w:t xml:space="preserve"> security infrastr</w:t>
      </w:r>
      <w:r w:rsidR="00A21EA2">
        <w:rPr>
          <w:rFonts w:ascii="Times New Roman" w:hAnsi="Times New Roman"/>
          <w:noProof/>
          <w:sz w:val="24"/>
        </w:rPr>
        <w:t>u</w:t>
      </w:r>
      <w:r w:rsidR="004E3868">
        <w:rPr>
          <w:rFonts w:ascii="Times New Roman" w:hAnsi="Times New Roman"/>
          <w:noProof/>
          <w:sz w:val="24"/>
        </w:rPr>
        <w:t>cture</w:t>
      </w:r>
      <w:r>
        <w:rPr>
          <w:rFonts w:ascii="Times New Roman" w:hAnsi="Times New Roman"/>
          <w:noProof/>
          <w:sz w:val="24"/>
        </w:rPr>
        <w:t>.</w:t>
      </w:r>
      <w:r w:rsidR="00C624EA">
        <w:rPr>
          <w:rFonts w:ascii="Times New Roman" w:hAnsi="Times New Roman"/>
          <w:noProof/>
          <w:sz w:val="24"/>
        </w:rPr>
        <w:t xml:space="preserve"> </w:t>
      </w:r>
      <w:r w:rsidR="00D77C04">
        <w:rPr>
          <w:rFonts w:ascii="Times New Roman" w:hAnsi="Times New Roman"/>
          <w:noProof/>
          <w:sz w:val="24"/>
        </w:rPr>
        <w:t>Even when Member States use Europol SIENA they can choose</w:t>
      </w:r>
      <w:r w:rsidR="00D77C04" w:rsidRPr="00704502">
        <w:rPr>
          <w:rFonts w:ascii="Times New Roman" w:hAnsi="Times New Roman"/>
          <w:b/>
          <w:noProof/>
          <w:sz w:val="24"/>
        </w:rPr>
        <w:t xml:space="preserve"> </w:t>
      </w:r>
      <w:r w:rsidR="00D77C04" w:rsidRPr="00380EEA">
        <w:rPr>
          <w:rFonts w:ascii="Times New Roman" w:hAnsi="Times New Roman"/>
          <w:noProof/>
          <w:sz w:val="24"/>
        </w:rPr>
        <w:t>not</w:t>
      </w:r>
      <w:r w:rsidR="00D77C04" w:rsidRPr="00704502">
        <w:rPr>
          <w:rFonts w:ascii="Times New Roman" w:hAnsi="Times New Roman"/>
          <w:noProof/>
          <w:sz w:val="24"/>
        </w:rPr>
        <w:t xml:space="preserve"> </w:t>
      </w:r>
      <w:r w:rsidR="00D77C04">
        <w:rPr>
          <w:rFonts w:ascii="Times New Roman" w:hAnsi="Times New Roman"/>
          <w:noProof/>
          <w:sz w:val="24"/>
        </w:rPr>
        <w:t xml:space="preserve">to </w:t>
      </w:r>
      <w:r w:rsidR="00D77C04" w:rsidRPr="00704502">
        <w:rPr>
          <w:rFonts w:ascii="Times New Roman" w:hAnsi="Times New Roman"/>
          <w:noProof/>
          <w:sz w:val="24"/>
        </w:rPr>
        <w:t>involve Europol in their bilateral exchanges</w:t>
      </w:r>
      <w:r w:rsidR="00D77C04">
        <w:rPr>
          <w:rFonts w:ascii="Times New Roman" w:hAnsi="Times New Roman"/>
          <w:noProof/>
          <w:sz w:val="32"/>
        </w:rPr>
        <w:t xml:space="preserve"> </w:t>
      </w:r>
      <w:r w:rsidR="00D77C04" w:rsidRPr="00704502">
        <w:rPr>
          <w:rFonts w:ascii="Times New Roman" w:hAnsi="Times New Roman"/>
          <w:noProof/>
          <w:sz w:val="24"/>
        </w:rPr>
        <w:t xml:space="preserve">even though </w:t>
      </w:r>
      <w:r w:rsidR="00D77C04">
        <w:rPr>
          <w:rFonts w:ascii="Times New Roman" w:hAnsi="Times New Roman"/>
          <w:noProof/>
          <w:sz w:val="24"/>
        </w:rPr>
        <w:t xml:space="preserve">the </w:t>
      </w:r>
      <w:r w:rsidR="00A75974">
        <w:rPr>
          <w:rFonts w:ascii="Times New Roman" w:hAnsi="Times New Roman"/>
          <w:noProof/>
          <w:sz w:val="24"/>
        </w:rPr>
        <w:t xml:space="preserve">information exchanged </w:t>
      </w:r>
      <w:r w:rsidR="00D77C04">
        <w:rPr>
          <w:rFonts w:ascii="Times New Roman" w:hAnsi="Times New Roman"/>
          <w:noProof/>
          <w:sz w:val="24"/>
        </w:rPr>
        <w:t>falls under the Europol mandate</w:t>
      </w:r>
      <w:r w:rsidR="00D77C04" w:rsidRPr="00171FEA">
        <w:rPr>
          <w:rFonts w:ascii="Times New Roman" w:hAnsi="Times New Roman"/>
          <w:noProof/>
          <w:sz w:val="24"/>
          <w:szCs w:val="24"/>
        </w:rPr>
        <w:t xml:space="preserve">. </w:t>
      </w:r>
      <w:r w:rsidR="00A75974" w:rsidRPr="00704502">
        <w:rPr>
          <w:rFonts w:ascii="Times New Roman" w:hAnsi="Times New Roman"/>
          <w:noProof/>
          <w:sz w:val="24"/>
          <w:szCs w:val="24"/>
        </w:rPr>
        <w:t>T</w:t>
      </w:r>
      <w:r w:rsidR="00D77C04" w:rsidRPr="00704502">
        <w:rPr>
          <w:rFonts w:ascii="Times New Roman" w:hAnsi="Times New Roman"/>
          <w:noProof/>
          <w:sz w:val="24"/>
          <w:szCs w:val="24"/>
        </w:rPr>
        <w:t xml:space="preserve">his significantly </w:t>
      </w:r>
      <w:r w:rsidR="00A75974" w:rsidRPr="00704502">
        <w:rPr>
          <w:rFonts w:ascii="Times New Roman" w:hAnsi="Times New Roman"/>
          <w:noProof/>
          <w:sz w:val="24"/>
          <w:szCs w:val="24"/>
        </w:rPr>
        <w:t xml:space="preserve">hinders Europol' ability to fulfil its support function, thereby creating </w:t>
      </w:r>
      <w:r w:rsidR="00D77C04" w:rsidRPr="00704502">
        <w:rPr>
          <w:rFonts w:ascii="Times New Roman" w:hAnsi="Times New Roman"/>
          <w:noProof/>
          <w:sz w:val="24"/>
          <w:szCs w:val="24"/>
        </w:rPr>
        <w:t>an important information gap</w:t>
      </w:r>
      <w:r w:rsidR="00A75974" w:rsidRPr="00704502">
        <w:rPr>
          <w:rFonts w:ascii="Times New Roman" w:hAnsi="Times New Roman"/>
          <w:noProof/>
          <w:sz w:val="24"/>
          <w:szCs w:val="24"/>
        </w:rPr>
        <w:t>.</w:t>
      </w:r>
      <w:r w:rsidR="008D16B5" w:rsidRPr="008D16B5">
        <w:rPr>
          <w:rFonts w:ascii="Times New Roman" w:hAnsi="Times New Roman" w:cs="Times New Roman"/>
          <w:noProof/>
          <w:sz w:val="24"/>
        </w:rPr>
        <w:t xml:space="preserve"> </w:t>
      </w:r>
    </w:p>
    <w:p w14:paraId="279C996E" w14:textId="2C092A0C" w:rsidR="008D16B5" w:rsidRDefault="008D16B5" w:rsidP="008D16B5">
      <w:pPr>
        <w:spacing w:after="120" w:line="240" w:lineRule="auto"/>
        <w:jc w:val="both"/>
        <w:rPr>
          <w:rFonts w:ascii="Times New Roman" w:hAnsi="Times New Roman" w:cs="Times New Roman"/>
          <w:noProof/>
          <w:sz w:val="24"/>
          <w:szCs w:val="24"/>
          <w:lang w:eastAsia="en-GB"/>
        </w:rPr>
      </w:pPr>
      <w:r>
        <w:rPr>
          <w:rFonts w:ascii="Times New Roman" w:hAnsi="Times New Roman" w:cs="Times New Roman"/>
          <w:noProof/>
          <w:sz w:val="24"/>
        </w:rPr>
        <w:t xml:space="preserve">There are also </w:t>
      </w:r>
      <w:r w:rsidRPr="00380EEA">
        <w:rPr>
          <w:rFonts w:ascii="Times New Roman" w:hAnsi="Times New Roman" w:cs="Times New Roman"/>
          <w:b/>
          <w:noProof/>
          <w:sz w:val="24"/>
        </w:rPr>
        <w:t>differences at national level as regards the access to EU instruments</w:t>
      </w:r>
      <w:r>
        <w:rPr>
          <w:rFonts w:ascii="Times New Roman" w:hAnsi="Times New Roman" w:cs="Times New Roman"/>
          <w:noProof/>
          <w:sz w:val="24"/>
        </w:rPr>
        <w:t xml:space="preserve">. </w:t>
      </w:r>
      <w:r>
        <w:rPr>
          <w:rFonts w:ascii="Times New Roman" w:hAnsi="Times New Roman" w:cs="Times New Roman"/>
          <w:noProof/>
          <w:sz w:val="24"/>
          <w:szCs w:val="24"/>
        </w:rPr>
        <w:t>I</w:t>
      </w:r>
      <w:r w:rsidRPr="00726216">
        <w:rPr>
          <w:rFonts w:ascii="Times New Roman" w:hAnsi="Times New Roman" w:cs="Times New Roman"/>
          <w:noProof/>
          <w:sz w:val="24"/>
          <w:szCs w:val="24"/>
        </w:rPr>
        <w:t xml:space="preserve">n some </w:t>
      </w:r>
      <w:r>
        <w:rPr>
          <w:rFonts w:ascii="Times New Roman" w:hAnsi="Times New Roman" w:cs="Times New Roman"/>
          <w:noProof/>
          <w:sz w:val="24"/>
          <w:szCs w:val="24"/>
        </w:rPr>
        <w:t xml:space="preserve">Member States </w:t>
      </w:r>
      <w:r w:rsidRPr="00726216">
        <w:rPr>
          <w:rFonts w:ascii="Times New Roman" w:hAnsi="Times New Roman" w:cs="Times New Roman"/>
          <w:noProof/>
          <w:sz w:val="24"/>
          <w:szCs w:val="24"/>
        </w:rPr>
        <w:t>all L</w:t>
      </w:r>
      <w:r>
        <w:rPr>
          <w:rFonts w:ascii="Times New Roman" w:hAnsi="Times New Roman" w:cs="Times New Roman"/>
          <w:noProof/>
          <w:sz w:val="24"/>
          <w:szCs w:val="24"/>
        </w:rPr>
        <w:t xml:space="preserve">aw </w:t>
      </w:r>
      <w:r w:rsidRPr="00726216">
        <w:rPr>
          <w:rFonts w:ascii="Times New Roman" w:hAnsi="Times New Roman" w:cs="Times New Roman"/>
          <w:noProof/>
          <w:sz w:val="24"/>
          <w:szCs w:val="24"/>
        </w:rPr>
        <w:t>E</w:t>
      </w:r>
      <w:r>
        <w:rPr>
          <w:rFonts w:ascii="Times New Roman" w:hAnsi="Times New Roman" w:cs="Times New Roman"/>
          <w:noProof/>
          <w:sz w:val="24"/>
          <w:szCs w:val="24"/>
        </w:rPr>
        <w:t xml:space="preserve">nforcement </w:t>
      </w:r>
      <w:r w:rsidRPr="00726216">
        <w:rPr>
          <w:rFonts w:ascii="Times New Roman" w:hAnsi="Times New Roman" w:cs="Times New Roman"/>
          <w:noProof/>
          <w:sz w:val="24"/>
          <w:szCs w:val="24"/>
        </w:rPr>
        <w:t>A</w:t>
      </w:r>
      <w:r>
        <w:rPr>
          <w:rFonts w:ascii="Times New Roman" w:hAnsi="Times New Roman" w:cs="Times New Roman"/>
          <w:noProof/>
          <w:sz w:val="24"/>
          <w:szCs w:val="24"/>
        </w:rPr>
        <w:t>uthorities</w:t>
      </w:r>
      <w:r w:rsidRPr="00726216">
        <w:rPr>
          <w:rFonts w:ascii="Times New Roman" w:hAnsi="Times New Roman" w:cs="Times New Roman"/>
          <w:noProof/>
          <w:sz w:val="24"/>
          <w:szCs w:val="24"/>
        </w:rPr>
        <w:t xml:space="preserve"> </w:t>
      </w:r>
      <w:r>
        <w:rPr>
          <w:rFonts w:ascii="Times New Roman" w:hAnsi="Times New Roman" w:cs="Times New Roman"/>
          <w:noProof/>
          <w:sz w:val="24"/>
          <w:szCs w:val="24"/>
        </w:rPr>
        <w:t xml:space="preserve">(LEAs) </w:t>
      </w:r>
      <w:r w:rsidRPr="00726216">
        <w:rPr>
          <w:rFonts w:ascii="Times New Roman" w:hAnsi="Times New Roman" w:cs="Times New Roman"/>
          <w:noProof/>
          <w:sz w:val="24"/>
          <w:szCs w:val="24"/>
        </w:rPr>
        <w:t xml:space="preserve">have access to SIENA, in other </w:t>
      </w:r>
      <w:r>
        <w:rPr>
          <w:rFonts w:ascii="Times New Roman" w:hAnsi="Times New Roman" w:cs="Times New Roman"/>
          <w:noProof/>
          <w:sz w:val="24"/>
          <w:szCs w:val="24"/>
        </w:rPr>
        <w:t xml:space="preserve">ones, </w:t>
      </w:r>
      <w:r w:rsidRPr="00726216">
        <w:rPr>
          <w:rFonts w:ascii="Times New Roman" w:hAnsi="Times New Roman" w:cs="Times New Roman"/>
          <w:noProof/>
          <w:sz w:val="24"/>
          <w:szCs w:val="24"/>
        </w:rPr>
        <w:t xml:space="preserve"> access to SIENA is </w:t>
      </w:r>
      <w:r>
        <w:rPr>
          <w:rFonts w:ascii="Times New Roman" w:hAnsi="Times New Roman" w:cs="Times New Roman"/>
          <w:noProof/>
          <w:sz w:val="24"/>
          <w:szCs w:val="24"/>
        </w:rPr>
        <w:t xml:space="preserve">only </w:t>
      </w:r>
      <w:r w:rsidRPr="00726216">
        <w:rPr>
          <w:rFonts w:ascii="Times New Roman" w:hAnsi="Times New Roman" w:cs="Times New Roman"/>
          <w:noProof/>
          <w:sz w:val="24"/>
          <w:szCs w:val="24"/>
        </w:rPr>
        <w:t>granted to a single national authority that coordinates the information exchange</w:t>
      </w:r>
      <w:r>
        <w:rPr>
          <w:rFonts w:ascii="Times New Roman" w:hAnsi="Times New Roman" w:cs="Times New Roman"/>
          <w:noProof/>
          <w:sz w:val="24"/>
          <w:szCs w:val="24"/>
        </w:rPr>
        <w:t xml:space="preserve"> thereby hampering its full use</w:t>
      </w:r>
      <w:r>
        <w:rPr>
          <w:rStyle w:val="FootnoteReference"/>
          <w:rFonts w:ascii="Times New Roman" w:hAnsi="Times New Roman" w:cs="Times New Roman"/>
          <w:noProof/>
          <w:sz w:val="24"/>
        </w:rPr>
        <w:footnoteReference w:id="72"/>
      </w:r>
      <w:r w:rsidRPr="00785F0A">
        <w:rPr>
          <w:rFonts w:ascii="Times New Roman" w:hAnsi="Times New Roman" w:cs="Times New Roman"/>
          <w:noProof/>
          <w:sz w:val="24"/>
          <w:szCs w:val="24"/>
          <w:lang w:eastAsia="en-GB"/>
        </w:rPr>
        <w:t>.</w:t>
      </w:r>
      <w:r w:rsidRPr="00CB030C">
        <w:rPr>
          <w:rFonts w:ascii="Times New Roman" w:hAnsi="Times New Roman" w:cs="Times New Roman"/>
          <w:noProof/>
          <w:sz w:val="24"/>
          <w:szCs w:val="24"/>
        </w:rPr>
        <w:t xml:space="preserve"> </w:t>
      </w:r>
      <w:r>
        <w:rPr>
          <w:rFonts w:ascii="Times New Roman" w:hAnsi="Times New Roman" w:cs="Times New Roman"/>
          <w:noProof/>
          <w:sz w:val="24"/>
          <w:szCs w:val="24"/>
        </w:rPr>
        <w:t xml:space="preserve">Consequently, </w:t>
      </w:r>
      <w:r w:rsidRPr="00726216">
        <w:rPr>
          <w:rFonts w:ascii="Times New Roman" w:hAnsi="Times New Roman" w:cs="Times New Roman"/>
          <w:noProof/>
          <w:sz w:val="24"/>
          <w:szCs w:val="24"/>
        </w:rPr>
        <w:t>most of the times</w:t>
      </w:r>
      <w:r>
        <w:rPr>
          <w:rFonts w:ascii="Times New Roman" w:hAnsi="Times New Roman" w:cs="Times New Roman"/>
          <w:noProof/>
          <w:sz w:val="24"/>
          <w:szCs w:val="24"/>
        </w:rPr>
        <w:t>,</w:t>
      </w:r>
      <w:r w:rsidRPr="00726216">
        <w:rPr>
          <w:rFonts w:ascii="Times New Roman" w:hAnsi="Times New Roman" w:cs="Times New Roman"/>
          <w:noProof/>
          <w:sz w:val="24"/>
          <w:szCs w:val="24"/>
        </w:rPr>
        <w:t xml:space="preserve"> regional and local </w:t>
      </w:r>
      <w:r>
        <w:rPr>
          <w:rFonts w:ascii="Times New Roman" w:hAnsi="Times New Roman" w:cs="Times New Roman"/>
          <w:noProof/>
          <w:sz w:val="24"/>
          <w:szCs w:val="24"/>
        </w:rPr>
        <w:t xml:space="preserve">investigation services </w:t>
      </w:r>
      <w:r w:rsidRPr="00726216">
        <w:rPr>
          <w:rFonts w:ascii="Times New Roman" w:hAnsi="Times New Roman" w:cs="Times New Roman"/>
          <w:noProof/>
          <w:sz w:val="24"/>
          <w:szCs w:val="24"/>
        </w:rPr>
        <w:t>do not have access to SIENA</w:t>
      </w:r>
      <w:r>
        <w:rPr>
          <w:rFonts w:ascii="Times New Roman" w:hAnsi="Times New Roman" w:cs="Times New Roman"/>
          <w:noProof/>
          <w:sz w:val="24"/>
          <w:szCs w:val="24"/>
        </w:rPr>
        <w:t>.</w:t>
      </w:r>
      <w:r w:rsidRPr="00726216">
        <w:rPr>
          <w:rFonts w:ascii="Times New Roman" w:hAnsi="Times New Roman" w:cs="Times New Roman"/>
          <w:noProof/>
          <w:sz w:val="24"/>
          <w:szCs w:val="24"/>
        </w:rPr>
        <w:t xml:space="preserve"> This is particularly important considering that SIENA seems to be one of the preferable tools to share sensitive and confidential information since it allows to securely exchange data</w:t>
      </w:r>
      <w:r>
        <w:rPr>
          <w:rFonts w:ascii="Times New Roman" w:hAnsi="Times New Roman" w:cs="Times New Roman"/>
          <w:noProof/>
          <w:sz w:val="24"/>
          <w:szCs w:val="24"/>
        </w:rPr>
        <w:t>.</w:t>
      </w:r>
    </w:p>
    <w:p w14:paraId="3DB6C869" w14:textId="77777777" w:rsidR="008D16B5" w:rsidRPr="00726216" w:rsidRDefault="008D16B5" w:rsidP="008D16B5">
      <w:pPr>
        <w:pStyle w:val="Body"/>
        <w:spacing w:after="120"/>
        <w:jc w:val="both"/>
        <w:rPr>
          <w:rFonts w:ascii="Times New Roman" w:hAnsi="Times New Roman"/>
          <w:noProof/>
          <w:sz w:val="24"/>
          <w:szCs w:val="24"/>
        </w:rPr>
      </w:pPr>
      <w:r w:rsidRPr="00726216">
        <w:rPr>
          <w:rFonts w:ascii="Times New Roman" w:hAnsi="Times New Roman"/>
          <w:noProof/>
          <w:sz w:val="24"/>
          <w:szCs w:val="24"/>
        </w:rPr>
        <w:t>This issue was also raised in the recent evaluation o</w:t>
      </w:r>
      <w:r>
        <w:rPr>
          <w:rFonts w:ascii="Times New Roman" w:hAnsi="Times New Roman"/>
          <w:noProof/>
          <w:sz w:val="24"/>
          <w:szCs w:val="24"/>
        </w:rPr>
        <w:t>f the EU Policy Cycle 2018-2021</w:t>
      </w:r>
      <w:r w:rsidRPr="00726216">
        <w:rPr>
          <w:rStyle w:val="FootnoteReference"/>
          <w:rFonts w:ascii="Times New Roman" w:hAnsi="Times New Roman"/>
          <w:noProof/>
          <w:sz w:val="24"/>
          <w:szCs w:val="24"/>
        </w:rPr>
        <w:footnoteReference w:id="73"/>
      </w:r>
      <w:r>
        <w:rPr>
          <w:rFonts w:ascii="Times New Roman" w:hAnsi="Times New Roman"/>
          <w:noProof/>
          <w:sz w:val="24"/>
          <w:szCs w:val="24"/>
        </w:rPr>
        <w:t>.</w:t>
      </w:r>
      <w:r w:rsidRPr="00726216">
        <w:rPr>
          <w:rFonts w:ascii="Times New Roman" w:hAnsi="Times New Roman"/>
          <w:noProof/>
          <w:sz w:val="24"/>
          <w:szCs w:val="24"/>
        </w:rPr>
        <w:t xml:space="preserve"> Notably, the effectiveness of SIENA was hindered by the fact that national </w:t>
      </w:r>
      <w:r>
        <w:rPr>
          <w:rFonts w:ascii="Times New Roman" w:hAnsi="Times New Roman"/>
          <w:noProof/>
          <w:sz w:val="24"/>
          <w:szCs w:val="24"/>
        </w:rPr>
        <w:t xml:space="preserve">stakeholders regularly </w:t>
      </w:r>
      <w:r w:rsidRPr="00726216">
        <w:rPr>
          <w:rFonts w:ascii="Times New Roman" w:hAnsi="Times New Roman"/>
          <w:noProof/>
          <w:sz w:val="24"/>
          <w:szCs w:val="24"/>
        </w:rPr>
        <w:t>have to firstly share information with the central authority wh</w:t>
      </w:r>
      <w:r>
        <w:rPr>
          <w:rFonts w:ascii="Times New Roman" w:hAnsi="Times New Roman"/>
          <w:noProof/>
          <w:sz w:val="24"/>
          <w:szCs w:val="24"/>
        </w:rPr>
        <w:t xml:space="preserve">ich </w:t>
      </w:r>
      <w:r w:rsidRPr="00726216">
        <w:rPr>
          <w:rFonts w:ascii="Times New Roman" w:hAnsi="Times New Roman"/>
          <w:noProof/>
          <w:sz w:val="24"/>
          <w:szCs w:val="24"/>
        </w:rPr>
        <w:t>in turn shares it with other countries. This double-tier process delays the overall process, with possible negative impact on international investigations where timely information sharing is crucial</w:t>
      </w:r>
      <w:r>
        <w:rPr>
          <w:rFonts w:ascii="Times New Roman" w:hAnsi="Times New Roman"/>
          <w:noProof/>
          <w:sz w:val="24"/>
          <w:szCs w:val="24"/>
        </w:rPr>
        <w:t xml:space="preserve"> for success</w:t>
      </w:r>
      <w:r w:rsidRPr="00726216">
        <w:rPr>
          <w:rStyle w:val="FootnoteReference"/>
          <w:rFonts w:ascii="Times New Roman" w:hAnsi="Times New Roman"/>
          <w:noProof/>
          <w:sz w:val="24"/>
          <w:szCs w:val="24"/>
        </w:rPr>
        <w:footnoteReference w:id="74"/>
      </w:r>
      <w:r>
        <w:rPr>
          <w:rFonts w:ascii="Times New Roman" w:hAnsi="Times New Roman"/>
          <w:noProof/>
          <w:sz w:val="24"/>
          <w:szCs w:val="24"/>
        </w:rPr>
        <w:t>.</w:t>
      </w:r>
      <w:r w:rsidRPr="00726216">
        <w:rPr>
          <w:rFonts w:ascii="Times New Roman" w:hAnsi="Times New Roman"/>
          <w:noProof/>
          <w:sz w:val="24"/>
          <w:szCs w:val="24"/>
        </w:rPr>
        <w:t xml:space="preserve"> </w:t>
      </w:r>
    </w:p>
    <w:p w14:paraId="68640253" w14:textId="56E1DD8C" w:rsidR="00C81209" w:rsidRDefault="008D16B5" w:rsidP="00C81209">
      <w:pPr>
        <w:pStyle w:val="Body"/>
        <w:spacing w:after="120"/>
        <w:jc w:val="both"/>
        <w:rPr>
          <w:rFonts w:ascii="Times New Roman" w:hAnsi="Times New Roman"/>
          <w:noProof/>
          <w:sz w:val="24"/>
          <w:szCs w:val="24"/>
        </w:rPr>
      </w:pPr>
      <w:r>
        <w:rPr>
          <w:rFonts w:ascii="Times New Roman" w:hAnsi="Times New Roman"/>
          <w:bCs/>
          <w:noProof/>
          <w:color w:val="000000"/>
          <w:sz w:val="24"/>
          <w:szCs w:val="24"/>
        </w:rPr>
        <w:t>Ideally, t</w:t>
      </w:r>
      <w:r w:rsidRPr="004C00AE">
        <w:rPr>
          <w:rFonts w:ascii="Times New Roman" w:hAnsi="Times New Roman"/>
          <w:bCs/>
          <w:noProof/>
          <w:color w:val="000000"/>
          <w:sz w:val="24"/>
          <w:szCs w:val="24"/>
        </w:rPr>
        <w:t>he SPOC should ensure that a</w:t>
      </w:r>
      <w:r w:rsidRPr="004C00AE">
        <w:rPr>
          <w:rFonts w:ascii="Times New Roman" w:hAnsi="Times New Roman"/>
          <w:noProof/>
          <w:color w:val="000000"/>
          <w:sz w:val="24"/>
          <w:szCs w:val="24"/>
        </w:rPr>
        <w:t xml:space="preserve"> request is sent through one channel only. The SPOC Front desk is crucial in choosing the most appropriate and relevant channel by gathering all requests ("in" or "out") dealt with by the SPOC, before dispatching them to the relevant desk (SIRENE Bureau, INTERPOL National Central Bureau, Europol National Unit, and bilateral liaison officers)</w:t>
      </w:r>
      <w:r w:rsidRPr="004C00AE">
        <w:rPr>
          <w:rStyle w:val="FootnoteReference"/>
          <w:rFonts w:ascii="Times New Roman" w:hAnsi="Times New Roman"/>
          <w:noProof/>
          <w:color w:val="000000"/>
          <w:sz w:val="24"/>
          <w:szCs w:val="24"/>
        </w:rPr>
        <w:footnoteReference w:id="75"/>
      </w:r>
      <w:r w:rsidRPr="004C00AE">
        <w:rPr>
          <w:rFonts w:ascii="Times New Roman" w:hAnsi="Times New Roman"/>
          <w:noProof/>
          <w:color w:val="000000"/>
          <w:sz w:val="24"/>
          <w:szCs w:val="24"/>
        </w:rPr>
        <w:t xml:space="preserve">. </w:t>
      </w:r>
      <w:r>
        <w:rPr>
          <w:rFonts w:ascii="Times New Roman" w:hAnsi="Times New Roman"/>
          <w:noProof/>
          <w:color w:val="000000"/>
          <w:sz w:val="24"/>
          <w:szCs w:val="24"/>
        </w:rPr>
        <w:t xml:space="preserve">So far, a number of </w:t>
      </w:r>
      <w:r w:rsidRPr="00C81209">
        <w:rPr>
          <w:rFonts w:ascii="Times New Roman" w:hAnsi="Times New Roman"/>
          <w:b/>
          <w:noProof/>
          <w:color w:val="000000"/>
          <w:sz w:val="24"/>
          <w:szCs w:val="24"/>
        </w:rPr>
        <w:t>national SPOC use internal guidelines</w:t>
      </w:r>
      <w:r>
        <w:rPr>
          <w:rFonts w:ascii="Times New Roman" w:hAnsi="Times New Roman"/>
          <w:noProof/>
          <w:color w:val="000000"/>
          <w:sz w:val="24"/>
          <w:szCs w:val="24"/>
        </w:rPr>
        <w:t xml:space="preserve"> recommending or requiring the specific use of a communication channel for specific purpose, thereby ensuring consistency and avoiding duplication of requests. </w:t>
      </w:r>
      <w:r w:rsidRPr="00C81209">
        <w:rPr>
          <w:rFonts w:ascii="Times New Roman" w:hAnsi="Times New Roman"/>
          <w:b/>
          <w:noProof/>
          <w:color w:val="000000"/>
          <w:sz w:val="24"/>
          <w:szCs w:val="24"/>
        </w:rPr>
        <w:t xml:space="preserve">Other SPOCs rely on officers' habits and </w:t>
      </w:r>
      <w:r w:rsidR="00C81209">
        <w:rPr>
          <w:rFonts w:ascii="Times New Roman" w:hAnsi="Times New Roman"/>
          <w:b/>
          <w:noProof/>
          <w:color w:val="000000"/>
          <w:sz w:val="24"/>
          <w:szCs w:val="24"/>
        </w:rPr>
        <w:t xml:space="preserve">personal </w:t>
      </w:r>
      <w:r w:rsidRPr="00C81209">
        <w:rPr>
          <w:rFonts w:ascii="Times New Roman" w:hAnsi="Times New Roman"/>
          <w:b/>
          <w:noProof/>
          <w:color w:val="000000"/>
          <w:sz w:val="24"/>
          <w:szCs w:val="24"/>
        </w:rPr>
        <w:t>preferences</w:t>
      </w:r>
      <w:r>
        <w:rPr>
          <w:rFonts w:ascii="Times New Roman" w:hAnsi="Times New Roman"/>
          <w:noProof/>
          <w:color w:val="000000"/>
          <w:sz w:val="24"/>
          <w:szCs w:val="24"/>
        </w:rPr>
        <w:t>. Such leeway result in inefficiencies in a cross-border context. Council guidelines did not led to a convergence of national practices either</w:t>
      </w:r>
      <w:r>
        <w:rPr>
          <w:rStyle w:val="FootnoteReference"/>
          <w:rFonts w:ascii="Times New Roman" w:hAnsi="Times New Roman"/>
          <w:noProof/>
          <w:color w:val="000000"/>
          <w:sz w:val="24"/>
          <w:szCs w:val="24"/>
        </w:rPr>
        <w:footnoteReference w:id="76"/>
      </w:r>
      <w:r>
        <w:rPr>
          <w:rFonts w:ascii="Times New Roman" w:hAnsi="Times New Roman"/>
          <w:noProof/>
          <w:color w:val="000000"/>
          <w:sz w:val="24"/>
          <w:szCs w:val="24"/>
        </w:rPr>
        <w:t>.</w:t>
      </w:r>
      <w:r w:rsidR="00C81209" w:rsidRPr="00C81209">
        <w:rPr>
          <w:rFonts w:ascii="Times New Roman" w:hAnsi="Times New Roman"/>
          <w:noProof/>
          <w:sz w:val="24"/>
          <w:szCs w:val="24"/>
        </w:rPr>
        <w:t xml:space="preserve"> </w:t>
      </w:r>
    </w:p>
    <w:p w14:paraId="71B04B2D" w14:textId="543AAD9E" w:rsidR="00D77C04" w:rsidRPr="00C81209" w:rsidRDefault="00C81209" w:rsidP="008D16B5">
      <w:pPr>
        <w:pStyle w:val="Body"/>
        <w:spacing w:after="120"/>
        <w:jc w:val="both"/>
        <w:rPr>
          <w:rFonts w:ascii="Times New Roman" w:hAnsi="Times New Roman"/>
          <w:bCs/>
          <w:noProof/>
          <w:sz w:val="24"/>
          <w:szCs w:val="24"/>
        </w:rPr>
      </w:pPr>
      <w:r w:rsidRPr="008C6C59">
        <w:rPr>
          <w:rFonts w:ascii="Times New Roman" w:hAnsi="Times New Roman"/>
          <w:noProof/>
          <w:sz w:val="24"/>
          <w:szCs w:val="24"/>
        </w:rPr>
        <w:t xml:space="preserve">The current proliferation of information exchange channels has also meant that different Member States have invested in different information exchange channels, thus not always matching the investments made in other Member States and hence hindering and effective use of the investments made domestically. Some Member States lack the necessary funding. Correspondingly, the </w:t>
      </w:r>
      <w:r>
        <w:rPr>
          <w:rFonts w:ascii="Times New Roman" w:hAnsi="Times New Roman"/>
          <w:noProof/>
          <w:sz w:val="24"/>
          <w:szCs w:val="24"/>
        </w:rPr>
        <w:t xml:space="preserve">present </w:t>
      </w:r>
      <w:r w:rsidRPr="008C6C59">
        <w:rPr>
          <w:rFonts w:ascii="Times New Roman" w:hAnsi="Times New Roman"/>
          <w:noProof/>
          <w:sz w:val="24"/>
          <w:szCs w:val="24"/>
        </w:rPr>
        <w:t>proposal will be flanked with financial support via the national programmes under the EU Internal Security Fund.</w:t>
      </w:r>
    </w:p>
    <w:p w14:paraId="401AD2A9" w14:textId="77777777" w:rsidR="00C76702" w:rsidRPr="00A25CF8" w:rsidRDefault="00C76702" w:rsidP="00A25CF8">
      <w:pPr>
        <w:pStyle w:val="Body"/>
        <w:spacing w:after="0"/>
        <w:rPr>
          <w:rFonts w:ascii="Times New Roman" w:hAnsi="Times New Roman"/>
          <w:i/>
          <w:noProof/>
          <w:sz w:val="2"/>
          <w:szCs w:val="16"/>
        </w:rPr>
      </w:pPr>
    </w:p>
    <w:p w14:paraId="60106194" w14:textId="5FF6E572" w:rsidR="00C76702" w:rsidRPr="001521FB" w:rsidRDefault="00173E60" w:rsidP="00173E60">
      <w:pPr>
        <w:pStyle w:val="Heading3"/>
        <w:rPr>
          <w:noProof/>
        </w:rPr>
      </w:pPr>
      <w:bookmarkStart w:id="36" w:name="_Toc83801022"/>
      <w:r w:rsidRPr="00173E60">
        <w:t>2.3.2.</w:t>
      </w:r>
      <w:r w:rsidRPr="00173E60">
        <w:tab/>
      </w:r>
      <w:r w:rsidR="00C76702" w:rsidRPr="00994F58">
        <w:rPr>
          <w:noProof/>
        </w:rPr>
        <w:t>What are the drivers?</w:t>
      </w:r>
      <w:bookmarkEnd w:id="36"/>
    </w:p>
    <w:p w14:paraId="6F7C4FD7" w14:textId="22374112" w:rsidR="00FD2457" w:rsidRDefault="00FD2457" w:rsidP="009B15D1">
      <w:pPr>
        <w:spacing w:after="120" w:line="240" w:lineRule="auto"/>
        <w:jc w:val="both"/>
        <w:rPr>
          <w:rFonts w:ascii="Times New Roman" w:hAnsi="Times New Roman" w:cs="Times New Roman"/>
          <w:noProof/>
          <w:sz w:val="24"/>
          <w:szCs w:val="24"/>
          <w:lang w:eastAsia="en-GB"/>
        </w:rPr>
      </w:pPr>
      <w:r w:rsidRPr="00380EEA">
        <w:rPr>
          <w:rFonts w:ascii="Times New Roman" w:hAnsi="Times New Roman" w:cs="Times New Roman"/>
          <w:b/>
          <w:noProof/>
          <w:sz w:val="24"/>
          <w:szCs w:val="24"/>
          <w:lang w:eastAsia="en-GB"/>
        </w:rPr>
        <w:t>Member States have not agreed on a single channel of information exchange</w:t>
      </w:r>
      <w:r w:rsidRPr="00FD2457">
        <w:rPr>
          <w:rFonts w:ascii="Times New Roman" w:hAnsi="Times New Roman" w:cs="Times New Roman"/>
          <w:noProof/>
          <w:sz w:val="24"/>
          <w:szCs w:val="24"/>
          <w:lang w:eastAsia="en-GB"/>
        </w:rPr>
        <w:t xml:space="preserve"> between their law enforcement authorities for cases with an EU dimension</w:t>
      </w:r>
      <w:r>
        <w:rPr>
          <w:rFonts w:ascii="Times New Roman" w:hAnsi="Times New Roman" w:cs="Times New Roman"/>
          <w:noProof/>
          <w:sz w:val="24"/>
          <w:szCs w:val="24"/>
          <w:lang w:eastAsia="en-GB"/>
        </w:rPr>
        <w:t xml:space="preserve">. </w:t>
      </w:r>
      <w:r w:rsidRPr="00AC0345">
        <w:rPr>
          <w:rFonts w:ascii="Times New Roman" w:hAnsi="Times New Roman"/>
          <w:noProof/>
          <w:sz w:val="24"/>
          <w:szCs w:val="24"/>
        </w:rPr>
        <w:t xml:space="preserve">The </w:t>
      </w:r>
      <w:r w:rsidRPr="00380EEA">
        <w:rPr>
          <w:rFonts w:ascii="Times New Roman" w:hAnsi="Times New Roman"/>
          <w:b/>
          <w:noProof/>
          <w:sz w:val="24"/>
          <w:szCs w:val="24"/>
        </w:rPr>
        <w:t>choice of channel is only partly regulated by EU law</w:t>
      </w:r>
      <w:r w:rsidRPr="00AC0345">
        <w:rPr>
          <w:rFonts w:ascii="Times New Roman" w:hAnsi="Times New Roman"/>
          <w:noProof/>
          <w:sz w:val="24"/>
          <w:szCs w:val="24"/>
        </w:rPr>
        <w:t xml:space="preserve">: SIS requests for supplementary information must be </w:t>
      </w:r>
      <w:r>
        <w:rPr>
          <w:rFonts w:ascii="Times New Roman" w:hAnsi="Times New Roman"/>
          <w:noProof/>
          <w:sz w:val="24"/>
          <w:szCs w:val="24"/>
        </w:rPr>
        <w:t xml:space="preserve">made </w:t>
      </w:r>
      <w:r w:rsidRPr="00AC0345">
        <w:rPr>
          <w:rFonts w:ascii="Times New Roman" w:hAnsi="Times New Roman"/>
          <w:noProof/>
          <w:sz w:val="24"/>
          <w:szCs w:val="24"/>
        </w:rPr>
        <w:t>via SIRENE Bureaux,</w:t>
      </w:r>
      <w:r w:rsidR="00A21EA2">
        <w:rPr>
          <w:rStyle w:val="FootnoteReference"/>
          <w:rFonts w:ascii="Times New Roman" w:hAnsi="Times New Roman" w:cs="Times New Roman"/>
          <w:noProof/>
          <w:sz w:val="24"/>
        </w:rPr>
        <w:footnoteReference w:id="77"/>
      </w:r>
      <w:r w:rsidR="00A21EA2">
        <w:rPr>
          <w:rFonts w:ascii="Times New Roman" w:hAnsi="Times New Roman"/>
          <w:noProof/>
          <w:sz w:val="24"/>
          <w:szCs w:val="24"/>
        </w:rPr>
        <w:t xml:space="preserve"> </w:t>
      </w:r>
      <w:r w:rsidRPr="00AC0345">
        <w:rPr>
          <w:rFonts w:ascii="Times New Roman" w:hAnsi="Times New Roman"/>
          <w:noProof/>
          <w:sz w:val="24"/>
          <w:szCs w:val="24"/>
        </w:rPr>
        <w:t>and information exchange with Europol via ENUs.</w:t>
      </w:r>
      <w:r w:rsidR="00A21EA2" w:rsidRPr="00785F0A">
        <w:rPr>
          <w:rStyle w:val="FootnoteReference"/>
          <w:rFonts w:ascii="Times New Roman" w:hAnsi="Times New Roman" w:cs="Times New Roman"/>
          <w:noProof/>
          <w:sz w:val="24"/>
        </w:rPr>
        <w:footnoteReference w:id="78"/>
      </w:r>
      <w:r w:rsidRPr="00AC0345">
        <w:rPr>
          <w:rFonts w:ascii="Times New Roman" w:hAnsi="Times New Roman"/>
          <w:noProof/>
          <w:sz w:val="24"/>
          <w:szCs w:val="24"/>
        </w:rPr>
        <w:t xml:space="preserve"> Otherwise the choice is up to Member States</w:t>
      </w:r>
      <w:r w:rsidRPr="0058781F">
        <w:rPr>
          <w:rFonts w:ascii="Times New Roman" w:hAnsi="Times New Roman"/>
          <w:noProof/>
          <w:sz w:val="24"/>
          <w:vertAlign w:val="superscript"/>
        </w:rPr>
        <w:footnoteReference w:id="79"/>
      </w:r>
      <w:r w:rsidRPr="00AC0345">
        <w:rPr>
          <w:rFonts w:ascii="Times New Roman" w:hAnsi="Times New Roman"/>
          <w:noProof/>
          <w:sz w:val="24"/>
          <w:szCs w:val="24"/>
        </w:rPr>
        <w:t>.</w:t>
      </w:r>
    </w:p>
    <w:p w14:paraId="29F0167C" w14:textId="60417B8F" w:rsidR="00C76702" w:rsidRDefault="00C76702" w:rsidP="00380EEA">
      <w:pPr>
        <w:spacing w:after="120" w:line="240" w:lineRule="auto"/>
        <w:jc w:val="both"/>
        <w:rPr>
          <w:rFonts w:ascii="Times New Roman" w:hAnsi="Times New Roman"/>
          <w:noProof/>
          <w:sz w:val="24"/>
          <w:szCs w:val="24"/>
          <w:lang w:eastAsia="en-GB"/>
        </w:rPr>
      </w:pPr>
      <w:r>
        <w:rPr>
          <w:rFonts w:ascii="Times New Roman" w:hAnsi="Times New Roman"/>
          <w:noProof/>
          <w:sz w:val="24"/>
        </w:rPr>
        <w:t>T</w:t>
      </w:r>
      <w:r w:rsidRPr="00994F58">
        <w:rPr>
          <w:rFonts w:ascii="Times New Roman" w:hAnsi="Times New Roman"/>
          <w:noProof/>
          <w:sz w:val="24"/>
        </w:rPr>
        <w:t xml:space="preserve">here is </w:t>
      </w:r>
      <w:r w:rsidRPr="00380EEA">
        <w:rPr>
          <w:rFonts w:ascii="Times New Roman" w:hAnsi="Times New Roman"/>
          <w:b/>
          <w:noProof/>
          <w:sz w:val="24"/>
        </w:rPr>
        <w:t>not a clear rationale behind the choice of one tool instead of the other</w:t>
      </w:r>
      <w:r w:rsidRPr="00994F58">
        <w:rPr>
          <w:rFonts w:ascii="Times New Roman" w:hAnsi="Times New Roman"/>
          <w:noProof/>
          <w:sz w:val="24"/>
          <w:vertAlign w:val="superscript"/>
        </w:rPr>
        <w:footnoteReference w:id="80"/>
      </w:r>
      <w:r>
        <w:rPr>
          <w:rFonts w:ascii="Times New Roman" w:hAnsi="Times New Roman"/>
          <w:noProof/>
          <w:sz w:val="24"/>
        </w:rPr>
        <w:t>.</w:t>
      </w:r>
      <w:r w:rsidRPr="00994F58">
        <w:rPr>
          <w:rFonts w:ascii="Times New Roman" w:hAnsi="Times New Roman"/>
          <w:noProof/>
          <w:sz w:val="24"/>
        </w:rPr>
        <w:t xml:space="preserve"> </w:t>
      </w:r>
      <w:r w:rsidRPr="00EB3A48">
        <w:rPr>
          <w:rFonts w:ascii="Times New Roman" w:hAnsi="Times New Roman"/>
          <w:noProof/>
          <w:sz w:val="24"/>
          <w:szCs w:val="24"/>
          <w:lang w:eastAsia="en-GB"/>
        </w:rPr>
        <w:t>Some Member States have moved towards more systematic use of the Europol channel. Others continue to rely a good deal on the I</w:t>
      </w:r>
      <w:r>
        <w:rPr>
          <w:rFonts w:ascii="Times New Roman" w:hAnsi="Times New Roman"/>
          <w:noProof/>
          <w:sz w:val="24"/>
          <w:szCs w:val="24"/>
          <w:lang w:eastAsia="en-GB"/>
        </w:rPr>
        <w:t xml:space="preserve">NTERPOL </w:t>
      </w:r>
      <w:r w:rsidRPr="00EB3A48">
        <w:rPr>
          <w:rFonts w:ascii="Times New Roman" w:hAnsi="Times New Roman"/>
          <w:noProof/>
          <w:sz w:val="24"/>
          <w:szCs w:val="24"/>
          <w:lang w:eastAsia="en-GB"/>
        </w:rPr>
        <w:t>channel</w:t>
      </w:r>
      <w:r>
        <w:rPr>
          <w:rFonts w:ascii="Times New Roman" w:hAnsi="Times New Roman"/>
          <w:noProof/>
          <w:sz w:val="24"/>
          <w:szCs w:val="24"/>
          <w:lang w:eastAsia="en-GB"/>
        </w:rPr>
        <w:t xml:space="preserve"> for intra-EU cooperation</w:t>
      </w:r>
      <w:r w:rsidRPr="00EB3A48">
        <w:rPr>
          <w:rFonts w:ascii="Times New Roman" w:hAnsi="Times New Roman"/>
          <w:noProof/>
          <w:sz w:val="24"/>
          <w:szCs w:val="24"/>
          <w:lang w:eastAsia="en-GB"/>
        </w:rPr>
        <w:t>, the attraction of which seems to lie partly in its traditional central role in inte</w:t>
      </w:r>
      <w:r>
        <w:rPr>
          <w:rFonts w:ascii="Times New Roman" w:hAnsi="Times New Roman"/>
          <w:noProof/>
          <w:sz w:val="24"/>
          <w:szCs w:val="24"/>
          <w:lang w:eastAsia="en-GB"/>
        </w:rPr>
        <w:t>rnational police cooperation,</w:t>
      </w:r>
      <w:r w:rsidRPr="00EB3A48">
        <w:rPr>
          <w:rFonts w:ascii="Times New Roman" w:hAnsi="Times New Roman"/>
          <w:noProof/>
          <w:sz w:val="24"/>
          <w:szCs w:val="24"/>
          <w:lang w:eastAsia="en-GB"/>
        </w:rPr>
        <w:t xml:space="preserve"> partly in its perceived ease of use</w:t>
      </w:r>
      <w:r>
        <w:rPr>
          <w:rFonts w:ascii="Times New Roman" w:hAnsi="Times New Roman"/>
          <w:noProof/>
          <w:sz w:val="24"/>
          <w:szCs w:val="24"/>
          <w:lang w:eastAsia="en-GB"/>
        </w:rPr>
        <w:t>, and partly on Member States officers' habits and personal preferences</w:t>
      </w:r>
      <w:r>
        <w:rPr>
          <w:rStyle w:val="FootnoteReference"/>
          <w:rFonts w:ascii="Times New Roman" w:hAnsi="Times New Roman"/>
          <w:noProof/>
          <w:sz w:val="24"/>
          <w:szCs w:val="24"/>
          <w:lang w:eastAsia="en-GB"/>
        </w:rPr>
        <w:footnoteReference w:id="81"/>
      </w:r>
      <w:r w:rsidRPr="00EB3A48">
        <w:rPr>
          <w:rFonts w:ascii="Times New Roman" w:hAnsi="Times New Roman"/>
          <w:noProof/>
          <w:sz w:val="24"/>
          <w:szCs w:val="24"/>
          <w:lang w:eastAsia="en-GB"/>
        </w:rPr>
        <w:t>.</w:t>
      </w:r>
    </w:p>
    <w:p w14:paraId="3E799E99" w14:textId="77777777" w:rsidR="00420FA5" w:rsidRDefault="00C76702" w:rsidP="0001435D">
      <w:pPr>
        <w:pStyle w:val="Body"/>
        <w:spacing w:after="120"/>
        <w:jc w:val="both"/>
        <w:rPr>
          <w:noProof/>
          <w:lang w:val="en-US"/>
        </w:rPr>
      </w:pPr>
      <w:r w:rsidRPr="00994F58">
        <w:rPr>
          <w:rFonts w:ascii="Times New Roman" w:hAnsi="Times New Roman"/>
          <w:noProof/>
          <w:sz w:val="24"/>
        </w:rPr>
        <w:t xml:space="preserve">The </w:t>
      </w:r>
      <w:r w:rsidRPr="00D90BC1">
        <w:rPr>
          <w:rFonts w:ascii="Times New Roman" w:hAnsi="Times New Roman"/>
          <w:b/>
          <w:noProof/>
          <w:sz w:val="24"/>
        </w:rPr>
        <w:t>limited training</w:t>
      </w:r>
      <w:r w:rsidRPr="00994F58">
        <w:rPr>
          <w:rFonts w:ascii="Times New Roman" w:hAnsi="Times New Roman"/>
          <w:noProof/>
          <w:sz w:val="24"/>
        </w:rPr>
        <w:t xml:space="preserve"> </w:t>
      </w:r>
      <w:r>
        <w:rPr>
          <w:rFonts w:ascii="Times New Roman" w:hAnsi="Times New Roman"/>
          <w:noProof/>
          <w:sz w:val="24"/>
        </w:rPr>
        <w:t xml:space="preserve">hampers </w:t>
      </w:r>
      <w:r w:rsidRPr="00994F58">
        <w:rPr>
          <w:rFonts w:ascii="Times New Roman" w:hAnsi="Times New Roman"/>
          <w:noProof/>
          <w:sz w:val="24"/>
        </w:rPr>
        <w:t xml:space="preserve">the </w:t>
      </w:r>
      <w:r>
        <w:rPr>
          <w:rFonts w:ascii="Times New Roman" w:hAnsi="Times New Roman"/>
          <w:noProof/>
          <w:sz w:val="24"/>
        </w:rPr>
        <w:t xml:space="preserve">efficient </w:t>
      </w:r>
      <w:r w:rsidRPr="00994F58">
        <w:rPr>
          <w:rFonts w:ascii="Times New Roman" w:hAnsi="Times New Roman"/>
          <w:noProof/>
          <w:sz w:val="24"/>
        </w:rPr>
        <w:t xml:space="preserve">use of available tools for exchanging information by national law enforcement officials. </w:t>
      </w:r>
      <w:r w:rsidRPr="00420FA5">
        <w:rPr>
          <w:rFonts w:ascii="Times New Roman" w:hAnsi="Times New Roman"/>
          <w:noProof/>
          <w:sz w:val="24"/>
          <w:szCs w:val="24"/>
        </w:rPr>
        <w:t xml:space="preserve">As regards the </w:t>
      </w:r>
      <w:r w:rsidRPr="00420FA5">
        <w:rPr>
          <w:rFonts w:ascii="Times New Roman" w:hAnsi="Times New Roman"/>
          <w:b/>
          <w:noProof/>
          <w:sz w:val="24"/>
          <w:szCs w:val="24"/>
        </w:rPr>
        <w:t>PCCCs,</w:t>
      </w:r>
      <w:r w:rsidRPr="00420FA5">
        <w:rPr>
          <w:rFonts w:ascii="Times New Roman" w:hAnsi="Times New Roman"/>
          <w:noProof/>
          <w:sz w:val="24"/>
          <w:szCs w:val="24"/>
        </w:rPr>
        <w:t xml:space="preserve"> out of 59 PCCCs active in Europe in 2017, only nine were connected to SIENA</w:t>
      </w:r>
      <w:r w:rsidRPr="00726216">
        <w:rPr>
          <w:rStyle w:val="FootnoteReference"/>
          <w:rFonts w:ascii="Times New Roman" w:hAnsi="Times New Roman"/>
          <w:noProof/>
          <w:sz w:val="24"/>
          <w:szCs w:val="24"/>
        </w:rPr>
        <w:footnoteReference w:id="82"/>
      </w:r>
      <w:r w:rsidR="00EC0D23">
        <w:rPr>
          <w:rFonts w:ascii="Times New Roman" w:hAnsi="Times New Roman"/>
          <w:noProof/>
          <w:sz w:val="24"/>
          <w:szCs w:val="24"/>
        </w:rPr>
        <w:t xml:space="preserve"> (</w:t>
      </w:r>
      <w:r w:rsidR="008377E4">
        <w:rPr>
          <w:rFonts w:ascii="Times New Roman" w:hAnsi="Times New Roman"/>
          <w:noProof/>
          <w:sz w:val="24"/>
          <w:szCs w:val="24"/>
        </w:rPr>
        <w:t xml:space="preserve">against </w:t>
      </w:r>
      <w:r w:rsidR="00EC0D23">
        <w:rPr>
          <w:rFonts w:ascii="Times New Roman" w:hAnsi="Times New Roman"/>
          <w:noProof/>
          <w:sz w:val="24"/>
          <w:szCs w:val="24"/>
        </w:rPr>
        <w:t xml:space="preserve">14 PCCCs </w:t>
      </w:r>
      <w:r w:rsidR="008377E4">
        <w:rPr>
          <w:rFonts w:ascii="Times New Roman" w:hAnsi="Times New Roman"/>
          <w:noProof/>
          <w:sz w:val="24"/>
          <w:szCs w:val="24"/>
        </w:rPr>
        <w:t>in 2021</w:t>
      </w:r>
      <w:r w:rsidR="00EC0D23">
        <w:rPr>
          <w:rFonts w:ascii="Times New Roman" w:hAnsi="Times New Roman"/>
          <w:noProof/>
          <w:sz w:val="24"/>
          <w:szCs w:val="24"/>
        </w:rPr>
        <w:t>, thereby indicating slow progress)</w:t>
      </w:r>
      <w:r w:rsidRPr="00420FA5">
        <w:rPr>
          <w:rFonts w:ascii="Times New Roman" w:hAnsi="Times New Roman"/>
          <w:noProof/>
          <w:sz w:val="24"/>
          <w:szCs w:val="24"/>
        </w:rPr>
        <w:t>.</w:t>
      </w:r>
    </w:p>
    <w:p w14:paraId="0167474A" w14:textId="77777777" w:rsidR="00420FA5" w:rsidRPr="00704502" w:rsidRDefault="00420FA5" w:rsidP="00704502">
      <w:pPr>
        <w:pStyle w:val="Caption"/>
        <w:keepNext/>
        <w:spacing w:after="60"/>
        <w:jc w:val="center"/>
        <w:rPr>
          <w:noProof/>
          <w:sz w:val="16"/>
          <w:lang w:val="en-US"/>
        </w:rPr>
      </w:pPr>
      <w:r w:rsidRPr="00704502">
        <w:rPr>
          <w:noProof/>
          <w:sz w:val="16"/>
          <w:lang w:val="en-US"/>
        </w:rPr>
        <w:t>Communication channel used for police cooperation</w:t>
      </w:r>
    </w:p>
    <w:p w14:paraId="722682EC" w14:textId="77777777" w:rsidR="00420FA5" w:rsidRPr="00767106" w:rsidRDefault="00420FA5" w:rsidP="00420FA5">
      <w:pPr>
        <w:spacing w:after="0"/>
        <w:rPr>
          <w:noProof/>
        </w:rPr>
      </w:pPr>
      <w:r w:rsidRPr="00520930">
        <w:rPr>
          <w:noProof/>
          <w:lang w:val="en-GB" w:eastAsia="en-GB"/>
        </w:rPr>
        <w:drawing>
          <wp:inline distT="0" distB="0" distL="0" distR="0" wp14:anchorId="7E513D91" wp14:editId="0DB3DD36">
            <wp:extent cx="6115050" cy="2195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15050" cy="2195830"/>
                    </a:xfrm>
                    <a:prstGeom prst="rect">
                      <a:avLst/>
                    </a:prstGeom>
                  </pic:spPr>
                </pic:pic>
              </a:graphicData>
            </a:graphic>
          </wp:inline>
        </w:drawing>
      </w:r>
    </w:p>
    <w:p w14:paraId="4A799BE9" w14:textId="28CAF5D4" w:rsidR="00420FA5" w:rsidRPr="009C1BCF" w:rsidRDefault="00420FA5" w:rsidP="0001435D">
      <w:pPr>
        <w:pStyle w:val="Body"/>
        <w:spacing w:after="0"/>
        <w:jc w:val="both"/>
        <w:rPr>
          <w:rStyle w:val="Subtitle21"/>
          <w:rFonts w:eastAsiaTheme="minorHAnsi" w:cstheme="minorBidi"/>
          <w:noProof/>
          <w:sz w:val="16"/>
          <w:szCs w:val="16"/>
          <w:lang w:val="en-US"/>
        </w:rPr>
      </w:pPr>
      <w:r w:rsidRPr="009C1BCF">
        <w:rPr>
          <w:rStyle w:val="Subtitle21"/>
          <w:rFonts w:eastAsiaTheme="minorHAnsi"/>
          <w:noProof/>
          <w:sz w:val="16"/>
          <w:szCs w:val="16"/>
        </w:rPr>
        <w:t xml:space="preserve">*Blue cells: </w:t>
      </w:r>
      <w:r>
        <w:rPr>
          <w:rStyle w:val="Subtitle21"/>
          <w:rFonts w:eastAsiaTheme="minorHAnsi"/>
          <w:noProof/>
          <w:sz w:val="16"/>
          <w:szCs w:val="16"/>
        </w:rPr>
        <w:t>b</w:t>
      </w:r>
      <w:r w:rsidRPr="009C1BCF">
        <w:rPr>
          <w:rStyle w:val="Subtitle21"/>
          <w:rFonts w:eastAsiaTheme="minorHAnsi"/>
          <w:noProof/>
          <w:sz w:val="16"/>
          <w:szCs w:val="16"/>
        </w:rPr>
        <w:t>oth channels are used indifferently.</w:t>
      </w:r>
      <w:r>
        <w:rPr>
          <w:rStyle w:val="Subtitle21"/>
          <w:rFonts w:eastAsiaTheme="minorHAnsi"/>
          <w:noProof/>
          <w:sz w:val="16"/>
          <w:szCs w:val="16"/>
        </w:rPr>
        <w:t xml:space="preserve"> </w:t>
      </w:r>
      <w:r w:rsidDel="001779AB">
        <w:rPr>
          <w:rStyle w:val="Subtitle21"/>
          <w:rFonts w:eastAsiaTheme="minorHAnsi"/>
          <w:noProof/>
          <w:sz w:val="16"/>
          <w:szCs w:val="16"/>
        </w:rPr>
        <w:t xml:space="preserve">Light </w:t>
      </w:r>
      <w:r w:rsidR="00A51875">
        <w:rPr>
          <w:rStyle w:val="Subtitle21"/>
          <w:rFonts w:eastAsiaTheme="minorHAnsi"/>
          <w:noProof/>
          <w:sz w:val="16"/>
          <w:szCs w:val="16"/>
        </w:rPr>
        <w:t xml:space="preserve">grey </w:t>
      </w:r>
      <w:r w:rsidDel="001779AB">
        <w:rPr>
          <w:rStyle w:val="Subtitle21"/>
          <w:rFonts w:eastAsiaTheme="minorHAnsi"/>
          <w:noProof/>
          <w:sz w:val="16"/>
          <w:szCs w:val="16"/>
        </w:rPr>
        <w:t>cells</w:t>
      </w:r>
      <w:r w:rsidRPr="009C1BCF" w:rsidDel="001779AB">
        <w:rPr>
          <w:rStyle w:val="Subtitle21"/>
          <w:rFonts w:eastAsiaTheme="minorHAnsi"/>
          <w:noProof/>
          <w:sz w:val="16"/>
          <w:szCs w:val="16"/>
        </w:rPr>
        <w:t xml:space="preserve">: preferred channel of communication. </w:t>
      </w:r>
      <w:r w:rsidR="00A51875">
        <w:rPr>
          <w:rStyle w:val="Subtitle21"/>
          <w:rFonts w:eastAsiaTheme="minorHAnsi"/>
          <w:noProof/>
          <w:sz w:val="16"/>
          <w:szCs w:val="16"/>
        </w:rPr>
        <w:t>Dark g</w:t>
      </w:r>
      <w:r w:rsidR="00A51875" w:rsidRPr="009C1BCF">
        <w:rPr>
          <w:rStyle w:val="Subtitle21"/>
          <w:rFonts w:eastAsiaTheme="minorHAnsi"/>
          <w:noProof/>
          <w:sz w:val="16"/>
          <w:szCs w:val="16"/>
        </w:rPr>
        <w:t xml:space="preserve">rey </w:t>
      </w:r>
      <w:r w:rsidRPr="009C1BCF">
        <w:rPr>
          <w:rStyle w:val="Subtitle21"/>
          <w:rFonts w:eastAsiaTheme="minorHAnsi"/>
          <w:noProof/>
          <w:sz w:val="16"/>
          <w:szCs w:val="16"/>
        </w:rPr>
        <w:t xml:space="preserve">cells: </w:t>
      </w:r>
      <w:r>
        <w:rPr>
          <w:rStyle w:val="Subtitle21"/>
          <w:rFonts w:eastAsiaTheme="minorHAnsi"/>
          <w:noProof/>
          <w:sz w:val="16"/>
          <w:szCs w:val="16"/>
        </w:rPr>
        <w:t>No Schengen evaluation report available</w:t>
      </w:r>
    </w:p>
    <w:p w14:paraId="365F088C" w14:textId="77777777" w:rsidR="00EB7963" w:rsidRDefault="00420FA5" w:rsidP="00420FA5">
      <w:pPr>
        <w:pStyle w:val="Body"/>
        <w:jc w:val="both"/>
        <w:rPr>
          <w:rStyle w:val="Subtitle21"/>
          <w:rFonts w:eastAsiaTheme="minorHAnsi"/>
          <w:noProof/>
          <w:sz w:val="16"/>
        </w:rPr>
      </w:pPr>
      <w:r w:rsidRPr="00704502">
        <w:rPr>
          <w:rStyle w:val="Subtitle21"/>
          <w:rFonts w:eastAsiaTheme="minorHAnsi"/>
          <w:noProof/>
          <w:sz w:val="16"/>
        </w:rPr>
        <w:t xml:space="preserve">Source: </w:t>
      </w:r>
      <w:r w:rsidR="00676900">
        <w:rPr>
          <w:i/>
          <w:noProof/>
          <w:color w:val="7F7F7F" w:themeColor="text1" w:themeTint="80"/>
          <w:sz w:val="16"/>
          <w:szCs w:val="16"/>
        </w:rPr>
        <w:t>EY/RAND Europe Study</w:t>
      </w:r>
      <w:r w:rsidR="00676900" w:rsidRPr="00AC24E2">
        <w:rPr>
          <w:i/>
          <w:noProof/>
          <w:color w:val="7F7F7F" w:themeColor="text1" w:themeTint="80"/>
          <w:sz w:val="16"/>
          <w:szCs w:val="16"/>
        </w:rPr>
        <w:t>’s elaboration</w:t>
      </w:r>
      <w:r w:rsidR="00676900">
        <w:rPr>
          <w:rStyle w:val="Subtitle21"/>
          <w:rFonts w:eastAsiaTheme="minorHAnsi"/>
          <w:noProof/>
        </w:rPr>
        <w:t xml:space="preserve"> </w:t>
      </w:r>
      <w:r w:rsidRPr="00704502">
        <w:rPr>
          <w:rStyle w:val="Subtitle21"/>
          <w:rFonts w:eastAsiaTheme="minorHAnsi"/>
          <w:noProof/>
          <w:sz w:val="16"/>
        </w:rPr>
        <w:t xml:space="preserve">based on a questionnaire </w:t>
      </w:r>
      <w:r w:rsidR="009B15D1" w:rsidRPr="00704502">
        <w:rPr>
          <w:rStyle w:val="Subtitle21"/>
          <w:rFonts w:eastAsiaTheme="minorHAnsi"/>
          <w:noProof/>
          <w:sz w:val="16"/>
        </w:rPr>
        <w:t xml:space="preserve">on the developments </w:t>
      </w:r>
      <w:r w:rsidRPr="00704502">
        <w:rPr>
          <w:rStyle w:val="Subtitle21"/>
          <w:rFonts w:eastAsiaTheme="minorHAnsi"/>
          <w:noProof/>
          <w:sz w:val="16"/>
        </w:rPr>
        <w:t>since the update of the SPOC guidelines in 2014</w:t>
      </w:r>
    </w:p>
    <w:p w14:paraId="2AEFBF7F" w14:textId="2AD59D0E" w:rsidR="00C76702" w:rsidRPr="001521FB" w:rsidRDefault="00173E60" w:rsidP="00173E60">
      <w:pPr>
        <w:pStyle w:val="Heading3"/>
        <w:rPr>
          <w:noProof/>
        </w:rPr>
      </w:pPr>
      <w:bookmarkStart w:id="37" w:name="_Toc74838161"/>
      <w:bookmarkStart w:id="38" w:name="_Toc83801023"/>
      <w:r w:rsidRPr="00173E60">
        <w:t>2.3.3.</w:t>
      </w:r>
      <w:r w:rsidRPr="00173E60">
        <w:tab/>
      </w:r>
      <w:r w:rsidR="00C76702" w:rsidRPr="00CF3D6A">
        <w:rPr>
          <w:noProof/>
        </w:rPr>
        <w:t>How will the problem evolve without intervention</w:t>
      </w:r>
      <w:r w:rsidR="00C76702" w:rsidRPr="002F22A9">
        <w:rPr>
          <w:noProof/>
        </w:rPr>
        <w:t>?</w:t>
      </w:r>
      <w:bookmarkEnd w:id="37"/>
      <w:bookmarkEnd w:id="38"/>
    </w:p>
    <w:p w14:paraId="4A9226EE" w14:textId="77777777" w:rsidR="007F36CB" w:rsidRDefault="00C76702" w:rsidP="005B7685">
      <w:pPr>
        <w:pStyle w:val="Body"/>
        <w:spacing w:after="120"/>
        <w:jc w:val="both"/>
        <w:rPr>
          <w:rFonts w:ascii="Times New Roman" w:hAnsi="Times New Roman"/>
          <w:b/>
          <w:noProof/>
          <w:sz w:val="24"/>
          <w:szCs w:val="24"/>
        </w:rPr>
      </w:pPr>
      <w:r w:rsidRPr="00B2689E">
        <w:rPr>
          <w:rFonts w:ascii="Times New Roman" w:hAnsi="Times New Roman"/>
          <w:noProof/>
          <w:sz w:val="24"/>
          <w:szCs w:val="24"/>
        </w:rPr>
        <w:t>The planned changes to SIENA that are currently</w:t>
      </w:r>
      <w:r w:rsidR="00A857F2">
        <w:rPr>
          <w:rFonts w:ascii="Times New Roman" w:hAnsi="Times New Roman"/>
          <w:noProof/>
          <w:sz w:val="24"/>
          <w:szCs w:val="24"/>
        </w:rPr>
        <w:t xml:space="preserve"> </w:t>
      </w:r>
      <w:r w:rsidRPr="00B2689E">
        <w:rPr>
          <w:rFonts w:ascii="Times New Roman" w:hAnsi="Times New Roman"/>
          <w:noProof/>
          <w:sz w:val="24"/>
          <w:szCs w:val="24"/>
        </w:rPr>
        <w:t xml:space="preserve">envisaged by Europol are expected to lead to some clear improvements with regard to the cross-border exchange of information, notably due to its </w:t>
      </w:r>
      <w:r w:rsidR="00A857F2">
        <w:rPr>
          <w:rFonts w:ascii="Times New Roman" w:hAnsi="Times New Roman"/>
          <w:noProof/>
          <w:sz w:val="24"/>
          <w:szCs w:val="24"/>
        </w:rPr>
        <w:t xml:space="preserve">anticipated </w:t>
      </w:r>
      <w:r w:rsidRPr="00B2689E">
        <w:rPr>
          <w:rFonts w:ascii="Times New Roman" w:hAnsi="Times New Roman"/>
          <w:noProof/>
          <w:sz w:val="24"/>
          <w:szCs w:val="24"/>
        </w:rPr>
        <w:t xml:space="preserve">doubling of </w:t>
      </w:r>
      <w:r>
        <w:rPr>
          <w:rFonts w:ascii="Times New Roman" w:hAnsi="Times New Roman"/>
          <w:noProof/>
          <w:sz w:val="24"/>
          <w:szCs w:val="24"/>
        </w:rPr>
        <w:t>end-</w:t>
      </w:r>
      <w:r w:rsidRPr="00B2689E">
        <w:rPr>
          <w:rFonts w:ascii="Times New Roman" w:hAnsi="Times New Roman"/>
          <w:noProof/>
          <w:sz w:val="24"/>
          <w:szCs w:val="24"/>
        </w:rPr>
        <w:t>users.</w:t>
      </w:r>
    </w:p>
    <w:p w14:paraId="63EC505A" w14:textId="56477C1C" w:rsidR="00C76702" w:rsidRDefault="00C76702" w:rsidP="005B7685">
      <w:pPr>
        <w:pStyle w:val="Body"/>
        <w:spacing w:after="120"/>
        <w:jc w:val="both"/>
        <w:rPr>
          <w:rFonts w:ascii="Times New Roman" w:hAnsi="Times New Roman"/>
          <w:noProof/>
          <w:sz w:val="24"/>
          <w:szCs w:val="24"/>
        </w:rPr>
      </w:pPr>
      <w:r w:rsidRPr="00380EEA">
        <w:rPr>
          <w:rFonts w:ascii="Times New Roman" w:hAnsi="Times New Roman"/>
          <w:noProof/>
          <w:sz w:val="24"/>
          <w:szCs w:val="24"/>
        </w:rPr>
        <w:t>Yet,</w:t>
      </w:r>
      <w:r>
        <w:rPr>
          <w:rFonts w:ascii="Times New Roman" w:hAnsi="Times New Roman"/>
          <w:noProof/>
          <w:sz w:val="24"/>
          <w:szCs w:val="24"/>
        </w:rPr>
        <w:t xml:space="preserve"> Member States would only slowly update their IT information management system to integrate these upgrades. </w:t>
      </w:r>
      <w:r w:rsidRPr="00EB29CC">
        <w:rPr>
          <w:rFonts w:ascii="Times New Roman" w:hAnsi="Times New Roman"/>
          <w:noProof/>
          <w:sz w:val="24"/>
          <w:szCs w:val="16"/>
        </w:rPr>
        <w:t>Member States are</w:t>
      </w:r>
      <w:r>
        <w:rPr>
          <w:rFonts w:ascii="Times New Roman" w:hAnsi="Times New Roman"/>
          <w:noProof/>
          <w:sz w:val="24"/>
          <w:szCs w:val="16"/>
        </w:rPr>
        <w:t xml:space="preserve"> also</w:t>
      </w:r>
      <w:r w:rsidRPr="00EB29CC">
        <w:rPr>
          <w:rFonts w:ascii="Times New Roman" w:hAnsi="Times New Roman"/>
          <w:noProof/>
          <w:sz w:val="24"/>
          <w:szCs w:val="16"/>
        </w:rPr>
        <w:t xml:space="preserve"> expected to continue to send requests to multiple countries at the same</w:t>
      </w:r>
      <w:r>
        <w:rPr>
          <w:rFonts w:ascii="Times New Roman" w:hAnsi="Times New Roman"/>
          <w:noProof/>
          <w:sz w:val="24"/>
          <w:szCs w:val="16"/>
        </w:rPr>
        <w:t xml:space="preserve"> time via parallel channels to "fish"</w:t>
      </w:r>
      <w:r w:rsidRPr="00EB29CC">
        <w:rPr>
          <w:rFonts w:ascii="Times New Roman" w:hAnsi="Times New Roman"/>
          <w:noProof/>
          <w:sz w:val="24"/>
          <w:szCs w:val="16"/>
        </w:rPr>
        <w:t xml:space="preserve"> for information, leading to duplication of work.</w:t>
      </w:r>
      <w:r w:rsidRPr="000A72D7">
        <w:rPr>
          <w:rFonts w:ascii="Times New Roman" w:hAnsi="Times New Roman"/>
          <w:noProof/>
          <w:sz w:val="24"/>
          <w:szCs w:val="24"/>
        </w:rPr>
        <w:t xml:space="preserve"> </w:t>
      </w:r>
      <w:r w:rsidR="005930B4">
        <w:rPr>
          <w:rFonts w:ascii="Times New Roman" w:hAnsi="Times New Roman"/>
          <w:noProof/>
          <w:sz w:val="24"/>
          <w:szCs w:val="24"/>
        </w:rPr>
        <w:t xml:space="preserve">Member States will remain free to choose not to copy Europol in their exchanges via Europol SIENA even when this concerns an offence falling under the Europol mandate. </w:t>
      </w:r>
      <w:r>
        <w:rPr>
          <w:rFonts w:ascii="Times New Roman" w:hAnsi="Times New Roman"/>
          <w:noProof/>
          <w:sz w:val="24"/>
          <w:szCs w:val="24"/>
        </w:rPr>
        <w:t xml:space="preserve">The qualitative and quantitative information flow towards Europol would </w:t>
      </w:r>
      <w:r w:rsidR="005930B4">
        <w:rPr>
          <w:rFonts w:ascii="Times New Roman" w:hAnsi="Times New Roman"/>
          <w:noProof/>
          <w:sz w:val="24"/>
          <w:szCs w:val="24"/>
        </w:rPr>
        <w:t xml:space="preserve">thus </w:t>
      </w:r>
      <w:r>
        <w:rPr>
          <w:rFonts w:ascii="Times New Roman" w:hAnsi="Times New Roman"/>
          <w:noProof/>
          <w:sz w:val="24"/>
          <w:szCs w:val="24"/>
        </w:rPr>
        <w:t>only increase in a piece-meal manner across the European Union, hampering Europol'</w:t>
      </w:r>
      <w:r w:rsidR="000C061A">
        <w:rPr>
          <w:rFonts w:ascii="Times New Roman" w:hAnsi="Times New Roman"/>
          <w:noProof/>
          <w:sz w:val="24"/>
          <w:szCs w:val="24"/>
        </w:rPr>
        <w:t>s</w:t>
      </w:r>
      <w:r>
        <w:rPr>
          <w:rFonts w:ascii="Times New Roman" w:hAnsi="Times New Roman"/>
          <w:noProof/>
          <w:sz w:val="24"/>
          <w:szCs w:val="24"/>
        </w:rPr>
        <w:t xml:space="preserve"> ability to support Member States in their cross-border investigations.</w:t>
      </w:r>
    </w:p>
    <w:p w14:paraId="7BD36901" w14:textId="3B70F2C1" w:rsidR="00C76702" w:rsidRDefault="00C76702" w:rsidP="005B7685">
      <w:pPr>
        <w:pStyle w:val="Body"/>
        <w:spacing w:after="120"/>
        <w:jc w:val="both"/>
        <w:rPr>
          <w:rFonts w:ascii="Times New Roman" w:hAnsi="Times New Roman"/>
          <w:bCs/>
          <w:noProof/>
          <w:sz w:val="24"/>
        </w:rPr>
      </w:pPr>
      <w:r w:rsidRPr="00722F94">
        <w:rPr>
          <w:rFonts w:ascii="Times New Roman" w:hAnsi="Times New Roman"/>
          <w:bCs/>
          <w:noProof/>
          <w:sz w:val="24"/>
        </w:rPr>
        <w:t xml:space="preserve">In the absence of further intervention, formal and informal processes that have been established over the years are expected to remain intact. This means that stakeholders are expected to continue to use </w:t>
      </w:r>
      <w:r w:rsidR="001779AB">
        <w:rPr>
          <w:rFonts w:ascii="Times New Roman" w:hAnsi="Times New Roman"/>
          <w:bCs/>
          <w:noProof/>
          <w:sz w:val="24"/>
        </w:rPr>
        <w:t xml:space="preserve">ad hoc </w:t>
      </w:r>
      <w:r w:rsidRPr="00722F94">
        <w:rPr>
          <w:rFonts w:ascii="Times New Roman" w:hAnsi="Times New Roman"/>
          <w:bCs/>
          <w:noProof/>
          <w:sz w:val="24"/>
        </w:rPr>
        <w:t xml:space="preserve">processes. One example is, of course, not sending an information request via SIENA, but simply calling the official counterpart in another country or requesting information via an informal email. </w:t>
      </w:r>
      <w:r w:rsidR="00DC1876">
        <w:rPr>
          <w:rFonts w:ascii="Times New Roman" w:hAnsi="Times New Roman"/>
          <w:bCs/>
          <w:noProof/>
          <w:sz w:val="24"/>
        </w:rPr>
        <w:t>I</w:t>
      </w:r>
      <w:r w:rsidRPr="00722F94">
        <w:rPr>
          <w:rFonts w:ascii="Times New Roman" w:hAnsi="Times New Roman"/>
          <w:bCs/>
          <w:noProof/>
          <w:sz w:val="24"/>
        </w:rPr>
        <w:t xml:space="preserve">nformal practices </w:t>
      </w:r>
      <w:r w:rsidR="00A857F2" w:rsidRPr="00722F94">
        <w:rPr>
          <w:rFonts w:ascii="Times New Roman" w:hAnsi="Times New Roman"/>
          <w:bCs/>
          <w:noProof/>
          <w:sz w:val="24"/>
        </w:rPr>
        <w:t>have been</w:t>
      </w:r>
      <w:r w:rsidR="00A857F2">
        <w:rPr>
          <w:rFonts w:ascii="Times New Roman" w:hAnsi="Times New Roman"/>
          <w:bCs/>
          <w:noProof/>
          <w:sz w:val="24"/>
        </w:rPr>
        <w:t xml:space="preserve"> and remain</w:t>
      </w:r>
      <w:r w:rsidR="00A857F2" w:rsidRPr="00722F94">
        <w:rPr>
          <w:rFonts w:ascii="Times New Roman" w:hAnsi="Times New Roman"/>
          <w:bCs/>
          <w:noProof/>
          <w:sz w:val="24"/>
        </w:rPr>
        <w:t xml:space="preserve"> an important </w:t>
      </w:r>
      <w:r w:rsidRPr="00722F94">
        <w:rPr>
          <w:rFonts w:ascii="Times New Roman" w:hAnsi="Times New Roman"/>
          <w:bCs/>
          <w:noProof/>
          <w:sz w:val="24"/>
        </w:rPr>
        <w:t>part of law enforcement cooperation today. This being said, such traditional ways of working may no longer prove adequate in the future</w:t>
      </w:r>
      <w:r>
        <w:rPr>
          <w:rFonts w:ascii="Times New Roman" w:hAnsi="Times New Roman"/>
          <w:bCs/>
          <w:noProof/>
          <w:sz w:val="24"/>
        </w:rPr>
        <w:t xml:space="preserve">. </w:t>
      </w:r>
      <w:r w:rsidRPr="00722F94">
        <w:rPr>
          <w:rFonts w:ascii="Times New Roman" w:hAnsi="Times New Roman"/>
          <w:bCs/>
          <w:noProof/>
          <w:sz w:val="24"/>
        </w:rPr>
        <w:t xml:space="preserve">More specifically, while they may work well between </w:t>
      </w:r>
      <w:r w:rsidR="00167F1D">
        <w:rPr>
          <w:rFonts w:ascii="Times New Roman" w:hAnsi="Times New Roman"/>
          <w:bCs/>
          <w:noProof/>
          <w:sz w:val="24"/>
        </w:rPr>
        <w:t xml:space="preserve">Member States </w:t>
      </w:r>
      <w:r w:rsidRPr="00722F94">
        <w:rPr>
          <w:rFonts w:ascii="Times New Roman" w:hAnsi="Times New Roman"/>
          <w:bCs/>
          <w:noProof/>
          <w:sz w:val="24"/>
        </w:rPr>
        <w:t>where frequent contacts and cooperation are established,</w:t>
      </w:r>
      <w:r w:rsidR="00167F1D">
        <w:rPr>
          <w:rFonts w:ascii="Times New Roman" w:hAnsi="Times New Roman"/>
          <w:bCs/>
          <w:noProof/>
          <w:sz w:val="24"/>
        </w:rPr>
        <w:t xml:space="preserve"> this may not be the case with other Member States</w:t>
      </w:r>
      <w:r>
        <w:rPr>
          <w:rFonts w:ascii="Times New Roman" w:hAnsi="Times New Roman"/>
          <w:bCs/>
          <w:noProof/>
          <w:sz w:val="24"/>
        </w:rPr>
        <w:t>.</w:t>
      </w:r>
      <w:r w:rsidR="00C81209">
        <w:rPr>
          <w:rFonts w:ascii="Times New Roman" w:hAnsi="Times New Roman"/>
          <w:bCs/>
          <w:noProof/>
          <w:sz w:val="24"/>
        </w:rPr>
        <w:t xml:space="preserve"> Existing Council guidelines did not manage to ensure a satisfactory convergence of national practices. Updated guidance is thus unlikely to achieve further results.</w:t>
      </w:r>
    </w:p>
    <w:p w14:paraId="7870432C" w14:textId="77777777" w:rsidR="009D1687" w:rsidRDefault="005930B4" w:rsidP="00704502">
      <w:pPr>
        <w:pStyle w:val="Body"/>
        <w:jc w:val="both"/>
        <w:rPr>
          <w:rFonts w:ascii="Times New Roman" w:hAnsi="Times New Roman"/>
          <w:bCs/>
          <w:noProof/>
          <w:sz w:val="24"/>
        </w:rPr>
      </w:pPr>
      <w:r>
        <w:rPr>
          <w:rFonts w:ascii="Times New Roman" w:hAnsi="Times New Roman"/>
          <w:noProof/>
          <w:sz w:val="24"/>
        </w:rPr>
        <w:t>Without intervention, l</w:t>
      </w:r>
      <w:r w:rsidR="009D1687" w:rsidRPr="00B77914">
        <w:rPr>
          <w:rFonts w:ascii="Times New Roman" w:hAnsi="Times New Roman"/>
          <w:noProof/>
          <w:sz w:val="24"/>
        </w:rPr>
        <w:t xml:space="preserve">aw enforcement authorities will </w:t>
      </w:r>
      <w:r>
        <w:rPr>
          <w:rFonts w:ascii="Times New Roman" w:hAnsi="Times New Roman"/>
          <w:noProof/>
          <w:sz w:val="24"/>
        </w:rPr>
        <w:t xml:space="preserve">continue </w:t>
      </w:r>
      <w:r w:rsidR="009D1687" w:rsidRPr="00B77914">
        <w:rPr>
          <w:rFonts w:ascii="Times New Roman" w:hAnsi="Times New Roman"/>
          <w:noProof/>
          <w:sz w:val="24"/>
        </w:rPr>
        <w:t xml:space="preserve">not </w:t>
      </w:r>
      <w:r>
        <w:rPr>
          <w:rFonts w:ascii="Times New Roman" w:hAnsi="Times New Roman"/>
          <w:noProof/>
          <w:sz w:val="24"/>
        </w:rPr>
        <w:t xml:space="preserve">to </w:t>
      </w:r>
      <w:r w:rsidR="009D1687" w:rsidRPr="00B77914">
        <w:rPr>
          <w:rFonts w:ascii="Times New Roman" w:hAnsi="Times New Roman"/>
          <w:noProof/>
          <w:sz w:val="24"/>
        </w:rPr>
        <w:t xml:space="preserve">effectively and efficiently exchange information with their partners in other Member States, thereby leaving the impacts in the </w:t>
      </w:r>
      <w:r w:rsidR="009D1687" w:rsidRPr="00B77914">
        <w:rPr>
          <w:rFonts w:ascii="Times New Roman" w:hAnsi="Times New Roman"/>
          <w:noProof/>
          <w:sz w:val="24"/>
          <w:szCs w:val="24"/>
        </w:rPr>
        <w:t>evolution of the EU security landscape and in the increased cross-border mobility essentially unaddressed.</w:t>
      </w:r>
    </w:p>
    <w:p w14:paraId="05CDD9E9" w14:textId="748B9B66" w:rsidR="00C76702" w:rsidRPr="00944938" w:rsidRDefault="00173E60" w:rsidP="00173E60">
      <w:pPr>
        <w:pStyle w:val="Heading1"/>
        <w:rPr>
          <w:noProof/>
          <w:shd w:val="clear" w:color="auto" w:fill="FFFFFF"/>
        </w:rPr>
      </w:pPr>
      <w:bookmarkStart w:id="39" w:name="_Toc74838162"/>
      <w:bookmarkStart w:id="40" w:name="_Toc83801024"/>
      <w:r w:rsidRPr="00173E60">
        <w:t>3.</w:t>
      </w:r>
      <w:r w:rsidRPr="00173E60">
        <w:tab/>
      </w:r>
      <w:r w:rsidR="00C76702" w:rsidRPr="00944938">
        <w:rPr>
          <w:noProof/>
          <w:shd w:val="clear" w:color="auto" w:fill="FFFFFF"/>
        </w:rPr>
        <w:t>Why should the EU act?</w:t>
      </w:r>
      <w:bookmarkEnd w:id="39"/>
      <w:bookmarkEnd w:id="40"/>
    </w:p>
    <w:p w14:paraId="452D7AEA" w14:textId="77777777" w:rsidR="00AF5147" w:rsidRPr="00AF5147" w:rsidRDefault="00AF5147" w:rsidP="00AF5147">
      <w:pPr>
        <w:pStyle w:val="ListParagraph"/>
        <w:numPr>
          <w:ilvl w:val="0"/>
          <w:numId w:val="77"/>
        </w:numPr>
        <w:spacing w:after="120" w:line="240" w:lineRule="auto"/>
        <w:contextualSpacing w:val="0"/>
        <w:jc w:val="both"/>
        <w:outlineLvl w:val="1"/>
        <w:rPr>
          <w:rFonts w:ascii="Times New Roman" w:eastAsia="Times New Roman" w:hAnsi="Times New Roman" w:cs="Times New Roman"/>
          <w:b/>
          <w:noProof/>
          <w:vanish/>
          <w:sz w:val="24"/>
          <w:szCs w:val="24"/>
          <w:shd w:val="clear" w:color="auto" w:fill="FFFFFF"/>
        </w:rPr>
      </w:pPr>
      <w:bookmarkStart w:id="41" w:name="_Toc74838163"/>
    </w:p>
    <w:p w14:paraId="7CD1307B" w14:textId="77777777" w:rsidR="00C76702" w:rsidRPr="002F22A9" w:rsidRDefault="00DC6C65" w:rsidP="00094199">
      <w:pPr>
        <w:pStyle w:val="Heading2"/>
        <w:rPr>
          <w:noProof/>
        </w:rPr>
      </w:pPr>
      <w:r>
        <w:rPr>
          <w:noProof/>
        </w:rPr>
        <w:t xml:space="preserve"> </w:t>
      </w:r>
      <w:bookmarkStart w:id="42" w:name="_Toc83801025"/>
      <w:r w:rsidR="00C76702" w:rsidRPr="00AF5147">
        <w:rPr>
          <w:noProof/>
        </w:rPr>
        <w:t>Legal basis</w:t>
      </w:r>
      <w:bookmarkEnd w:id="41"/>
      <w:bookmarkEnd w:id="42"/>
    </w:p>
    <w:p w14:paraId="003DD7D9" w14:textId="77777777" w:rsidR="00C76702" w:rsidRDefault="00C76702" w:rsidP="00EB7963">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A </w:t>
      </w:r>
      <w:r w:rsidRPr="004522DF">
        <w:rPr>
          <w:rFonts w:ascii="Times New Roman" w:hAnsi="Times New Roman" w:cs="Times New Roman"/>
          <w:noProof/>
          <w:sz w:val="24"/>
        </w:rPr>
        <w:t>legislative proposal following this impact assessment would be based on Article</w:t>
      </w:r>
      <w:r w:rsidRPr="004522DF">
        <w:rPr>
          <w:noProof/>
          <w:sz w:val="24"/>
        </w:rPr>
        <w:t xml:space="preserve"> </w:t>
      </w:r>
      <w:r w:rsidRPr="00953533">
        <w:rPr>
          <w:rFonts w:ascii="Times New Roman" w:hAnsi="Times New Roman" w:cs="Times New Roman"/>
          <w:noProof/>
          <w:sz w:val="24"/>
          <w:szCs w:val="24"/>
        </w:rPr>
        <w:t xml:space="preserve">87 (2) of the Treaty on the Functioning of the European Union (TFEU). </w:t>
      </w:r>
      <w:bookmarkStart w:id="43" w:name="_Toc48897631"/>
    </w:p>
    <w:p w14:paraId="5F8E485E" w14:textId="77777777" w:rsidR="00C76702" w:rsidRPr="002F22A9" w:rsidRDefault="00DC6C65" w:rsidP="00094199">
      <w:pPr>
        <w:pStyle w:val="Heading2"/>
        <w:rPr>
          <w:noProof/>
        </w:rPr>
      </w:pPr>
      <w:bookmarkStart w:id="44" w:name="_Toc74838164"/>
      <w:r>
        <w:rPr>
          <w:noProof/>
        </w:rPr>
        <w:t xml:space="preserve"> </w:t>
      </w:r>
      <w:r w:rsidR="00C67F82" w:rsidRPr="002F22A9">
        <w:rPr>
          <w:noProof/>
        </w:rPr>
        <w:t xml:space="preserve"> </w:t>
      </w:r>
      <w:bookmarkStart w:id="45" w:name="_Toc83801026"/>
      <w:r w:rsidR="00C76702" w:rsidRPr="002F22A9">
        <w:rPr>
          <w:noProof/>
        </w:rPr>
        <w:t>Subsidiarity: Necessity of EU action</w:t>
      </w:r>
      <w:bookmarkEnd w:id="43"/>
      <w:bookmarkEnd w:id="44"/>
      <w:bookmarkEnd w:id="45"/>
    </w:p>
    <w:p w14:paraId="707B2240" w14:textId="77777777" w:rsidR="00C76702" w:rsidRPr="00C67F82" w:rsidRDefault="00C76702" w:rsidP="00EB7963">
      <w:pPr>
        <w:spacing w:after="120" w:line="240" w:lineRule="auto"/>
        <w:jc w:val="both"/>
        <w:rPr>
          <w:rFonts w:ascii="Times New Roman" w:hAnsi="Times New Roman" w:cs="Times New Roman"/>
          <w:noProof/>
          <w:sz w:val="24"/>
          <w:szCs w:val="24"/>
        </w:rPr>
      </w:pPr>
      <w:r w:rsidRPr="00C67F82">
        <w:rPr>
          <w:rFonts w:ascii="Times New Roman" w:hAnsi="Times New Roman" w:cs="Times New Roman"/>
          <w:noProof/>
          <w:sz w:val="24"/>
          <w:szCs w:val="24"/>
        </w:rPr>
        <w:t>The objective of improving information flows between relevant law enforcement authorities and with Europol, cannot be sufficiently achieved by the Member States acting alone. Owing to the cross-border nature of crime, the Member States are obliged to rely on one another. This can be better achieved at the level of the Union.</w:t>
      </w:r>
    </w:p>
    <w:p w14:paraId="3EDDF340" w14:textId="77777777" w:rsidR="00C76702" w:rsidRDefault="00C76702" w:rsidP="001829EF">
      <w:pPr>
        <w:pStyle w:val="Body"/>
        <w:spacing w:after="120"/>
        <w:jc w:val="both"/>
        <w:rPr>
          <w:rFonts w:ascii="Times New Roman" w:hAnsi="Times New Roman"/>
          <w:noProof/>
          <w:sz w:val="24"/>
          <w:szCs w:val="24"/>
        </w:rPr>
      </w:pPr>
      <w:r w:rsidRPr="00734763">
        <w:rPr>
          <w:rFonts w:ascii="Times New Roman" w:hAnsi="Times New Roman"/>
          <w:noProof/>
          <w:sz w:val="24"/>
          <w:szCs w:val="24"/>
        </w:rPr>
        <w:t>Despite</w:t>
      </w:r>
      <w:r w:rsidRPr="00734763">
        <w:rPr>
          <w:rFonts w:ascii="Times New Roman" w:hAnsi="Times New Roman"/>
          <w:b/>
          <w:bCs/>
          <w:noProof/>
          <w:sz w:val="24"/>
          <w:szCs w:val="24"/>
        </w:rPr>
        <w:t xml:space="preserve"> </w:t>
      </w:r>
      <w:r w:rsidRPr="00734763">
        <w:rPr>
          <w:rFonts w:ascii="Times New Roman" w:hAnsi="Times New Roman"/>
          <w:noProof/>
          <w:sz w:val="24"/>
          <w:szCs w:val="24"/>
        </w:rPr>
        <w:t xml:space="preserve">the existence of a number of </w:t>
      </w:r>
      <w:r w:rsidR="00296F7F">
        <w:rPr>
          <w:rFonts w:ascii="Times New Roman" w:hAnsi="Times New Roman"/>
          <w:noProof/>
          <w:sz w:val="24"/>
          <w:szCs w:val="24"/>
        </w:rPr>
        <w:t xml:space="preserve">national </w:t>
      </w:r>
      <w:r w:rsidRPr="00734763">
        <w:rPr>
          <w:rFonts w:ascii="Times New Roman" w:hAnsi="Times New Roman"/>
          <w:noProof/>
          <w:sz w:val="24"/>
          <w:szCs w:val="24"/>
        </w:rPr>
        <w:t xml:space="preserve">and regional measures in place that aim to strengthen national capacity to deploy coordinated actions against common threats and challenges, </w:t>
      </w:r>
      <w:r w:rsidRPr="000A72D7">
        <w:rPr>
          <w:rFonts w:ascii="Times New Roman" w:hAnsi="Times New Roman"/>
          <w:noProof/>
          <w:sz w:val="24"/>
          <w:szCs w:val="24"/>
        </w:rPr>
        <w:t xml:space="preserve">Member States alone would not be able to </w:t>
      </w:r>
      <w:r>
        <w:rPr>
          <w:rFonts w:ascii="Times New Roman" w:hAnsi="Times New Roman"/>
          <w:noProof/>
          <w:sz w:val="24"/>
          <w:szCs w:val="24"/>
        </w:rPr>
        <w:t>ensure the full implementation of the principle</w:t>
      </w:r>
      <w:r w:rsidR="00196628">
        <w:rPr>
          <w:rFonts w:ascii="Times New Roman" w:hAnsi="Times New Roman"/>
          <w:noProof/>
          <w:sz w:val="24"/>
          <w:szCs w:val="24"/>
        </w:rPr>
        <w:t>s</w:t>
      </w:r>
      <w:r>
        <w:rPr>
          <w:rFonts w:ascii="Times New Roman" w:hAnsi="Times New Roman"/>
          <w:noProof/>
          <w:sz w:val="24"/>
          <w:szCs w:val="24"/>
        </w:rPr>
        <w:t xml:space="preserve"> of </w:t>
      </w:r>
      <w:r w:rsidR="00196628">
        <w:rPr>
          <w:rFonts w:ascii="Times New Roman" w:hAnsi="Times New Roman"/>
          <w:noProof/>
          <w:sz w:val="24"/>
          <w:szCs w:val="24"/>
        </w:rPr>
        <w:t xml:space="preserve">availability and of </w:t>
      </w:r>
      <w:r>
        <w:rPr>
          <w:rFonts w:ascii="Times New Roman" w:hAnsi="Times New Roman"/>
          <w:noProof/>
          <w:sz w:val="24"/>
          <w:szCs w:val="24"/>
        </w:rPr>
        <w:t>equivalent access to information.</w:t>
      </w:r>
      <w:r w:rsidR="009B15D1">
        <w:rPr>
          <w:rFonts w:ascii="Times New Roman" w:hAnsi="Times New Roman"/>
          <w:noProof/>
          <w:sz w:val="24"/>
          <w:szCs w:val="24"/>
        </w:rPr>
        <w:t xml:space="preserve"> </w:t>
      </w:r>
      <w:r w:rsidR="00296F7F">
        <w:rPr>
          <w:rFonts w:ascii="Times New Roman" w:hAnsi="Times New Roman"/>
          <w:noProof/>
          <w:sz w:val="24"/>
          <w:szCs w:val="24"/>
        </w:rPr>
        <w:t xml:space="preserve">Member States </w:t>
      </w:r>
      <w:r>
        <w:rPr>
          <w:rFonts w:ascii="Times New Roman" w:hAnsi="Times New Roman"/>
          <w:noProof/>
          <w:sz w:val="24"/>
          <w:szCs w:val="24"/>
        </w:rPr>
        <w:t xml:space="preserve">would not </w:t>
      </w:r>
      <w:r w:rsidRPr="000A72D7">
        <w:rPr>
          <w:rFonts w:ascii="Times New Roman" w:hAnsi="Times New Roman"/>
          <w:noProof/>
          <w:sz w:val="24"/>
          <w:szCs w:val="24"/>
        </w:rPr>
        <w:t>overcome current differences among SPOCs</w:t>
      </w:r>
      <w:r w:rsidR="00296F7F">
        <w:rPr>
          <w:rFonts w:ascii="Times New Roman" w:hAnsi="Times New Roman"/>
          <w:noProof/>
          <w:sz w:val="24"/>
          <w:szCs w:val="24"/>
        </w:rPr>
        <w:t xml:space="preserve"> (and in its relation with PCCCs)</w:t>
      </w:r>
      <w:r w:rsidR="00C67F82">
        <w:rPr>
          <w:rFonts w:ascii="Times New Roman" w:hAnsi="Times New Roman"/>
          <w:noProof/>
          <w:sz w:val="24"/>
          <w:szCs w:val="24"/>
        </w:rPr>
        <w:t>,</w:t>
      </w:r>
      <w:r w:rsidRPr="000A72D7">
        <w:rPr>
          <w:rFonts w:ascii="Times New Roman" w:hAnsi="Times New Roman"/>
          <w:noProof/>
          <w:sz w:val="24"/>
          <w:szCs w:val="24"/>
        </w:rPr>
        <w:t xml:space="preserve"> which hinder the </w:t>
      </w:r>
      <w:r w:rsidR="00296F7F">
        <w:rPr>
          <w:rFonts w:ascii="Times New Roman" w:hAnsi="Times New Roman"/>
          <w:noProof/>
          <w:sz w:val="24"/>
          <w:szCs w:val="24"/>
        </w:rPr>
        <w:t xml:space="preserve">efficient </w:t>
      </w:r>
      <w:r w:rsidRPr="000A72D7">
        <w:rPr>
          <w:rFonts w:ascii="Times New Roman" w:hAnsi="Times New Roman"/>
          <w:noProof/>
          <w:sz w:val="24"/>
          <w:szCs w:val="24"/>
        </w:rPr>
        <w:t>exchange of relevant information across countries</w:t>
      </w:r>
      <w:r>
        <w:rPr>
          <w:rFonts w:ascii="Times New Roman" w:hAnsi="Times New Roman"/>
          <w:noProof/>
          <w:sz w:val="24"/>
          <w:szCs w:val="24"/>
        </w:rPr>
        <w:t xml:space="preserve">. They would not </w:t>
      </w:r>
      <w:r w:rsidRPr="000A72D7">
        <w:rPr>
          <w:rFonts w:ascii="Times New Roman" w:hAnsi="Times New Roman"/>
          <w:noProof/>
          <w:sz w:val="24"/>
          <w:szCs w:val="24"/>
        </w:rPr>
        <w:t>ensure appropriate and uniform level of knowledge of and capacity to use relevant databases</w:t>
      </w:r>
      <w:r>
        <w:rPr>
          <w:rFonts w:ascii="Times New Roman" w:hAnsi="Times New Roman"/>
          <w:noProof/>
          <w:sz w:val="24"/>
          <w:szCs w:val="24"/>
        </w:rPr>
        <w:t xml:space="preserve"> and communication channels.</w:t>
      </w:r>
    </w:p>
    <w:p w14:paraId="63C9BDC8" w14:textId="77777777" w:rsidR="00C76702" w:rsidRDefault="00C76702" w:rsidP="0042592F">
      <w:pPr>
        <w:pStyle w:val="Body"/>
        <w:jc w:val="both"/>
        <w:rPr>
          <w:rFonts w:ascii="Times New Roman" w:hAnsi="Times New Roman"/>
          <w:noProof/>
          <w:sz w:val="24"/>
          <w:szCs w:val="24"/>
        </w:rPr>
      </w:pPr>
      <w:r>
        <w:rPr>
          <w:rFonts w:ascii="Times New Roman" w:hAnsi="Times New Roman"/>
          <w:noProof/>
          <w:sz w:val="24"/>
          <w:szCs w:val="24"/>
        </w:rPr>
        <w:t>T</w:t>
      </w:r>
      <w:r w:rsidRPr="0025324E">
        <w:rPr>
          <w:rFonts w:ascii="Times New Roman" w:hAnsi="Times New Roman"/>
          <w:noProof/>
          <w:sz w:val="24"/>
          <w:szCs w:val="24"/>
        </w:rPr>
        <w:t xml:space="preserve">he EU is better equipped than individual Member States </w:t>
      </w:r>
      <w:r>
        <w:rPr>
          <w:rFonts w:ascii="Times New Roman" w:hAnsi="Times New Roman"/>
          <w:noProof/>
          <w:sz w:val="24"/>
          <w:szCs w:val="24"/>
        </w:rPr>
        <w:t>t</w:t>
      </w:r>
      <w:r w:rsidRPr="0025324E">
        <w:rPr>
          <w:rFonts w:ascii="Times New Roman" w:hAnsi="Times New Roman"/>
          <w:noProof/>
          <w:sz w:val="24"/>
          <w:szCs w:val="24"/>
        </w:rPr>
        <w:t xml:space="preserve">o ensure the coherence of actions taken at the national level, address the </w:t>
      </w:r>
      <w:r>
        <w:rPr>
          <w:rFonts w:ascii="Times New Roman" w:hAnsi="Times New Roman"/>
          <w:noProof/>
          <w:sz w:val="24"/>
          <w:szCs w:val="24"/>
        </w:rPr>
        <w:t>divergence of practices</w:t>
      </w:r>
      <w:r w:rsidRPr="0025324E">
        <w:rPr>
          <w:rFonts w:ascii="Times New Roman" w:hAnsi="Times New Roman"/>
          <w:noProof/>
          <w:sz w:val="24"/>
          <w:szCs w:val="24"/>
        </w:rPr>
        <w:t xml:space="preserve">, prevent duplications and uncertainties and eventually ensure an efficient counter-action to cross-border </w:t>
      </w:r>
      <w:r>
        <w:rPr>
          <w:rFonts w:ascii="Times New Roman" w:hAnsi="Times New Roman"/>
          <w:noProof/>
          <w:sz w:val="24"/>
          <w:szCs w:val="24"/>
        </w:rPr>
        <w:t>crime.</w:t>
      </w:r>
      <w:r w:rsidR="0042592F">
        <w:rPr>
          <w:rFonts w:ascii="Times New Roman" w:hAnsi="Times New Roman"/>
          <w:noProof/>
          <w:sz w:val="24"/>
          <w:szCs w:val="24"/>
        </w:rPr>
        <w:t xml:space="preserve"> </w:t>
      </w:r>
      <w:r w:rsidRPr="000A72D7">
        <w:rPr>
          <w:rFonts w:ascii="Times New Roman" w:hAnsi="Times New Roman"/>
          <w:noProof/>
          <w:sz w:val="24"/>
          <w:szCs w:val="24"/>
        </w:rPr>
        <w:t>The need for EU intervention is widely supported by L</w:t>
      </w:r>
      <w:r w:rsidR="008E27F1">
        <w:rPr>
          <w:rFonts w:ascii="Times New Roman" w:hAnsi="Times New Roman"/>
          <w:noProof/>
          <w:sz w:val="24"/>
          <w:szCs w:val="24"/>
        </w:rPr>
        <w:t xml:space="preserve">aw </w:t>
      </w:r>
      <w:r w:rsidRPr="000A72D7">
        <w:rPr>
          <w:rFonts w:ascii="Times New Roman" w:hAnsi="Times New Roman"/>
          <w:noProof/>
          <w:sz w:val="24"/>
          <w:szCs w:val="24"/>
        </w:rPr>
        <w:t>E</w:t>
      </w:r>
      <w:r w:rsidR="008E27F1">
        <w:rPr>
          <w:rFonts w:ascii="Times New Roman" w:hAnsi="Times New Roman"/>
          <w:noProof/>
          <w:sz w:val="24"/>
          <w:szCs w:val="24"/>
        </w:rPr>
        <w:t xml:space="preserve">nforcement </w:t>
      </w:r>
      <w:r w:rsidRPr="000A72D7">
        <w:rPr>
          <w:rFonts w:ascii="Times New Roman" w:hAnsi="Times New Roman"/>
          <w:noProof/>
          <w:sz w:val="24"/>
          <w:szCs w:val="24"/>
        </w:rPr>
        <w:t>A</w:t>
      </w:r>
      <w:r w:rsidR="008E27F1">
        <w:rPr>
          <w:rFonts w:ascii="Times New Roman" w:hAnsi="Times New Roman"/>
          <w:noProof/>
          <w:sz w:val="24"/>
          <w:szCs w:val="24"/>
        </w:rPr>
        <w:t>uthorities (LEA</w:t>
      </w:r>
      <w:r w:rsidRPr="000A72D7">
        <w:rPr>
          <w:rFonts w:ascii="Times New Roman" w:hAnsi="Times New Roman"/>
          <w:noProof/>
          <w:sz w:val="24"/>
          <w:szCs w:val="24"/>
        </w:rPr>
        <w:t>s</w:t>
      </w:r>
      <w:r w:rsidR="008E27F1">
        <w:rPr>
          <w:rFonts w:ascii="Times New Roman" w:hAnsi="Times New Roman"/>
          <w:noProof/>
          <w:sz w:val="24"/>
          <w:szCs w:val="24"/>
        </w:rPr>
        <w:t>)</w:t>
      </w:r>
      <w:r w:rsidRPr="000A72D7">
        <w:rPr>
          <w:rFonts w:ascii="Times New Roman" w:hAnsi="Times New Roman"/>
          <w:noProof/>
          <w:sz w:val="24"/>
          <w:szCs w:val="24"/>
        </w:rPr>
        <w:t xml:space="preserve"> answering the survey with 82% (n=131) of respondents reporting a need for EU action from a moderate to a very high extent</w:t>
      </w:r>
      <w:r>
        <w:rPr>
          <w:rFonts w:ascii="Times New Roman" w:hAnsi="Times New Roman"/>
          <w:noProof/>
          <w:sz w:val="24"/>
          <w:szCs w:val="24"/>
        </w:rPr>
        <w:t>.</w:t>
      </w:r>
    </w:p>
    <w:p w14:paraId="4D829233" w14:textId="77777777" w:rsidR="00C76702" w:rsidRPr="002F22A9" w:rsidRDefault="00DC6C65" w:rsidP="00094199">
      <w:pPr>
        <w:pStyle w:val="Heading2"/>
        <w:rPr>
          <w:noProof/>
        </w:rPr>
      </w:pPr>
      <w:bookmarkStart w:id="46" w:name="_Toc78189684"/>
      <w:bookmarkStart w:id="47" w:name="_Toc48897632"/>
      <w:bookmarkStart w:id="48" w:name="_Toc74838165"/>
      <w:bookmarkEnd w:id="46"/>
      <w:r>
        <w:rPr>
          <w:noProof/>
        </w:rPr>
        <w:t xml:space="preserve"> </w:t>
      </w:r>
      <w:r w:rsidR="00C67F82" w:rsidRPr="002F22A9">
        <w:rPr>
          <w:noProof/>
        </w:rPr>
        <w:t xml:space="preserve"> </w:t>
      </w:r>
      <w:bookmarkStart w:id="49" w:name="_Toc83801027"/>
      <w:r w:rsidR="00C76702" w:rsidRPr="002F22A9">
        <w:rPr>
          <w:noProof/>
        </w:rPr>
        <w:t>Subsidiarity: Added value of EU action</w:t>
      </w:r>
      <w:bookmarkEnd w:id="47"/>
      <w:bookmarkEnd w:id="48"/>
      <w:bookmarkEnd w:id="49"/>
    </w:p>
    <w:p w14:paraId="252F81A0" w14:textId="77777777" w:rsidR="00C76702" w:rsidRDefault="00C76702" w:rsidP="00C76702">
      <w:pPr>
        <w:spacing w:after="120" w:line="240" w:lineRule="auto"/>
        <w:jc w:val="both"/>
        <w:rPr>
          <w:rFonts w:ascii="Times New Roman" w:hAnsi="Times New Roman" w:cs="Times New Roman"/>
          <w:noProof/>
          <w:sz w:val="24"/>
          <w:szCs w:val="24"/>
        </w:rPr>
      </w:pPr>
      <w:r w:rsidRPr="00C67F82">
        <w:rPr>
          <w:rFonts w:ascii="Times New Roman" w:hAnsi="Times New Roman" w:cs="Times New Roman"/>
          <w:noProof/>
          <w:sz w:val="24"/>
        </w:rPr>
        <w:t>EU action in response to the identified problems is expected to bring added value for the entire EU with a ripple effect on Schengen Associated Countries, and therefore to its citizens</w:t>
      </w:r>
      <w:r w:rsidRPr="009F6B64">
        <w:rPr>
          <w:rFonts w:ascii="Times New Roman" w:hAnsi="Times New Roman" w:cs="Times New Roman"/>
          <w:noProof/>
          <w:sz w:val="24"/>
          <w:szCs w:val="24"/>
        </w:rPr>
        <w:t>. Common EU level rules, standards and requirements facilitat</w:t>
      </w:r>
      <w:r w:rsidR="006412C2">
        <w:rPr>
          <w:rFonts w:ascii="Times New Roman" w:hAnsi="Times New Roman" w:cs="Times New Roman"/>
          <w:noProof/>
          <w:sz w:val="24"/>
          <w:szCs w:val="24"/>
        </w:rPr>
        <w:t>ing</w:t>
      </w:r>
      <w:r w:rsidRPr="009F6B64">
        <w:rPr>
          <w:rFonts w:ascii="Times New Roman" w:hAnsi="Times New Roman" w:cs="Times New Roman"/>
          <w:noProof/>
          <w:sz w:val="24"/>
          <w:szCs w:val="24"/>
        </w:rPr>
        <w:t xml:space="preserve"> these</w:t>
      </w:r>
      <w:r>
        <w:rPr>
          <w:rFonts w:ascii="Times New Roman" w:hAnsi="Times New Roman" w:cs="Times New Roman"/>
          <w:noProof/>
          <w:sz w:val="24"/>
          <w:szCs w:val="24"/>
        </w:rPr>
        <w:t xml:space="preserve"> information</w:t>
      </w:r>
      <w:r w:rsidRPr="009F6B64">
        <w:rPr>
          <w:rFonts w:ascii="Times New Roman" w:hAnsi="Times New Roman" w:cs="Times New Roman"/>
          <w:noProof/>
          <w:sz w:val="24"/>
          <w:szCs w:val="24"/>
        </w:rPr>
        <w:t xml:space="preserve"> exchanges</w:t>
      </w:r>
      <w:r>
        <w:rPr>
          <w:rFonts w:ascii="Times New Roman" w:hAnsi="Times New Roman" w:cs="Times New Roman"/>
          <w:noProof/>
          <w:sz w:val="24"/>
          <w:szCs w:val="24"/>
        </w:rPr>
        <w:t xml:space="preserve"> </w:t>
      </w:r>
      <w:r w:rsidR="006412C2">
        <w:rPr>
          <w:rFonts w:ascii="Times New Roman" w:hAnsi="Times New Roman" w:cs="Times New Roman"/>
          <w:noProof/>
          <w:sz w:val="24"/>
          <w:szCs w:val="24"/>
        </w:rPr>
        <w:t xml:space="preserve">on cross-border crime between law enforcement authorities </w:t>
      </w:r>
      <w:r w:rsidR="000C0CBE">
        <w:rPr>
          <w:rFonts w:ascii="Times New Roman" w:hAnsi="Times New Roman" w:cs="Times New Roman"/>
          <w:noProof/>
          <w:sz w:val="24"/>
          <w:szCs w:val="24"/>
        </w:rPr>
        <w:t xml:space="preserve">will generate significant </w:t>
      </w:r>
      <w:r w:rsidR="000C0CBE" w:rsidRPr="000C0CBE">
        <w:rPr>
          <w:rFonts w:ascii="Times New Roman" w:hAnsi="Times New Roman" w:cs="Times New Roman"/>
          <w:b/>
          <w:noProof/>
          <w:sz w:val="24"/>
          <w:szCs w:val="24"/>
        </w:rPr>
        <w:t>economies of scale</w:t>
      </w:r>
      <w:r w:rsidR="000C0CBE">
        <w:rPr>
          <w:rFonts w:ascii="Times New Roman" w:hAnsi="Times New Roman" w:cs="Times New Roman"/>
          <w:b/>
          <w:noProof/>
          <w:sz w:val="24"/>
          <w:szCs w:val="24"/>
        </w:rPr>
        <w:t xml:space="preserve"> </w:t>
      </w:r>
      <w:r w:rsidR="000C0CBE" w:rsidRPr="000C0CBE">
        <w:rPr>
          <w:rFonts w:ascii="Times New Roman" w:hAnsi="Times New Roman" w:cs="Times New Roman"/>
          <w:noProof/>
          <w:sz w:val="24"/>
          <w:szCs w:val="24"/>
        </w:rPr>
        <w:t>while ensuring</w:t>
      </w:r>
      <w:r w:rsidR="000C0CBE">
        <w:rPr>
          <w:rFonts w:ascii="Times New Roman" w:hAnsi="Times New Roman" w:cs="Times New Roman"/>
          <w:b/>
          <w:noProof/>
          <w:sz w:val="24"/>
          <w:szCs w:val="24"/>
        </w:rPr>
        <w:t xml:space="preserve"> </w:t>
      </w:r>
      <w:r w:rsidRPr="009F6B64">
        <w:rPr>
          <w:rFonts w:ascii="Times New Roman" w:hAnsi="Times New Roman" w:cs="Times New Roman"/>
          <w:noProof/>
          <w:sz w:val="24"/>
          <w:szCs w:val="24"/>
        </w:rPr>
        <w:t>high-level</w:t>
      </w:r>
      <w:r>
        <w:rPr>
          <w:rFonts w:ascii="Times New Roman" w:hAnsi="Times New Roman" w:cs="Times New Roman"/>
          <w:noProof/>
          <w:sz w:val="24"/>
          <w:szCs w:val="24"/>
        </w:rPr>
        <w:t xml:space="preserve"> </w:t>
      </w:r>
      <w:r w:rsidRPr="000C0CBE">
        <w:rPr>
          <w:rFonts w:ascii="Times New Roman" w:hAnsi="Times New Roman" w:cs="Times New Roman"/>
          <w:b/>
          <w:noProof/>
          <w:sz w:val="24"/>
          <w:szCs w:val="24"/>
        </w:rPr>
        <w:t>data security and data protection standards</w:t>
      </w:r>
      <w:r w:rsidRPr="009F6B64">
        <w:rPr>
          <w:rFonts w:ascii="Times New Roman" w:hAnsi="Times New Roman" w:cs="Times New Roman"/>
          <w:noProof/>
          <w:sz w:val="24"/>
          <w:szCs w:val="24"/>
        </w:rPr>
        <w:t xml:space="preserve">. </w:t>
      </w:r>
    </w:p>
    <w:p w14:paraId="2A8C9B76" w14:textId="77777777" w:rsidR="00C76702" w:rsidRDefault="00C76702" w:rsidP="00C76702">
      <w:pPr>
        <w:spacing w:after="120" w:line="240" w:lineRule="auto"/>
        <w:jc w:val="both"/>
        <w:rPr>
          <w:rFonts w:ascii="Times New Roman" w:hAnsi="Times New Roman" w:cs="Times New Roman"/>
          <w:noProof/>
          <w:sz w:val="24"/>
          <w:szCs w:val="24"/>
        </w:rPr>
      </w:pPr>
      <w:r w:rsidRPr="009F6B64">
        <w:rPr>
          <w:rFonts w:ascii="Times New Roman" w:hAnsi="Times New Roman" w:cs="Times New Roman"/>
          <w:noProof/>
          <w:sz w:val="24"/>
          <w:szCs w:val="24"/>
        </w:rPr>
        <w:t xml:space="preserve">Additionally, common standards allow for </w:t>
      </w:r>
      <w:r w:rsidR="000C0CBE">
        <w:rPr>
          <w:rFonts w:ascii="Times New Roman" w:hAnsi="Times New Roman" w:cs="Times New Roman"/>
          <w:noProof/>
          <w:sz w:val="24"/>
          <w:szCs w:val="24"/>
        </w:rPr>
        <w:t xml:space="preserve">the </w:t>
      </w:r>
      <w:r w:rsidRPr="009F6B64">
        <w:rPr>
          <w:rFonts w:ascii="Times New Roman" w:hAnsi="Times New Roman" w:cs="Times New Roman"/>
          <w:noProof/>
          <w:sz w:val="24"/>
          <w:szCs w:val="24"/>
        </w:rPr>
        <w:t xml:space="preserve">automation </w:t>
      </w:r>
      <w:r w:rsidR="000C0CBE">
        <w:rPr>
          <w:rFonts w:ascii="Times New Roman" w:hAnsi="Times New Roman" w:cs="Times New Roman"/>
          <w:noProof/>
          <w:sz w:val="24"/>
          <w:szCs w:val="24"/>
        </w:rPr>
        <w:t xml:space="preserve">of </w:t>
      </w:r>
      <w:r w:rsidRPr="009F6B64">
        <w:rPr>
          <w:rFonts w:ascii="Times New Roman" w:hAnsi="Times New Roman" w:cs="Times New Roman"/>
          <w:noProof/>
          <w:sz w:val="24"/>
          <w:szCs w:val="24"/>
        </w:rPr>
        <w:t>information exchange workflows</w:t>
      </w:r>
      <w:r w:rsidR="00086570">
        <w:rPr>
          <w:rFonts w:ascii="Times New Roman" w:hAnsi="Times New Roman" w:cs="Times New Roman"/>
          <w:noProof/>
          <w:sz w:val="24"/>
          <w:szCs w:val="24"/>
        </w:rPr>
        <w:t>,</w:t>
      </w:r>
      <w:r w:rsidRPr="009F6B64">
        <w:rPr>
          <w:rFonts w:ascii="Times New Roman" w:hAnsi="Times New Roman" w:cs="Times New Roman"/>
          <w:noProof/>
          <w:sz w:val="24"/>
          <w:szCs w:val="24"/>
        </w:rPr>
        <w:t xml:space="preserve"> releas</w:t>
      </w:r>
      <w:r>
        <w:rPr>
          <w:rFonts w:ascii="Times New Roman" w:hAnsi="Times New Roman" w:cs="Times New Roman"/>
          <w:noProof/>
          <w:sz w:val="24"/>
          <w:szCs w:val="24"/>
        </w:rPr>
        <w:t>ing</w:t>
      </w:r>
      <w:r w:rsidRPr="009F6B64">
        <w:rPr>
          <w:rFonts w:ascii="Times New Roman" w:hAnsi="Times New Roman" w:cs="Times New Roman"/>
          <w:noProof/>
          <w:sz w:val="24"/>
          <w:szCs w:val="24"/>
        </w:rPr>
        <w:t xml:space="preserve"> law enforcement officers from </w:t>
      </w:r>
      <w:r w:rsidR="00D55270">
        <w:rPr>
          <w:rFonts w:ascii="Times New Roman" w:hAnsi="Times New Roman" w:cs="Times New Roman"/>
          <w:noProof/>
          <w:sz w:val="24"/>
          <w:szCs w:val="24"/>
        </w:rPr>
        <w:t xml:space="preserve">a number of </w:t>
      </w:r>
      <w:r w:rsidRPr="009F6B64">
        <w:rPr>
          <w:rFonts w:ascii="Times New Roman" w:hAnsi="Times New Roman" w:cs="Times New Roman"/>
          <w:noProof/>
          <w:sz w:val="24"/>
          <w:szCs w:val="24"/>
        </w:rPr>
        <w:t>labour-intensive</w:t>
      </w:r>
      <w:r>
        <w:rPr>
          <w:rFonts w:ascii="Times New Roman" w:hAnsi="Times New Roman" w:cs="Times New Roman"/>
          <w:noProof/>
          <w:sz w:val="24"/>
          <w:szCs w:val="24"/>
        </w:rPr>
        <w:t>/time-consuming</w:t>
      </w:r>
      <w:r w:rsidRPr="009F6B64">
        <w:rPr>
          <w:rFonts w:ascii="Times New Roman" w:hAnsi="Times New Roman" w:cs="Times New Roman"/>
          <w:noProof/>
          <w:sz w:val="24"/>
          <w:szCs w:val="24"/>
        </w:rPr>
        <w:t xml:space="preserve"> manual activities</w:t>
      </w:r>
      <w:r w:rsidR="000C0CBE">
        <w:rPr>
          <w:rFonts w:ascii="Times New Roman" w:hAnsi="Times New Roman" w:cs="Times New Roman"/>
          <w:noProof/>
          <w:sz w:val="24"/>
          <w:szCs w:val="24"/>
        </w:rPr>
        <w:t xml:space="preserve">, </w:t>
      </w:r>
      <w:r w:rsidR="000C0CBE" w:rsidRPr="000C0CBE">
        <w:rPr>
          <w:rFonts w:ascii="Times New Roman" w:hAnsi="Times New Roman" w:cs="Times New Roman"/>
          <w:b/>
          <w:noProof/>
          <w:sz w:val="24"/>
          <w:szCs w:val="24"/>
        </w:rPr>
        <w:t>thereby increasing the efficiency and effectiveness of national practices</w:t>
      </w:r>
      <w:r>
        <w:rPr>
          <w:rFonts w:ascii="Times New Roman" w:hAnsi="Times New Roman" w:cs="Times New Roman"/>
          <w:noProof/>
          <w:sz w:val="24"/>
          <w:szCs w:val="24"/>
        </w:rPr>
        <w:t>.</w:t>
      </w:r>
    </w:p>
    <w:p w14:paraId="6F34CA84" w14:textId="308DFC7A" w:rsidR="00C76702" w:rsidRDefault="00C76702" w:rsidP="00C76702">
      <w:pPr>
        <w:spacing w:after="120" w:line="240" w:lineRule="auto"/>
        <w:jc w:val="both"/>
        <w:rPr>
          <w:rFonts w:ascii="Times New Roman" w:hAnsi="Times New Roman" w:cs="Times New Roman"/>
          <w:noProof/>
          <w:sz w:val="24"/>
        </w:rPr>
      </w:pPr>
      <w:r w:rsidRPr="00FB6054">
        <w:rPr>
          <w:rFonts w:ascii="Times New Roman" w:hAnsi="Times New Roman" w:cs="Times New Roman"/>
          <w:noProof/>
          <w:sz w:val="24"/>
          <w:szCs w:val="24"/>
        </w:rPr>
        <w:t>Law enforcement cooperation at EU</w:t>
      </w:r>
      <w:r w:rsidR="00D55270">
        <w:rPr>
          <w:rFonts w:ascii="Times New Roman" w:hAnsi="Times New Roman" w:cs="Times New Roman"/>
          <w:noProof/>
          <w:sz w:val="24"/>
          <w:szCs w:val="24"/>
        </w:rPr>
        <w:t xml:space="preserve"> </w:t>
      </w:r>
      <w:r w:rsidRPr="00FB6054">
        <w:rPr>
          <w:rFonts w:ascii="Times New Roman" w:hAnsi="Times New Roman" w:cs="Times New Roman"/>
          <w:noProof/>
          <w:sz w:val="24"/>
          <w:szCs w:val="24"/>
        </w:rPr>
        <w:t>level does not replace different national policies on internal security. It does not substitute the work of national law enforcement authorities. Quite the contrary, EU</w:t>
      </w:r>
      <w:r w:rsidR="00D55270">
        <w:rPr>
          <w:rFonts w:ascii="Times New Roman" w:hAnsi="Times New Roman" w:cs="Times New Roman"/>
          <w:noProof/>
          <w:sz w:val="24"/>
          <w:szCs w:val="24"/>
        </w:rPr>
        <w:t xml:space="preserve"> </w:t>
      </w:r>
      <w:r w:rsidRPr="00FB6054">
        <w:rPr>
          <w:rFonts w:ascii="Times New Roman" w:hAnsi="Times New Roman" w:cs="Times New Roman"/>
          <w:noProof/>
          <w:sz w:val="24"/>
          <w:szCs w:val="24"/>
        </w:rPr>
        <w:t>level action support</w:t>
      </w:r>
      <w:r>
        <w:rPr>
          <w:rFonts w:ascii="Times New Roman" w:hAnsi="Times New Roman" w:cs="Times New Roman"/>
          <w:noProof/>
          <w:sz w:val="24"/>
          <w:szCs w:val="24"/>
        </w:rPr>
        <w:t>s</w:t>
      </w:r>
      <w:r w:rsidRPr="00FB6054">
        <w:rPr>
          <w:rFonts w:ascii="Times New Roman" w:hAnsi="Times New Roman" w:cs="Times New Roman"/>
          <w:noProof/>
          <w:sz w:val="24"/>
          <w:szCs w:val="24"/>
        </w:rPr>
        <w:t xml:space="preserve"> and reinforce</w:t>
      </w:r>
      <w:r>
        <w:rPr>
          <w:rFonts w:ascii="Times New Roman" w:hAnsi="Times New Roman" w:cs="Times New Roman"/>
          <w:noProof/>
          <w:sz w:val="24"/>
          <w:szCs w:val="24"/>
        </w:rPr>
        <w:t>s</w:t>
      </w:r>
      <w:r w:rsidRPr="00FB6054">
        <w:rPr>
          <w:rFonts w:ascii="Times New Roman" w:hAnsi="Times New Roman" w:cs="Times New Roman"/>
          <w:noProof/>
          <w:sz w:val="24"/>
          <w:szCs w:val="24"/>
        </w:rPr>
        <w:t xml:space="preserve"> national security policies and the work of national law enforcement authorities, helping them to enforce the law against criminals and terrorist</w:t>
      </w:r>
      <w:r w:rsidR="00086570">
        <w:rPr>
          <w:rFonts w:ascii="Times New Roman" w:hAnsi="Times New Roman" w:cs="Times New Roman"/>
          <w:noProof/>
          <w:sz w:val="24"/>
          <w:szCs w:val="24"/>
        </w:rPr>
        <w:t>s</w:t>
      </w:r>
      <w:r w:rsidRPr="00FB6054">
        <w:rPr>
          <w:rFonts w:ascii="Times New Roman" w:hAnsi="Times New Roman" w:cs="Times New Roman"/>
          <w:noProof/>
          <w:sz w:val="24"/>
          <w:szCs w:val="24"/>
        </w:rPr>
        <w:t xml:space="preserve"> that act across borders. Differences in the legal</w:t>
      </w:r>
      <w:r>
        <w:rPr>
          <w:noProof/>
        </w:rPr>
        <w:t xml:space="preserve"> </w:t>
      </w:r>
      <w:r w:rsidRPr="00FB6054">
        <w:rPr>
          <w:rFonts w:ascii="Times New Roman" w:hAnsi="Times New Roman" w:cs="Times New Roman"/>
          <w:noProof/>
          <w:sz w:val="24"/>
        </w:rPr>
        <w:t xml:space="preserve">systems and traditions of the Member States, </w:t>
      </w:r>
      <w:r>
        <w:rPr>
          <w:rFonts w:ascii="Times New Roman" w:hAnsi="Times New Roman" w:cs="Times New Roman"/>
          <w:noProof/>
          <w:sz w:val="24"/>
        </w:rPr>
        <w:t>as acknowledged by the Treaties</w:t>
      </w:r>
      <w:r w:rsidRPr="00FB6054">
        <w:rPr>
          <w:rStyle w:val="FootnoteReference"/>
          <w:rFonts w:ascii="Times New Roman" w:hAnsi="Times New Roman" w:cs="Times New Roman"/>
          <w:noProof/>
          <w:sz w:val="24"/>
        </w:rPr>
        <w:footnoteReference w:id="83"/>
      </w:r>
      <w:r>
        <w:rPr>
          <w:rFonts w:ascii="Times New Roman" w:hAnsi="Times New Roman" w:cs="Times New Roman"/>
          <w:noProof/>
          <w:sz w:val="24"/>
        </w:rPr>
        <w:t>,</w:t>
      </w:r>
      <w:r w:rsidRPr="00FB6054">
        <w:rPr>
          <w:rFonts w:ascii="Times New Roman" w:hAnsi="Times New Roman" w:cs="Times New Roman"/>
          <w:noProof/>
          <w:sz w:val="24"/>
        </w:rPr>
        <w:t xml:space="preserve"> remain unaffected by this EU level support.</w:t>
      </w:r>
      <w:r w:rsidR="007D4984">
        <w:rPr>
          <w:rFonts w:ascii="Times New Roman" w:hAnsi="Times New Roman" w:cs="Times New Roman"/>
          <w:noProof/>
          <w:sz w:val="24"/>
        </w:rPr>
        <w:t xml:space="preserve"> The envisaged proposal, a Directive, would introduce an </w:t>
      </w:r>
      <w:r w:rsidR="007D4984" w:rsidRPr="002F6386">
        <w:rPr>
          <w:rFonts w:ascii="Times New Roman" w:hAnsi="Times New Roman" w:cs="Times New Roman"/>
          <w:b/>
          <w:noProof/>
          <w:sz w:val="24"/>
        </w:rPr>
        <w:t>obligation of result</w:t>
      </w:r>
      <w:r w:rsidR="007D4984">
        <w:rPr>
          <w:rFonts w:ascii="Times New Roman" w:hAnsi="Times New Roman" w:cs="Times New Roman"/>
          <w:noProof/>
          <w:sz w:val="24"/>
        </w:rPr>
        <w:t>. In full line with the subsidiarity principle, Member States will remain free to determine the most appropriate means to achieve the prescribed results.</w:t>
      </w:r>
    </w:p>
    <w:p w14:paraId="5234BE61" w14:textId="26506050" w:rsidR="00C76702" w:rsidRPr="00BA0C13" w:rsidRDefault="00173E60" w:rsidP="00173E60">
      <w:pPr>
        <w:pStyle w:val="Heading1"/>
        <w:rPr>
          <w:noProof/>
        </w:rPr>
      </w:pPr>
      <w:bookmarkStart w:id="50" w:name="_Toc48897633"/>
      <w:bookmarkStart w:id="51" w:name="_Toc74838166"/>
      <w:bookmarkStart w:id="52" w:name="_Toc83801028"/>
      <w:r w:rsidRPr="00173E60">
        <w:t>4.</w:t>
      </w:r>
      <w:r w:rsidRPr="00173E60">
        <w:tab/>
      </w:r>
      <w:r w:rsidR="00C76702" w:rsidRPr="00BA0C13">
        <w:rPr>
          <w:noProof/>
        </w:rPr>
        <w:t>Objectives: What is to be achieved?</w:t>
      </w:r>
      <w:bookmarkEnd w:id="50"/>
      <w:bookmarkEnd w:id="51"/>
      <w:bookmarkEnd w:id="52"/>
    </w:p>
    <w:p w14:paraId="4C787630" w14:textId="77777777" w:rsidR="008E75D7" w:rsidRPr="008E75D7" w:rsidRDefault="008E75D7" w:rsidP="008E75D7">
      <w:pPr>
        <w:pStyle w:val="ListParagraph"/>
        <w:numPr>
          <w:ilvl w:val="0"/>
          <w:numId w:val="77"/>
        </w:numPr>
        <w:spacing w:after="120" w:line="240" w:lineRule="auto"/>
        <w:contextualSpacing w:val="0"/>
        <w:jc w:val="both"/>
        <w:outlineLvl w:val="1"/>
        <w:rPr>
          <w:rFonts w:ascii="Times New Roman" w:eastAsia="Times New Roman" w:hAnsi="Times New Roman" w:cs="Times New Roman"/>
          <w:b/>
          <w:noProof/>
          <w:vanish/>
          <w:sz w:val="24"/>
          <w:szCs w:val="24"/>
          <w:shd w:val="clear" w:color="auto" w:fill="FFFFFF"/>
        </w:rPr>
      </w:pPr>
      <w:bookmarkStart w:id="53" w:name="_Toc48897634"/>
      <w:bookmarkStart w:id="54" w:name="_Toc74838167"/>
    </w:p>
    <w:p w14:paraId="445AFF4E" w14:textId="77777777" w:rsidR="00C76702" w:rsidRPr="002F22A9" w:rsidRDefault="00C67F82" w:rsidP="00094199">
      <w:pPr>
        <w:pStyle w:val="Heading2"/>
        <w:rPr>
          <w:noProof/>
        </w:rPr>
      </w:pPr>
      <w:r w:rsidRPr="002F22A9">
        <w:rPr>
          <w:noProof/>
        </w:rPr>
        <w:t xml:space="preserve"> </w:t>
      </w:r>
      <w:r w:rsidR="00DC6C65">
        <w:rPr>
          <w:noProof/>
        </w:rPr>
        <w:t xml:space="preserve"> </w:t>
      </w:r>
      <w:bookmarkStart w:id="55" w:name="_Toc83801029"/>
      <w:r w:rsidR="00C76702" w:rsidRPr="002F22A9">
        <w:rPr>
          <w:noProof/>
        </w:rPr>
        <w:t>General objective</w:t>
      </w:r>
      <w:bookmarkEnd w:id="53"/>
      <w:bookmarkEnd w:id="54"/>
      <w:bookmarkEnd w:id="55"/>
    </w:p>
    <w:p w14:paraId="72013471" w14:textId="77777777" w:rsidR="00C76702" w:rsidRDefault="00C76702" w:rsidP="00C76702">
      <w:pPr>
        <w:pStyle w:val="Text2"/>
        <w:spacing w:after="120"/>
        <w:ind w:left="0"/>
        <w:rPr>
          <w:noProof/>
        </w:rPr>
      </w:pPr>
      <w:r w:rsidRPr="00362D3A">
        <w:rPr>
          <w:noProof/>
        </w:rPr>
        <w:t xml:space="preserve">Law enforcement work is inherently an information-based activity. </w:t>
      </w:r>
      <w:r w:rsidR="00F9570F">
        <w:rPr>
          <w:noProof/>
        </w:rPr>
        <w:t>The s</w:t>
      </w:r>
      <w:r w:rsidRPr="00362D3A">
        <w:rPr>
          <w:noProof/>
        </w:rPr>
        <w:t>uccessful prevent</w:t>
      </w:r>
      <w:r w:rsidR="00F9570F">
        <w:rPr>
          <w:noProof/>
        </w:rPr>
        <w:t>ion</w:t>
      </w:r>
      <w:r>
        <w:rPr>
          <w:noProof/>
        </w:rPr>
        <w:t>, detect</w:t>
      </w:r>
      <w:r w:rsidR="00F9570F">
        <w:rPr>
          <w:noProof/>
        </w:rPr>
        <w:t>ion</w:t>
      </w:r>
      <w:r w:rsidRPr="00362D3A">
        <w:rPr>
          <w:noProof/>
        </w:rPr>
        <w:t xml:space="preserve"> and investigat</w:t>
      </w:r>
      <w:r w:rsidR="00F9570F">
        <w:rPr>
          <w:noProof/>
        </w:rPr>
        <w:t>ion of</w:t>
      </w:r>
      <w:r w:rsidRPr="00362D3A">
        <w:rPr>
          <w:noProof/>
        </w:rPr>
        <w:t xml:space="preserve"> </w:t>
      </w:r>
      <w:r w:rsidR="007D27F6">
        <w:rPr>
          <w:noProof/>
        </w:rPr>
        <w:t>criminal offences</w:t>
      </w:r>
      <w:r w:rsidRPr="00362D3A">
        <w:rPr>
          <w:noProof/>
        </w:rPr>
        <w:t xml:space="preserve">, </w:t>
      </w:r>
      <w:r>
        <w:rPr>
          <w:noProof/>
        </w:rPr>
        <w:t xml:space="preserve">require a </w:t>
      </w:r>
      <w:r w:rsidRPr="00362D3A">
        <w:rPr>
          <w:noProof/>
        </w:rPr>
        <w:t xml:space="preserve">fast, streamlined and systematic access to all </w:t>
      </w:r>
      <w:r>
        <w:rPr>
          <w:noProof/>
        </w:rPr>
        <w:t>relevant information.</w:t>
      </w:r>
    </w:p>
    <w:p w14:paraId="3345BC7A" w14:textId="77777777" w:rsidR="00C76702" w:rsidRPr="00CA01AC" w:rsidRDefault="00C76702" w:rsidP="00C76702">
      <w:pPr>
        <w:spacing w:after="240" w:line="240" w:lineRule="auto"/>
        <w:jc w:val="both"/>
        <w:rPr>
          <w:rFonts w:ascii="Times New Roman" w:hAnsi="Times New Roman" w:cs="Times New Roman"/>
          <w:noProof/>
          <w:sz w:val="28"/>
        </w:rPr>
      </w:pPr>
      <w:r w:rsidRPr="00CA01AC">
        <w:rPr>
          <w:rFonts w:ascii="Times New Roman" w:hAnsi="Times New Roman" w:cs="Times New Roman"/>
          <w:noProof/>
          <w:sz w:val="24"/>
        </w:rPr>
        <w:t xml:space="preserve">The </w:t>
      </w:r>
      <w:r>
        <w:rPr>
          <w:rFonts w:ascii="Times New Roman" w:hAnsi="Times New Roman" w:cs="Times New Roman"/>
          <w:noProof/>
          <w:sz w:val="24"/>
        </w:rPr>
        <w:t xml:space="preserve">general </w:t>
      </w:r>
      <w:r w:rsidRPr="00CA01AC">
        <w:rPr>
          <w:rFonts w:ascii="Times New Roman" w:hAnsi="Times New Roman" w:cs="Times New Roman"/>
          <w:noProof/>
          <w:sz w:val="24"/>
        </w:rPr>
        <w:t xml:space="preserve">objective of the initiative is to </w:t>
      </w:r>
      <w:r w:rsidRPr="0025324E">
        <w:rPr>
          <w:rFonts w:ascii="Times New Roman" w:hAnsi="Times New Roman" w:cs="Times New Roman"/>
          <w:noProof/>
          <w:sz w:val="24"/>
          <w:szCs w:val="24"/>
        </w:rPr>
        <w:t>ensure the timely access and the smooth exchange of necessary information</w:t>
      </w:r>
      <w:r w:rsidR="00086570">
        <w:rPr>
          <w:rFonts w:ascii="Times New Roman" w:hAnsi="Times New Roman" w:cs="Times New Roman"/>
          <w:noProof/>
          <w:sz w:val="24"/>
          <w:szCs w:val="24"/>
        </w:rPr>
        <w:t xml:space="preserve">, thereby </w:t>
      </w:r>
      <w:r w:rsidRPr="0025324E">
        <w:rPr>
          <w:rFonts w:ascii="Times New Roman" w:hAnsi="Times New Roman" w:cs="Times New Roman"/>
          <w:noProof/>
          <w:sz w:val="24"/>
          <w:szCs w:val="24"/>
        </w:rPr>
        <w:t>enabling effective</w:t>
      </w:r>
      <w:r>
        <w:rPr>
          <w:rFonts w:ascii="Times New Roman" w:hAnsi="Times New Roman" w:cs="Times New Roman"/>
          <w:noProof/>
          <w:sz w:val="24"/>
          <w:szCs w:val="24"/>
        </w:rPr>
        <w:t xml:space="preserve"> and efficient </w:t>
      </w:r>
      <w:r w:rsidRPr="0025324E">
        <w:rPr>
          <w:rFonts w:ascii="Times New Roman" w:hAnsi="Times New Roman" w:cs="Times New Roman"/>
          <w:noProof/>
          <w:sz w:val="24"/>
          <w:szCs w:val="24"/>
        </w:rPr>
        <w:t>cooperation between law enforcement authorities to counter the cross-border dimension of criminal action</w:t>
      </w:r>
      <w:r w:rsidRPr="0025324E">
        <w:rPr>
          <w:rFonts w:ascii="Times New Roman" w:hAnsi="Times New Roman" w:cs="Times New Roman"/>
          <w:noProof/>
          <w:sz w:val="24"/>
        </w:rPr>
        <w:t xml:space="preserve"> </w:t>
      </w:r>
      <w:r w:rsidRPr="00CA01AC">
        <w:rPr>
          <w:rFonts w:ascii="Times New Roman" w:hAnsi="Times New Roman" w:cs="Times New Roman"/>
          <w:noProof/>
          <w:sz w:val="24"/>
        </w:rPr>
        <w:t>while ensuring a high level of protection of fundamental rights and personal data</w:t>
      </w:r>
      <w:r>
        <w:rPr>
          <w:rFonts w:ascii="Times New Roman" w:hAnsi="Times New Roman" w:cs="Times New Roman"/>
          <w:noProof/>
          <w:sz w:val="24"/>
          <w:szCs w:val="24"/>
        </w:rPr>
        <w:t>.</w:t>
      </w:r>
    </w:p>
    <w:p w14:paraId="155C5DAE" w14:textId="77777777" w:rsidR="00C76702" w:rsidRPr="002F22A9" w:rsidRDefault="00C67F82" w:rsidP="00094199">
      <w:pPr>
        <w:pStyle w:val="Heading2"/>
        <w:rPr>
          <w:noProof/>
        </w:rPr>
      </w:pPr>
      <w:bookmarkStart w:id="56" w:name="_Toc48897635"/>
      <w:bookmarkStart w:id="57" w:name="_Toc74838168"/>
      <w:r w:rsidRPr="002F22A9">
        <w:rPr>
          <w:noProof/>
        </w:rPr>
        <w:t xml:space="preserve"> </w:t>
      </w:r>
      <w:r w:rsidR="00DC6C65">
        <w:rPr>
          <w:noProof/>
        </w:rPr>
        <w:t xml:space="preserve"> </w:t>
      </w:r>
      <w:bookmarkStart w:id="58" w:name="_Toc83801030"/>
      <w:r w:rsidR="00C76702" w:rsidRPr="002F22A9">
        <w:rPr>
          <w:noProof/>
        </w:rPr>
        <w:t>Specific objective</w:t>
      </w:r>
      <w:bookmarkEnd w:id="56"/>
      <w:r w:rsidR="00C76702" w:rsidRPr="002F22A9">
        <w:rPr>
          <w:noProof/>
        </w:rPr>
        <w:t>s</w:t>
      </w:r>
      <w:bookmarkEnd w:id="57"/>
      <w:bookmarkEnd w:id="58"/>
    </w:p>
    <w:p w14:paraId="13828905" w14:textId="77777777" w:rsidR="00C76702" w:rsidRDefault="00C76702" w:rsidP="00C76702">
      <w:pPr>
        <w:spacing w:after="120" w:line="240" w:lineRule="auto"/>
        <w:jc w:val="both"/>
        <w:rPr>
          <w:rFonts w:ascii="Times New Roman" w:hAnsi="Times New Roman" w:cs="Times New Roman"/>
          <w:noProof/>
          <w:sz w:val="24"/>
        </w:rPr>
      </w:pPr>
      <w:r w:rsidRPr="001C139F">
        <w:rPr>
          <w:rFonts w:ascii="Times New Roman" w:hAnsi="Times New Roman" w:cs="Times New Roman"/>
          <w:noProof/>
          <w:sz w:val="24"/>
        </w:rPr>
        <w:t>The spe</w:t>
      </w:r>
      <w:r>
        <w:rPr>
          <w:rFonts w:ascii="Times New Roman" w:hAnsi="Times New Roman" w:cs="Times New Roman"/>
          <w:noProof/>
          <w:sz w:val="24"/>
        </w:rPr>
        <w:t xml:space="preserve">cific policy objectives </w:t>
      </w:r>
      <w:r w:rsidRPr="00896052">
        <w:rPr>
          <w:rFonts w:ascii="Times New Roman" w:eastAsia="Calibri" w:hAnsi="Times New Roman" w:cs="Times New Roman"/>
          <w:noProof/>
          <w:sz w:val="24"/>
        </w:rPr>
        <w:t>of this initiative</w:t>
      </w:r>
      <w:r w:rsidRPr="00896052">
        <w:rPr>
          <w:rFonts w:ascii="Times New Roman" w:hAnsi="Times New Roman" w:cs="Times New Roman"/>
          <w:noProof/>
          <w:sz w:val="28"/>
        </w:rPr>
        <w:t xml:space="preserve"> </w:t>
      </w:r>
      <w:r w:rsidRPr="001C139F">
        <w:rPr>
          <w:rFonts w:ascii="Times New Roman" w:hAnsi="Times New Roman" w:cs="Times New Roman"/>
          <w:noProof/>
          <w:sz w:val="24"/>
        </w:rPr>
        <w:t xml:space="preserve">respond to the </w:t>
      </w:r>
      <w:r>
        <w:rPr>
          <w:rFonts w:ascii="Times New Roman" w:hAnsi="Times New Roman" w:cs="Times New Roman"/>
          <w:noProof/>
          <w:sz w:val="24"/>
        </w:rPr>
        <w:t>three</w:t>
      </w:r>
      <w:r w:rsidRPr="001C139F">
        <w:rPr>
          <w:rFonts w:ascii="Times New Roman" w:hAnsi="Times New Roman" w:cs="Times New Roman"/>
          <w:noProof/>
          <w:sz w:val="24"/>
        </w:rPr>
        <w:t xml:space="preserve"> problems identified in </w:t>
      </w:r>
      <w:r>
        <w:rPr>
          <w:rFonts w:ascii="Times New Roman" w:hAnsi="Times New Roman" w:cs="Times New Roman"/>
          <w:noProof/>
          <w:sz w:val="24"/>
        </w:rPr>
        <w:t xml:space="preserve">chapter </w:t>
      </w:r>
      <w:r w:rsidRPr="001C139F">
        <w:rPr>
          <w:rFonts w:ascii="Times New Roman" w:hAnsi="Times New Roman" w:cs="Times New Roman"/>
          <w:noProof/>
          <w:sz w:val="24"/>
        </w:rPr>
        <w:t>2</w:t>
      </w:r>
      <w:r>
        <w:rPr>
          <w:rFonts w:ascii="Times New Roman" w:hAnsi="Times New Roman" w:cs="Times New Roman"/>
          <w:noProof/>
          <w:sz w:val="24"/>
        </w:rPr>
        <w:t>:</w:t>
      </w:r>
    </w:p>
    <w:p w14:paraId="11CF501F" w14:textId="77777777" w:rsidR="00C76702" w:rsidRPr="00DC040D" w:rsidRDefault="00C76702" w:rsidP="00A25CF8">
      <w:pPr>
        <w:pStyle w:val="ListParagraph"/>
        <w:numPr>
          <w:ilvl w:val="0"/>
          <w:numId w:val="17"/>
        </w:numPr>
        <w:spacing w:after="60" w:line="240" w:lineRule="auto"/>
        <w:ind w:left="714" w:hanging="357"/>
        <w:contextualSpacing w:val="0"/>
        <w:jc w:val="both"/>
        <w:rPr>
          <w:rFonts w:ascii="Times New Roman" w:hAnsi="Times New Roman" w:cs="Times New Roman"/>
          <w:noProof/>
          <w:sz w:val="28"/>
        </w:rPr>
      </w:pPr>
      <w:r w:rsidRPr="00DC040D">
        <w:rPr>
          <w:rFonts w:ascii="Times New Roman" w:hAnsi="Times New Roman" w:cs="Times New Roman"/>
          <w:noProof/>
          <w:sz w:val="24"/>
          <w:szCs w:val="24"/>
        </w:rPr>
        <w:t xml:space="preserve">To </w:t>
      </w:r>
      <w:r>
        <w:rPr>
          <w:rFonts w:ascii="Times New Roman" w:hAnsi="Times New Roman" w:cs="Times New Roman"/>
          <w:noProof/>
          <w:sz w:val="24"/>
          <w:szCs w:val="24"/>
        </w:rPr>
        <w:t xml:space="preserve">facilitate </w:t>
      </w:r>
      <w:r w:rsidRPr="007311B4">
        <w:rPr>
          <w:rFonts w:ascii="Times New Roman" w:hAnsi="Times New Roman" w:cs="Times New Roman"/>
          <w:b/>
          <w:noProof/>
          <w:sz w:val="24"/>
          <w:szCs w:val="24"/>
        </w:rPr>
        <w:t>equivalent access</w:t>
      </w:r>
      <w:r w:rsidRPr="00DC040D">
        <w:rPr>
          <w:rFonts w:ascii="Times New Roman" w:hAnsi="Times New Roman" w:cs="Times New Roman"/>
          <w:b/>
          <w:noProof/>
          <w:sz w:val="24"/>
          <w:szCs w:val="24"/>
        </w:rPr>
        <w:t xml:space="preserve"> for law enforcement authorities </w:t>
      </w:r>
      <w:r w:rsidRPr="00DC040D">
        <w:rPr>
          <w:rFonts w:ascii="Times New Roman" w:hAnsi="Times New Roman" w:cs="Times New Roman"/>
          <w:noProof/>
          <w:sz w:val="24"/>
          <w:szCs w:val="24"/>
        </w:rPr>
        <w:t>to information held in another Member State, while complying with fundamental rights and data protection requirements</w:t>
      </w:r>
      <w:r>
        <w:rPr>
          <w:rFonts w:ascii="Times New Roman" w:hAnsi="Times New Roman" w:cs="Times New Roman"/>
          <w:noProof/>
          <w:sz w:val="24"/>
          <w:szCs w:val="24"/>
        </w:rPr>
        <w:t>;</w:t>
      </w:r>
    </w:p>
    <w:p w14:paraId="59417DCB" w14:textId="77777777" w:rsidR="00C76702" w:rsidRPr="00DC040D" w:rsidRDefault="00C76702" w:rsidP="00A25CF8">
      <w:pPr>
        <w:pStyle w:val="ListParagraph"/>
        <w:numPr>
          <w:ilvl w:val="0"/>
          <w:numId w:val="17"/>
        </w:numPr>
        <w:spacing w:after="60" w:line="240" w:lineRule="auto"/>
        <w:ind w:left="714" w:hanging="357"/>
        <w:contextualSpacing w:val="0"/>
        <w:jc w:val="both"/>
        <w:rPr>
          <w:rFonts w:ascii="Times New Roman" w:hAnsi="Times New Roman" w:cs="Times New Roman"/>
          <w:bCs/>
          <w:noProof/>
          <w:sz w:val="24"/>
          <w:szCs w:val="24"/>
        </w:rPr>
      </w:pPr>
      <w:r w:rsidRPr="00DC040D">
        <w:rPr>
          <w:rFonts w:ascii="Times New Roman" w:hAnsi="Times New Roman" w:cs="Times New Roman"/>
          <w:noProof/>
          <w:sz w:val="24"/>
          <w:szCs w:val="24"/>
        </w:rPr>
        <w:t xml:space="preserve">To ensure that all Member States have an effective functioning </w:t>
      </w:r>
      <w:r w:rsidRPr="00DC040D">
        <w:rPr>
          <w:rFonts w:ascii="Times New Roman" w:hAnsi="Times New Roman" w:cs="Times New Roman"/>
          <w:b/>
          <w:bCs/>
          <w:noProof/>
          <w:sz w:val="24"/>
          <w:szCs w:val="24"/>
        </w:rPr>
        <w:t xml:space="preserve">Single Point of Contact </w:t>
      </w:r>
      <w:r w:rsidRPr="00DC040D">
        <w:rPr>
          <w:rFonts w:ascii="Times New Roman" w:hAnsi="Times New Roman" w:cs="Times New Roman"/>
          <w:bCs/>
          <w:noProof/>
          <w:sz w:val="24"/>
          <w:szCs w:val="24"/>
        </w:rPr>
        <w:t>(SPOC),</w:t>
      </w:r>
      <w:r w:rsidRPr="00DC040D">
        <w:rPr>
          <w:rFonts w:ascii="Times New Roman" w:hAnsi="Times New Roman" w:cs="Times New Roman"/>
          <w:b/>
          <w:bCs/>
          <w:noProof/>
          <w:sz w:val="24"/>
          <w:szCs w:val="24"/>
        </w:rPr>
        <w:t xml:space="preserve"> </w:t>
      </w:r>
      <w:r w:rsidRPr="00DC040D">
        <w:rPr>
          <w:rFonts w:ascii="Times New Roman" w:hAnsi="Times New Roman" w:cs="Times New Roman"/>
          <w:bCs/>
          <w:noProof/>
          <w:sz w:val="24"/>
          <w:szCs w:val="24"/>
        </w:rPr>
        <w:t xml:space="preserve">including when a </w:t>
      </w:r>
      <w:r w:rsidRPr="00DC040D">
        <w:rPr>
          <w:rFonts w:ascii="Times New Roman" w:hAnsi="Times New Roman" w:cs="Times New Roman"/>
          <w:b/>
          <w:bCs/>
          <w:noProof/>
          <w:sz w:val="24"/>
          <w:szCs w:val="24"/>
        </w:rPr>
        <w:t>judicial authorisation</w:t>
      </w:r>
      <w:r w:rsidRPr="00DC040D">
        <w:rPr>
          <w:rFonts w:ascii="Times New Roman" w:hAnsi="Times New Roman" w:cs="Times New Roman"/>
          <w:bCs/>
          <w:noProof/>
          <w:sz w:val="24"/>
          <w:szCs w:val="24"/>
        </w:rPr>
        <w:t xml:space="preserve"> is required to provide the data upon request of another Member State,</w:t>
      </w:r>
      <w:r w:rsidRPr="00DC040D">
        <w:rPr>
          <w:rFonts w:ascii="Times New Roman" w:hAnsi="Times New Roman" w:cs="Times New Roman"/>
          <w:b/>
          <w:bCs/>
          <w:noProof/>
          <w:sz w:val="24"/>
          <w:szCs w:val="24"/>
        </w:rPr>
        <w:t xml:space="preserve"> </w:t>
      </w:r>
      <w:r w:rsidRPr="00DC040D">
        <w:rPr>
          <w:rFonts w:ascii="Times New Roman" w:hAnsi="Times New Roman" w:cs="Times New Roman"/>
          <w:bCs/>
          <w:noProof/>
          <w:sz w:val="24"/>
          <w:szCs w:val="24"/>
        </w:rPr>
        <w:t xml:space="preserve">and ensuring its effective cooperation with </w:t>
      </w:r>
      <w:r w:rsidRPr="00DC040D">
        <w:rPr>
          <w:rFonts w:ascii="Times New Roman" w:hAnsi="Times New Roman" w:cs="Times New Roman"/>
          <w:b/>
          <w:bCs/>
          <w:noProof/>
          <w:sz w:val="24"/>
          <w:szCs w:val="24"/>
        </w:rPr>
        <w:t xml:space="preserve">Police and Customs Cooperation Centres </w:t>
      </w:r>
      <w:r w:rsidRPr="00DC040D">
        <w:rPr>
          <w:rFonts w:ascii="Times New Roman" w:hAnsi="Times New Roman" w:cs="Times New Roman"/>
          <w:bCs/>
          <w:noProof/>
          <w:sz w:val="24"/>
          <w:szCs w:val="24"/>
        </w:rPr>
        <w:t>(PCCCs)</w:t>
      </w:r>
      <w:r w:rsidRPr="00DC040D">
        <w:rPr>
          <w:rStyle w:val="FootnoteReference"/>
          <w:rFonts w:ascii="Times New Roman" w:hAnsi="Times New Roman" w:cs="Times New Roman"/>
          <w:bCs/>
          <w:noProof/>
          <w:sz w:val="24"/>
          <w:szCs w:val="24"/>
        </w:rPr>
        <w:footnoteReference w:id="84"/>
      </w:r>
      <w:r>
        <w:rPr>
          <w:rFonts w:ascii="Times New Roman" w:hAnsi="Times New Roman" w:cs="Times New Roman"/>
          <w:bCs/>
          <w:noProof/>
          <w:sz w:val="24"/>
          <w:szCs w:val="24"/>
        </w:rPr>
        <w:t>;</w:t>
      </w:r>
    </w:p>
    <w:p w14:paraId="15D08D8C" w14:textId="46642241" w:rsidR="00C76702" w:rsidRPr="00DC040D" w:rsidRDefault="00C76702" w:rsidP="00E760E4">
      <w:pPr>
        <w:pStyle w:val="ListParagraph"/>
        <w:numPr>
          <w:ilvl w:val="0"/>
          <w:numId w:val="17"/>
        </w:numPr>
        <w:spacing w:after="120" w:line="240" w:lineRule="auto"/>
        <w:ind w:left="714" w:hanging="357"/>
        <w:contextualSpacing w:val="0"/>
        <w:jc w:val="both"/>
        <w:rPr>
          <w:rFonts w:ascii="Times New Roman" w:hAnsi="Times New Roman" w:cs="Times New Roman"/>
          <w:noProof/>
          <w:sz w:val="28"/>
        </w:rPr>
      </w:pPr>
      <w:r w:rsidRPr="00DC040D">
        <w:rPr>
          <w:rFonts w:ascii="Times New Roman" w:hAnsi="Times New Roman" w:cs="Times New Roman"/>
          <w:noProof/>
          <w:sz w:val="24"/>
          <w:szCs w:val="24"/>
        </w:rPr>
        <w:t xml:space="preserve">To </w:t>
      </w:r>
      <w:r w:rsidR="00C81209" w:rsidRPr="002F6386">
        <w:rPr>
          <w:rFonts w:ascii="Times New Roman" w:hAnsi="Times New Roman" w:cs="Times New Roman"/>
          <w:b/>
          <w:noProof/>
          <w:sz w:val="24"/>
          <w:szCs w:val="24"/>
        </w:rPr>
        <w:t>remedy the</w:t>
      </w:r>
      <w:r w:rsidR="00C81209" w:rsidRPr="00CB565C">
        <w:rPr>
          <w:rFonts w:ascii="Verdana" w:hAnsi="Verdana"/>
          <w:b/>
          <w:noProof/>
          <w:sz w:val="16"/>
          <w:szCs w:val="16"/>
        </w:rPr>
        <w:t xml:space="preserve"> </w:t>
      </w:r>
      <w:r w:rsidR="00C81209" w:rsidRPr="002F6386">
        <w:rPr>
          <w:rFonts w:ascii="Times New Roman" w:hAnsi="Times New Roman" w:cs="Times New Roman"/>
          <w:b/>
          <w:noProof/>
          <w:sz w:val="24"/>
          <w:szCs w:val="24"/>
        </w:rPr>
        <w:t>proliferation of communication channels</w:t>
      </w:r>
      <w:r w:rsidR="00C81209" w:rsidRPr="002F6386">
        <w:rPr>
          <w:rFonts w:ascii="Times New Roman" w:hAnsi="Times New Roman" w:cs="Times New Roman"/>
          <w:noProof/>
          <w:sz w:val="24"/>
          <w:szCs w:val="24"/>
        </w:rPr>
        <w:t xml:space="preserve"> used for law enforcement information exchange between Member States </w:t>
      </w:r>
      <w:r w:rsidR="00C81209" w:rsidRPr="002F6386">
        <w:rPr>
          <w:rFonts w:ascii="Times New Roman" w:hAnsi="Times New Roman" w:cs="Times New Roman"/>
          <w:b/>
          <w:noProof/>
          <w:sz w:val="24"/>
          <w:szCs w:val="24"/>
        </w:rPr>
        <w:t>while empowering Europol</w:t>
      </w:r>
      <w:r w:rsidR="00C81209" w:rsidRPr="002F6386">
        <w:rPr>
          <w:rFonts w:ascii="Times New Roman" w:hAnsi="Times New Roman" w:cs="Times New Roman"/>
          <w:noProof/>
          <w:sz w:val="24"/>
          <w:szCs w:val="24"/>
        </w:rPr>
        <w:t xml:space="preserve"> as the EU criminal information hub for offences falling within its mandate </w:t>
      </w:r>
      <w:r w:rsidR="00C81209" w:rsidRPr="002F6386">
        <w:rPr>
          <w:rFonts w:ascii="Times New Roman" w:hAnsi="Times New Roman" w:cs="Times New Roman"/>
          <w:noProof/>
          <w:sz w:val="24"/>
          <w:szCs w:val="24"/>
          <w:lang w:eastAsia="en-GB"/>
        </w:rPr>
        <w:t>(unless otherwise regulated by EU law)</w:t>
      </w:r>
      <w:r w:rsidR="00C112C2">
        <w:rPr>
          <w:rFonts w:ascii="Times New Roman" w:hAnsi="Times New Roman" w:cs="Times New Roman"/>
          <w:noProof/>
          <w:sz w:val="24"/>
          <w:szCs w:val="24"/>
          <w:lang w:eastAsia="en-GB"/>
        </w:rPr>
        <w:t xml:space="preserve"> </w:t>
      </w:r>
    </w:p>
    <w:p w14:paraId="7CD2F844" w14:textId="0DCA55F5" w:rsidR="00C76702" w:rsidRPr="00BA0C13" w:rsidRDefault="00173E60" w:rsidP="00173E60">
      <w:pPr>
        <w:pStyle w:val="Heading1"/>
        <w:rPr>
          <w:noProof/>
        </w:rPr>
      </w:pPr>
      <w:bookmarkStart w:id="59" w:name="_Toc48897636"/>
      <w:bookmarkStart w:id="60" w:name="_Toc74838169"/>
      <w:bookmarkStart w:id="61" w:name="_Toc83801031"/>
      <w:r w:rsidRPr="00173E60">
        <w:t>5.</w:t>
      </w:r>
      <w:r w:rsidRPr="00173E60">
        <w:tab/>
      </w:r>
      <w:r w:rsidR="00C76702" w:rsidRPr="00BA0C13">
        <w:rPr>
          <w:noProof/>
        </w:rPr>
        <w:t>What are the available policy options?</w:t>
      </w:r>
      <w:bookmarkEnd w:id="59"/>
      <w:bookmarkEnd w:id="60"/>
      <w:bookmarkEnd w:id="61"/>
    </w:p>
    <w:p w14:paraId="448B42B0" w14:textId="77777777" w:rsidR="00DC6C65" w:rsidRPr="00DC6C65" w:rsidRDefault="00DC6C65" w:rsidP="00DC6C65">
      <w:pPr>
        <w:pStyle w:val="ListParagraph"/>
        <w:numPr>
          <w:ilvl w:val="0"/>
          <w:numId w:val="77"/>
        </w:numPr>
        <w:spacing w:after="120" w:line="240" w:lineRule="auto"/>
        <w:contextualSpacing w:val="0"/>
        <w:jc w:val="both"/>
        <w:outlineLvl w:val="1"/>
        <w:rPr>
          <w:rFonts w:ascii="Times New Roman" w:eastAsia="Times New Roman" w:hAnsi="Times New Roman" w:cs="Times New Roman"/>
          <w:b/>
          <w:noProof/>
          <w:vanish/>
          <w:sz w:val="24"/>
          <w:szCs w:val="24"/>
          <w:shd w:val="clear" w:color="auto" w:fill="FFFFFF"/>
        </w:rPr>
      </w:pPr>
      <w:bookmarkStart w:id="62" w:name="_Toc49990481"/>
      <w:bookmarkStart w:id="63" w:name="_Toc49996049"/>
      <w:bookmarkStart w:id="64" w:name="_Toc53936622"/>
      <w:bookmarkStart w:id="65" w:name="_Toc53954897"/>
      <w:bookmarkStart w:id="66" w:name="_Toc55392065"/>
      <w:bookmarkStart w:id="67" w:name="_Toc74838170"/>
    </w:p>
    <w:p w14:paraId="2D8A28B0" w14:textId="77777777" w:rsidR="00C76702" w:rsidRPr="002F22A9" w:rsidRDefault="00C248A1" w:rsidP="00DC6C65">
      <w:pPr>
        <w:pStyle w:val="Heading2"/>
        <w:rPr>
          <w:noProof/>
        </w:rPr>
      </w:pPr>
      <w:r w:rsidRPr="002F22A9">
        <w:rPr>
          <w:noProof/>
        </w:rPr>
        <w:t xml:space="preserve"> </w:t>
      </w:r>
      <w:r w:rsidR="00DC6C65">
        <w:rPr>
          <w:noProof/>
        </w:rPr>
        <w:t xml:space="preserve"> </w:t>
      </w:r>
      <w:bookmarkStart w:id="68" w:name="_Toc83801032"/>
      <w:r w:rsidR="00C76702" w:rsidRPr="002F22A9">
        <w:rPr>
          <w:noProof/>
        </w:rPr>
        <w:t>Baseline representing current situation</w:t>
      </w:r>
      <w:bookmarkEnd w:id="62"/>
      <w:bookmarkEnd w:id="63"/>
      <w:bookmarkEnd w:id="64"/>
      <w:bookmarkEnd w:id="65"/>
      <w:bookmarkEnd w:id="66"/>
      <w:bookmarkEnd w:id="67"/>
      <w:bookmarkEnd w:id="68"/>
    </w:p>
    <w:p w14:paraId="2847BE1B" w14:textId="77777777" w:rsidR="00C76702" w:rsidRPr="000A0CF6" w:rsidRDefault="00C76702" w:rsidP="00C76702">
      <w:pPr>
        <w:spacing w:after="120" w:line="240" w:lineRule="auto"/>
        <w:rPr>
          <w:rFonts w:ascii="Times New Roman" w:hAnsi="Times New Roman" w:cs="Times New Roman"/>
          <w:noProof/>
          <w:sz w:val="24"/>
          <w:szCs w:val="24"/>
        </w:rPr>
      </w:pPr>
      <w:r w:rsidRPr="000A0CF6">
        <w:rPr>
          <w:rFonts w:ascii="Times New Roman" w:hAnsi="Times New Roman" w:cs="Times New Roman"/>
          <w:noProof/>
          <w:sz w:val="24"/>
          <w:szCs w:val="24"/>
        </w:rPr>
        <w:t>The baseline is a "no policy change" scenario</w:t>
      </w:r>
      <w:r>
        <w:rPr>
          <w:rFonts w:ascii="Times New Roman" w:hAnsi="Times New Roman" w:cs="Times New Roman"/>
          <w:noProof/>
          <w:sz w:val="24"/>
          <w:szCs w:val="24"/>
        </w:rPr>
        <w:t xml:space="preserve"> </w:t>
      </w:r>
      <w:r w:rsidRPr="00990476">
        <w:rPr>
          <w:rFonts w:ascii="Times New Roman" w:hAnsi="Times New Roman" w:cs="Times New Roman"/>
          <w:b/>
          <w:noProof/>
          <w:sz w:val="24"/>
          <w:szCs w:val="24"/>
        </w:rPr>
        <w:t>(option 0).</w:t>
      </w:r>
      <w:r w:rsidRPr="000A0CF6">
        <w:rPr>
          <w:rFonts w:ascii="Times New Roman" w:hAnsi="Times New Roman" w:cs="Times New Roman"/>
          <w:noProof/>
          <w:sz w:val="24"/>
          <w:szCs w:val="24"/>
        </w:rPr>
        <w:t xml:space="preserve"> </w:t>
      </w:r>
      <w:r w:rsidRPr="000A0CF6">
        <w:rPr>
          <w:rFonts w:ascii="Times New Roman" w:hAnsi="Times New Roman" w:cs="Times New Roman"/>
          <w:iCs/>
          <w:noProof/>
          <w:sz w:val="24"/>
          <w:szCs w:val="24"/>
        </w:rPr>
        <w:t>T</w:t>
      </w:r>
      <w:r w:rsidRPr="000A0CF6">
        <w:rPr>
          <w:rFonts w:ascii="Times New Roman" w:hAnsi="Times New Roman" w:cs="Times New Roman"/>
          <w:noProof/>
          <w:sz w:val="24"/>
          <w:szCs w:val="24"/>
        </w:rPr>
        <w:t>his implies:</w:t>
      </w:r>
    </w:p>
    <w:p w14:paraId="6354E74D" w14:textId="5EBFA3AB" w:rsidR="00C76702" w:rsidRPr="000A0CF6" w:rsidRDefault="00C76702" w:rsidP="00AC0345">
      <w:pPr>
        <w:pStyle w:val="Body"/>
        <w:numPr>
          <w:ilvl w:val="0"/>
          <w:numId w:val="8"/>
        </w:numPr>
        <w:spacing w:before="120" w:after="0"/>
        <w:ind w:left="714" w:hanging="357"/>
        <w:jc w:val="both"/>
        <w:rPr>
          <w:rFonts w:ascii="Times New Roman" w:hAnsi="Times New Roman"/>
          <w:noProof/>
          <w:sz w:val="24"/>
          <w:szCs w:val="24"/>
        </w:rPr>
      </w:pPr>
      <w:r w:rsidRPr="000A0CF6">
        <w:rPr>
          <w:rFonts w:ascii="Times New Roman" w:hAnsi="Times New Roman"/>
          <w:noProof/>
          <w:sz w:val="24"/>
          <w:szCs w:val="24"/>
        </w:rPr>
        <w:t xml:space="preserve">No additional regulatory intervention </w:t>
      </w:r>
      <w:r w:rsidR="00927016">
        <w:rPr>
          <w:rFonts w:ascii="Times New Roman" w:hAnsi="Times New Roman"/>
          <w:noProof/>
          <w:sz w:val="24"/>
          <w:szCs w:val="24"/>
        </w:rPr>
        <w:t xml:space="preserve">is </w:t>
      </w:r>
      <w:r w:rsidRPr="000A0CF6">
        <w:rPr>
          <w:rFonts w:ascii="Times New Roman" w:hAnsi="Times New Roman"/>
          <w:noProof/>
          <w:sz w:val="24"/>
          <w:szCs w:val="24"/>
        </w:rPr>
        <w:t xml:space="preserve">implemented by </w:t>
      </w:r>
      <w:r>
        <w:rPr>
          <w:rFonts w:ascii="Times New Roman" w:hAnsi="Times New Roman"/>
          <w:noProof/>
          <w:sz w:val="24"/>
          <w:szCs w:val="24"/>
        </w:rPr>
        <w:t xml:space="preserve">the EU </w:t>
      </w:r>
      <w:r w:rsidR="00AF6412">
        <w:rPr>
          <w:rFonts w:ascii="Times New Roman" w:hAnsi="Times New Roman"/>
          <w:noProof/>
          <w:sz w:val="24"/>
          <w:szCs w:val="24"/>
        </w:rPr>
        <w:t xml:space="preserve">to the </w:t>
      </w:r>
      <w:r w:rsidR="006E00EF">
        <w:rPr>
          <w:rFonts w:ascii="Times New Roman" w:hAnsi="Times New Roman"/>
          <w:noProof/>
          <w:sz w:val="24"/>
          <w:szCs w:val="24"/>
        </w:rPr>
        <w:t>exception of the alignment the 2006 SFD with the 2016 Law enforcement data Protection Directive</w:t>
      </w:r>
      <w:r w:rsidR="00705DDB" w:rsidRPr="006567B2">
        <w:rPr>
          <w:rStyle w:val="FootnoteReference"/>
          <w:rFonts w:ascii="Times New Roman" w:hAnsi="Times New Roman"/>
          <w:noProof/>
          <w:sz w:val="24"/>
          <w:szCs w:val="24"/>
        </w:rPr>
        <w:footnoteReference w:id="85"/>
      </w:r>
      <w:r>
        <w:rPr>
          <w:rFonts w:ascii="Times New Roman" w:hAnsi="Times New Roman"/>
          <w:noProof/>
          <w:sz w:val="24"/>
          <w:szCs w:val="24"/>
        </w:rPr>
        <w:t>;</w:t>
      </w:r>
    </w:p>
    <w:p w14:paraId="4B3A587A" w14:textId="77777777" w:rsidR="00C76702" w:rsidRPr="000A0CF6" w:rsidRDefault="00C76702" w:rsidP="00AC0345">
      <w:pPr>
        <w:pStyle w:val="Body"/>
        <w:numPr>
          <w:ilvl w:val="0"/>
          <w:numId w:val="8"/>
        </w:numPr>
        <w:spacing w:after="0"/>
        <w:ind w:left="714" w:hanging="357"/>
        <w:jc w:val="both"/>
        <w:rPr>
          <w:rFonts w:ascii="Times New Roman" w:hAnsi="Times New Roman"/>
          <w:noProof/>
          <w:sz w:val="24"/>
          <w:szCs w:val="24"/>
        </w:rPr>
      </w:pPr>
      <w:r>
        <w:rPr>
          <w:rFonts w:ascii="Times New Roman" w:hAnsi="Times New Roman"/>
          <w:noProof/>
          <w:sz w:val="24"/>
          <w:szCs w:val="24"/>
        </w:rPr>
        <w:t>No specific flanking s</w:t>
      </w:r>
      <w:r w:rsidR="00927016">
        <w:rPr>
          <w:rFonts w:ascii="Times New Roman" w:hAnsi="Times New Roman"/>
          <w:noProof/>
          <w:sz w:val="24"/>
          <w:szCs w:val="24"/>
        </w:rPr>
        <w:t>upport</w:t>
      </w:r>
      <w:r>
        <w:rPr>
          <w:rFonts w:ascii="Times New Roman" w:hAnsi="Times New Roman"/>
          <w:noProof/>
          <w:sz w:val="24"/>
          <w:szCs w:val="24"/>
        </w:rPr>
        <w:t xml:space="preserve"> measures </w:t>
      </w:r>
      <w:r w:rsidRPr="000A0CF6">
        <w:rPr>
          <w:rFonts w:ascii="Times New Roman" w:hAnsi="Times New Roman"/>
          <w:noProof/>
          <w:sz w:val="24"/>
          <w:szCs w:val="24"/>
        </w:rPr>
        <w:t>are undertaken by the EU, such as awareness raising, training, funding etc. in order to improve access to and exchange of information between L</w:t>
      </w:r>
      <w:r w:rsidR="008E27F1">
        <w:rPr>
          <w:rFonts w:ascii="Times New Roman" w:hAnsi="Times New Roman"/>
          <w:noProof/>
          <w:sz w:val="24"/>
          <w:szCs w:val="24"/>
        </w:rPr>
        <w:t xml:space="preserve">aw </w:t>
      </w:r>
      <w:r w:rsidRPr="000A0CF6">
        <w:rPr>
          <w:rFonts w:ascii="Times New Roman" w:hAnsi="Times New Roman"/>
          <w:noProof/>
          <w:sz w:val="24"/>
          <w:szCs w:val="24"/>
        </w:rPr>
        <w:t>E</w:t>
      </w:r>
      <w:r w:rsidR="008E27F1">
        <w:rPr>
          <w:rFonts w:ascii="Times New Roman" w:hAnsi="Times New Roman"/>
          <w:noProof/>
          <w:sz w:val="24"/>
          <w:szCs w:val="24"/>
        </w:rPr>
        <w:t xml:space="preserve">nforcement </w:t>
      </w:r>
      <w:r w:rsidRPr="000A0CF6">
        <w:rPr>
          <w:rFonts w:ascii="Times New Roman" w:hAnsi="Times New Roman"/>
          <w:noProof/>
          <w:sz w:val="24"/>
          <w:szCs w:val="24"/>
        </w:rPr>
        <w:t>A</w:t>
      </w:r>
      <w:r w:rsidR="008E27F1">
        <w:rPr>
          <w:rFonts w:ascii="Times New Roman" w:hAnsi="Times New Roman"/>
          <w:noProof/>
          <w:sz w:val="24"/>
          <w:szCs w:val="24"/>
        </w:rPr>
        <w:t>uthoritie</w:t>
      </w:r>
      <w:r w:rsidRPr="000A0CF6">
        <w:rPr>
          <w:rFonts w:ascii="Times New Roman" w:hAnsi="Times New Roman"/>
          <w:noProof/>
          <w:sz w:val="24"/>
          <w:szCs w:val="24"/>
        </w:rPr>
        <w:t>s;</w:t>
      </w:r>
    </w:p>
    <w:p w14:paraId="1861228E" w14:textId="77777777" w:rsidR="00C76702" w:rsidRDefault="00C76702" w:rsidP="00704502">
      <w:pPr>
        <w:pStyle w:val="Body"/>
        <w:numPr>
          <w:ilvl w:val="0"/>
          <w:numId w:val="8"/>
        </w:numPr>
        <w:spacing w:after="0"/>
        <w:ind w:left="714" w:hanging="357"/>
        <w:jc w:val="both"/>
        <w:rPr>
          <w:rFonts w:ascii="Times New Roman" w:hAnsi="Times New Roman"/>
          <w:noProof/>
          <w:sz w:val="24"/>
          <w:szCs w:val="24"/>
        </w:rPr>
      </w:pPr>
      <w:r w:rsidRPr="000A0CF6">
        <w:rPr>
          <w:rFonts w:ascii="Times New Roman" w:hAnsi="Times New Roman"/>
          <w:noProof/>
          <w:sz w:val="24"/>
          <w:szCs w:val="24"/>
        </w:rPr>
        <w:t>No further technical changes are implemented by the EU, e.g. in relation to technical means to access and share information via SIENA, apart from what is already planned.</w:t>
      </w:r>
    </w:p>
    <w:p w14:paraId="61775A15" w14:textId="77777777" w:rsidR="006412C2" w:rsidRPr="000A0CF6" w:rsidRDefault="006412C2" w:rsidP="00AC0345">
      <w:pPr>
        <w:pStyle w:val="Body"/>
        <w:numPr>
          <w:ilvl w:val="0"/>
          <w:numId w:val="8"/>
        </w:numPr>
        <w:spacing w:after="120"/>
        <w:ind w:left="714" w:hanging="357"/>
        <w:jc w:val="both"/>
        <w:rPr>
          <w:rFonts w:ascii="Times New Roman" w:hAnsi="Times New Roman"/>
          <w:noProof/>
          <w:sz w:val="24"/>
          <w:szCs w:val="24"/>
        </w:rPr>
      </w:pPr>
      <w:r>
        <w:rPr>
          <w:rFonts w:ascii="Times New Roman" w:hAnsi="Times New Roman"/>
          <w:noProof/>
          <w:sz w:val="24"/>
          <w:szCs w:val="24"/>
        </w:rPr>
        <w:t xml:space="preserve">However, the Commission committed to ensure the alignment of the </w:t>
      </w:r>
      <w:r w:rsidR="008E27F1">
        <w:rPr>
          <w:rFonts w:ascii="Times New Roman" w:hAnsi="Times New Roman"/>
          <w:noProof/>
          <w:sz w:val="24"/>
          <w:szCs w:val="24"/>
        </w:rPr>
        <w:t xml:space="preserve">2006 </w:t>
      </w:r>
      <w:r>
        <w:rPr>
          <w:rFonts w:ascii="Times New Roman" w:hAnsi="Times New Roman"/>
          <w:noProof/>
          <w:sz w:val="24"/>
          <w:szCs w:val="24"/>
        </w:rPr>
        <w:t xml:space="preserve">SFD with the </w:t>
      </w:r>
      <w:r w:rsidR="008E27F1">
        <w:rPr>
          <w:rFonts w:ascii="Times New Roman" w:hAnsi="Times New Roman"/>
          <w:noProof/>
          <w:sz w:val="24"/>
          <w:szCs w:val="24"/>
        </w:rPr>
        <w:t>2016 law enforcement data protection Directive (</w:t>
      </w:r>
      <w:r>
        <w:rPr>
          <w:rFonts w:ascii="Times New Roman" w:hAnsi="Times New Roman"/>
          <w:noProof/>
          <w:sz w:val="24"/>
          <w:szCs w:val="24"/>
        </w:rPr>
        <w:t>LED</w:t>
      </w:r>
      <w:r w:rsidR="008E27F1">
        <w:rPr>
          <w:rFonts w:ascii="Times New Roman" w:hAnsi="Times New Roman"/>
          <w:noProof/>
          <w:sz w:val="24"/>
          <w:szCs w:val="24"/>
        </w:rPr>
        <w:t>)</w:t>
      </w:r>
      <w:r>
        <w:rPr>
          <w:rFonts w:ascii="Times New Roman" w:hAnsi="Times New Roman"/>
          <w:noProof/>
          <w:sz w:val="24"/>
          <w:szCs w:val="24"/>
        </w:rPr>
        <w:t xml:space="preserve">. </w:t>
      </w:r>
      <w:r w:rsidRPr="009E379A">
        <w:rPr>
          <w:rFonts w:ascii="Times New Roman" w:hAnsi="Times New Roman"/>
          <w:noProof/>
          <w:sz w:val="24"/>
          <w:szCs w:val="24"/>
        </w:rPr>
        <w:t>Consequently at the very least, a targeted amendment would be necessary</w:t>
      </w:r>
      <w:r>
        <w:rPr>
          <w:rFonts w:ascii="Times New Roman" w:hAnsi="Times New Roman"/>
          <w:noProof/>
          <w:sz w:val="24"/>
          <w:szCs w:val="24"/>
        </w:rPr>
        <w:t>.</w:t>
      </w:r>
    </w:p>
    <w:p w14:paraId="3AC7AFD2" w14:textId="77777777" w:rsidR="00C76702" w:rsidRDefault="00C76702" w:rsidP="00C76702">
      <w:pPr>
        <w:pStyle w:val="Text2"/>
        <w:spacing w:after="120"/>
        <w:ind w:left="0"/>
        <w:rPr>
          <w:noProof/>
        </w:rPr>
      </w:pPr>
      <w:r w:rsidRPr="00566468">
        <w:rPr>
          <w:noProof/>
        </w:rPr>
        <w:t xml:space="preserve">As a </w:t>
      </w:r>
      <w:r w:rsidR="00FC462E">
        <w:rPr>
          <w:noProof/>
        </w:rPr>
        <w:t>result</w:t>
      </w:r>
      <w:r w:rsidRPr="00566468">
        <w:rPr>
          <w:noProof/>
        </w:rPr>
        <w:t xml:space="preserve">, </w:t>
      </w:r>
      <w:r w:rsidRPr="00F861EF">
        <w:rPr>
          <w:noProof/>
        </w:rPr>
        <w:t xml:space="preserve">law enforcement authorities </w:t>
      </w:r>
      <w:r>
        <w:rPr>
          <w:noProof/>
        </w:rPr>
        <w:t xml:space="preserve">will not </w:t>
      </w:r>
      <w:r w:rsidRPr="00F861EF">
        <w:rPr>
          <w:noProof/>
        </w:rPr>
        <w:t>effectively and efficiently exchange information with their partners in other Member States</w:t>
      </w:r>
      <w:r>
        <w:rPr>
          <w:noProof/>
        </w:rPr>
        <w:t xml:space="preserve"> and with Europol,</w:t>
      </w:r>
      <w:r w:rsidRPr="00566468">
        <w:rPr>
          <w:noProof/>
        </w:rPr>
        <w:t xml:space="preserve"> caus</w:t>
      </w:r>
      <w:r>
        <w:rPr>
          <w:noProof/>
        </w:rPr>
        <w:t>ing operational hurdles i</w:t>
      </w:r>
      <w:r w:rsidRPr="00566468">
        <w:rPr>
          <w:noProof/>
        </w:rPr>
        <w:t>n the d</w:t>
      </w:r>
      <w:r>
        <w:rPr>
          <w:noProof/>
        </w:rPr>
        <w:t>aily law enforcement practices.</w:t>
      </w:r>
    </w:p>
    <w:p w14:paraId="19B0DD1D" w14:textId="77777777" w:rsidR="00C76702" w:rsidRDefault="00C76702" w:rsidP="00C76702">
      <w:pPr>
        <w:pStyle w:val="Text2"/>
        <w:spacing w:after="120"/>
        <w:ind w:left="0"/>
        <w:rPr>
          <w:noProof/>
        </w:rPr>
      </w:pPr>
      <w:r w:rsidRPr="00566468">
        <w:rPr>
          <w:noProof/>
        </w:rPr>
        <w:t>In addition, differences with regard to the</w:t>
      </w:r>
      <w:r>
        <w:rPr>
          <w:noProof/>
        </w:rPr>
        <w:t xml:space="preserve"> efficiency and effectiveness of SPOCs, PCCCs and other equivalent structures </w:t>
      </w:r>
      <w:r w:rsidRPr="00566468">
        <w:rPr>
          <w:noProof/>
        </w:rPr>
        <w:t>are expected to continue to exist and hamper the level playing field between Member States</w:t>
      </w:r>
      <w:r>
        <w:rPr>
          <w:noProof/>
        </w:rPr>
        <w:t>.</w:t>
      </w:r>
    </w:p>
    <w:p w14:paraId="311F6280" w14:textId="77777777" w:rsidR="00C76702" w:rsidRDefault="00C76702" w:rsidP="00C76702">
      <w:pPr>
        <w:pStyle w:val="Text2"/>
        <w:spacing w:after="120"/>
        <w:ind w:left="0"/>
        <w:rPr>
          <w:noProof/>
        </w:rPr>
      </w:pPr>
      <w:r w:rsidRPr="00381E42">
        <w:rPr>
          <w:noProof/>
        </w:rPr>
        <w:t>Europol is making efforts to improve SIENA.</w:t>
      </w:r>
      <w:r>
        <w:rPr>
          <w:noProof/>
        </w:rPr>
        <w:t xml:space="preserve"> </w:t>
      </w:r>
      <w:r>
        <w:rPr>
          <w:noProof/>
          <w:szCs w:val="16"/>
        </w:rPr>
        <w:t>T</w:t>
      </w:r>
      <w:r w:rsidRPr="00D75D9A">
        <w:rPr>
          <w:noProof/>
        </w:rPr>
        <w:t>he planned changes are expected to lead to some improvements with regard to the cross-border exchange of information</w:t>
      </w:r>
      <w:r>
        <w:rPr>
          <w:noProof/>
        </w:rPr>
        <w:t xml:space="preserve"> already in the baseline scenario</w:t>
      </w:r>
      <w:r w:rsidR="00730354" w:rsidRPr="000A0CF6">
        <w:rPr>
          <w:rStyle w:val="FootnoteReference"/>
          <w:noProof/>
          <w:szCs w:val="24"/>
        </w:rPr>
        <w:footnoteReference w:id="86"/>
      </w:r>
      <w:r w:rsidR="00730354">
        <w:rPr>
          <w:noProof/>
        </w:rPr>
        <w:t>.</w:t>
      </w:r>
    </w:p>
    <w:p w14:paraId="0EF0F78D" w14:textId="77777777" w:rsidR="00C76702" w:rsidRDefault="00C76702" w:rsidP="00C76702">
      <w:pPr>
        <w:pStyle w:val="Text2"/>
        <w:ind w:left="0"/>
        <w:rPr>
          <w:noProof/>
        </w:rPr>
      </w:pPr>
      <w:r w:rsidRPr="00D51BE5">
        <w:rPr>
          <w:noProof/>
        </w:rPr>
        <w:t xml:space="preserve">If no further action </w:t>
      </w:r>
      <w:r>
        <w:rPr>
          <w:noProof/>
        </w:rPr>
        <w:t>i</w:t>
      </w:r>
      <w:r w:rsidRPr="00D51BE5">
        <w:rPr>
          <w:noProof/>
        </w:rPr>
        <w:t xml:space="preserve">s taken </w:t>
      </w:r>
      <w:r w:rsidR="00F6335B">
        <w:rPr>
          <w:noProof/>
        </w:rPr>
        <w:t xml:space="preserve">(other </w:t>
      </w:r>
      <w:r w:rsidRPr="00D51BE5">
        <w:rPr>
          <w:noProof/>
        </w:rPr>
        <w:t xml:space="preserve">than </w:t>
      </w:r>
      <w:r w:rsidR="00F6335B">
        <w:rPr>
          <w:noProof/>
        </w:rPr>
        <w:t xml:space="preserve">the ones already agreed or </w:t>
      </w:r>
      <w:r w:rsidRPr="00D51BE5">
        <w:rPr>
          <w:noProof/>
        </w:rPr>
        <w:t>underway</w:t>
      </w:r>
      <w:r w:rsidR="00F6335B">
        <w:rPr>
          <w:noProof/>
        </w:rPr>
        <w:t>)</w:t>
      </w:r>
      <w:r w:rsidRPr="00D51BE5">
        <w:rPr>
          <w:noProof/>
        </w:rPr>
        <w:t>,</w:t>
      </w:r>
      <w:r>
        <w:rPr>
          <w:noProof/>
        </w:rPr>
        <w:t xml:space="preserve"> LEAs will likely face </w:t>
      </w:r>
      <w:r w:rsidR="00F6335B">
        <w:rPr>
          <w:noProof/>
        </w:rPr>
        <w:t>additional</w:t>
      </w:r>
      <w:r>
        <w:rPr>
          <w:noProof/>
        </w:rPr>
        <w:t xml:space="preserve"> challenge</w:t>
      </w:r>
      <w:r w:rsidR="00F6335B">
        <w:rPr>
          <w:noProof/>
        </w:rPr>
        <w:t xml:space="preserve">s in </w:t>
      </w:r>
      <w:r>
        <w:rPr>
          <w:noProof/>
        </w:rPr>
        <w:t>keeping pace with criminal groups</w:t>
      </w:r>
      <w:r w:rsidR="00F6335B" w:rsidRPr="00F6335B">
        <w:rPr>
          <w:noProof/>
        </w:rPr>
        <w:t xml:space="preserve"> </w:t>
      </w:r>
      <w:r w:rsidR="00F6335B">
        <w:rPr>
          <w:noProof/>
        </w:rPr>
        <w:t>in the near future</w:t>
      </w:r>
      <w:r>
        <w:rPr>
          <w:noProof/>
        </w:rPr>
        <w:t xml:space="preserve">. </w:t>
      </w:r>
      <w:r w:rsidRPr="00F54D42">
        <w:rPr>
          <w:noProof/>
        </w:rPr>
        <w:t xml:space="preserve">LEAs </w:t>
      </w:r>
      <w:r>
        <w:rPr>
          <w:noProof/>
        </w:rPr>
        <w:t>are expected to</w:t>
      </w:r>
      <w:r w:rsidRPr="00F54D42">
        <w:rPr>
          <w:noProof/>
        </w:rPr>
        <w:t xml:space="preserve"> take advantage of and use new technologies to cope with evolving criminal patterns</w:t>
      </w:r>
      <w:r>
        <w:rPr>
          <w:noProof/>
        </w:rPr>
        <w:t>.</w:t>
      </w:r>
    </w:p>
    <w:p w14:paraId="4D55A128" w14:textId="77777777" w:rsidR="00C76702" w:rsidRPr="002F22A9" w:rsidRDefault="00C248A1" w:rsidP="00094199">
      <w:pPr>
        <w:pStyle w:val="Heading2"/>
        <w:rPr>
          <w:noProof/>
        </w:rPr>
      </w:pPr>
      <w:bookmarkStart w:id="69" w:name="_Toc48850772"/>
      <w:bookmarkStart w:id="70" w:name="_Toc48851501"/>
      <w:bookmarkStart w:id="71" w:name="_Toc48898026"/>
      <w:bookmarkStart w:id="72" w:name="_Toc48901366"/>
      <w:bookmarkStart w:id="73" w:name="_Toc48902272"/>
      <w:bookmarkStart w:id="74" w:name="_Toc49248094"/>
      <w:bookmarkStart w:id="75" w:name="_Toc49269830"/>
      <w:bookmarkStart w:id="76" w:name="_Toc49274212"/>
      <w:bookmarkStart w:id="77" w:name="_Toc49990482"/>
      <w:bookmarkStart w:id="78" w:name="_Toc49996050"/>
      <w:bookmarkStart w:id="79" w:name="_Toc53936623"/>
      <w:bookmarkStart w:id="80" w:name="_Toc53954898"/>
      <w:bookmarkStart w:id="81" w:name="_Toc55392066"/>
      <w:bookmarkStart w:id="82" w:name="_Toc74838171"/>
      <w:bookmarkStart w:id="83" w:name="_Toc48897637"/>
      <w:r w:rsidRPr="002F22A9">
        <w:rPr>
          <w:noProof/>
        </w:rPr>
        <w:t xml:space="preserve"> </w:t>
      </w:r>
      <w:r w:rsidR="00DC6C65">
        <w:rPr>
          <w:noProof/>
        </w:rPr>
        <w:t xml:space="preserve"> </w:t>
      </w:r>
      <w:bookmarkStart w:id="84" w:name="_Toc83801033"/>
      <w:r w:rsidR="00C76702" w:rsidRPr="002F22A9">
        <w:rPr>
          <w:noProof/>
        </w:rPr>
        <w:t>Description of policy options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4"/>
    </w:p>
    <w:p w14:paraId="69145990" w14:textId="08610A07" w:rsidR="00C76702" w:rsidRDefault="00173E60" w:rsidP="00173E60">
      <w:pPr>
        <w:pStyle w:val="Heading3"/>
        <w:rPr>
          <w:noProof/>
        </w:rPr>
      </w:pPr>
      <w:bookmarkStart w:id="85" w:name="_Toc74838172"/>
      <w:bookmarkStart w:id="86" w:name="_Toc83801034"/>
      <w:r w:rsidRPr="00173E60">
        <w:t>5.2.1.</w:t>
      </w:r>
      <w:r w:rsidRPr="00173E60">
        <w:tab/>
      </w:r>
      <w:r w:rsidR="00C76702" w:rsidRPr="006564D0">
        <w:rPr>
          <w:noProof/>
        </w:rPr>
        <w:t>Objective I:</w:t>
      </w:r>
      <w:r w:rsidR="00C76702" w:rsidRPr="002F22A9">
        <w:rPr>
          <w:noProof/>
        </w:rPr>
        <w:t xml:space="preserve"> Facilitate equivalent access for law enforcement authorities to information held in another Member State, while complying with fundamental rights and data protection requirements</w:t>
      </w:r>
      <w:bookmarkEnd w:id="85"/>
      <w:bookmarkEnd w:id="86"/>
    </w:p>
    <w:p w14:paraId="4CBCE7F1" w14:textId="2EB0C3AF" w:rsidR="00C76702" w:rsidRPr="003253EA" w:rsidRDefault="00C76702" w:rsidP="00A414D7">
      <w:pPr>
        <w:pStyle w:val="Text2"/>
        <w:pBdr>
          <w:top w:val="single" w:sz="4" w:space="1" w:color="auto"/>
          <w:left w:val="single" w:sz="4" w:space="4" w:color="auto"/>
          <w:bottom w:val="single" w:sz="4" w:space="1" w:color="auto"/>
          <w:right w:val="single" w:sz="4" w:space="4" w:color="auto"/>
          <w:between w:val="single" w:sz="4" w:space="1" w:color="auto"/>
        </w:pBdr>
        <w:shd w:val="clear" w:color="auto" w:fill="B4C6E7" w:themeFill="accent5" w:themeFillTint="66"/>
        <w:spacing w:after="120"/>
        <w:ind w:left="0"/>
        <w:rPr>
          <w:b/>
          <w:i/>
          <w:noProof/>
          <w:szCs w:val="24"/>
        </w:rPr>
      </w:pPr>
      <w:r w:rsidRPr="003253EA">
        <w:rPr>
          <w:b/>
          <w:noProof/>
          <w:u w:val="single"/>
        </w:rPr>
        <w:t>Policy option 1</w:t>
      </w:r>
      <w:r w:rsidR="002D599A">
        <w:rPr>
          <w:b/>
          <w:noProof/>
          <w:u w:val="single"/>
        </w:rPr>
        <w:t>.1</w:t>
      </w:r>
      <w:r w:rsidRPr="003253EA">
        <w:rPr>
          <w:b/>
          <w:noProof/>
          <w:u w:val="single"/>
        </w:rPr>
        <w:t>:</w:t>
      </w:r>
      <w:r>
        <w:rPr>
          <w:b/>
          <w:noProof/>
        </w:rPr>
        <w:t xml:space="preserve"> </w:t>
      </w:r>
      <w:r w:rsidR="006E00EF">
        <w:rPr>
          <w:b/>
          <w:noProof/>
          <w:szCs w:val="24"/>
        </w:rPr>
        <w:t>N</w:t>
      </w:r>
      <w:r w:rsidR="001E26F1">
        <w:rPr>
          <w:b/>
          <w:noProof/>
          <w:szCs w:val="24"/>
        </w:rPr>
        <w:t xml:space="preserve">ew </w:t>
      </w:r>
      <w:r w:rsidRPr="003253EA">
        <w:rPr>
          <w:b/>
          <w:noProof/>
          <w:szCs w:val="24"/>
        </w:rPr>
        <w:t xml:space="preserve">flanking soft measures (training, </w:t>
      </w:r>
      <w:r w:rsidR="004D4555">
        <w:rPr>
          <w:b/>
          <w:noProof/>
          <w:szCs w:val="24"/>
        </w:rPr>
        <w:t xml:space="preserve">Commission </w:t>
      </w:r>
      <w:r w:rsidRPr="003253EA">
        <w:rPr>
          <w:b/>
          <w:noProof/>
          <w:szCs w:val="24"/>
        </w:rPr>
        <w:t>guidance)</w:t>
      </w:r>
      <w:r w:rsidRPr="003253EA">
        <w:rPr>
          <w:b/>
          <w:noProof/>
        </w:rPr>
        <w:t xml:space="preserve"> </w:t>
      </w:r>
    </w:p>
    <w:p w14:paraId="5043A9CF" w14:textId="649FD6B4" w:rsidR="00C76702" w:rsidRDefault="007D5998" w:rsidP="00C76702">
      <w:pPr>
        <w:pStyle w:val="Text2"/>
        <w:spacing w:after="120"/>
        <w:ind w:left="0"/>
        <w:rPr>
          <w:noProof/>
          <w:szCs w:val="24"/>
        </w:rPr>
      </w:pPr>
      <w:r>
        <w:rPr>
          <w:noProof/>
          <w:szCs w:val="24"/>
        </w:rPr>
        <w:t>The p</w:t>
      </w:r>
      <w:r w:rsidR="00C76702">
        <w:rPr>
          <w:noProof/>
          <w:szCs w:val="24"/>
        </w:rPr>
        <w:t>roblem described in chapter 2 will be address</w:t>
      </w:r>
      <w:r w:rsidR="00FA5A02">
        <w:rPr>
          <w:noProof/>
          <w:szCs w:val="24"/>
        </w:rPr>
        <w:t>ed</w:t>
      </w:r>
      <w:r w:rsidR="00C76702">
        <w:rPr>
          <w:noProof/>
          <w:szCs w:val="24"/>
        </w:rPr>
        <w:t>, to the extent possible, via s</w:t>
      </w:r>
      <w:r w:rsidR="00FA5A02">
        <w:rPr>
          <w:noProof/>
          <w:szCs w:val="24"/>
        </w:rPr>
        <w:t>upport</w:t>
      </w:r>
      <w:r w:rsidR="00C76702">
        <w:rPr>
          <w:noProof/>
          <w:szCs w:val="24"/>
        </w:rPr>
        <w:t xml:space="preserve"> measures aiming to improve awareness, the implementation of EU provisions as well as national capabilities through dedicated funding</w:t>
      </w:r>
      <w:r w:rsidR="00C76702" w:rsidRPr="00BD2F94">
        <w:rPr>
          <w:noProof/>
          <w:szCs w:val="16"/>
        </w:rPr>
        <w:t xml:space="preserve"> </w:t>
      </w:r>
      <w:r w:rsidR="00C76702">
        <w:rPr>
          <w:noProof/>
          <w:szCs w:val="16"/>
        </w:rPr>
        <w:t>via the In</w:t>
      </w:r>
      <w:r w:rsidR="006A19C6">
        <w:rPr>
          <w:noProof/>
          <w:szCs w:val="16"/>
        </w:rPr>
        <w:t xml:space="preserve">ternal </w:t>
      </w:r>
      <w:r w:rsidR="00C76702">
        <w:rPr>
          <w:noProof/>
          <w:szCs w:val="16"/>
        </w:rPr>
        <w:t>Security Fund (ISF)</w:t>
      </w:r>
      <w:r w:rsidR="00C76702">
        <w:rPr>
          <w:noProof/>
          <w:szCs w:val="24"/>
        </w:rPr>
        <w:t>.</w:t>
      </w:r>
    </w:p>
    <w:p w14:paraId="4ED656EB" w14:textId="77777777" w:rsidR="00C76702" w:rsidRDefault="00C76702" w:rsidP="00C76702">
      <w:pPr>
        <w:pStyle w:val="Text2"/>
        <w:spacing w:after="120"/>
        <w:ind w:left="0"/>
        <w:rPr>
          <w:noProof/>
          <w:szCs w:val="16"/>
        </w:rPr>
      </w:pPr>
      <w:r>
        <w:rPr>
          <w:noProof/>
          <w:szCs w:val="24"/>
        </w:rPr>
        <w:t xml:space="preserve">This could cover </w:t>
      </w:r>
      <w:r>
        <w:rPr>
          <w:noProof/>
          <w:szCs w:val="16"/>
        </w:rPr>
        <w:t>t</w:t>
      </w:r>
      <w:r w:rsidRPr="003253EA">
        <w:rPr>
          <w:noProof/>
          <w:szCs w:val="16"/>
        </w:rPr>
        <w:t xml:space="preserve">raining, </w:t>
      </w:r>
      <w:r w:rsidR="004D4555">
        <w:rPr>
          <w:noProof/>
          <w:szCs w:val="16"/>
        </w:rPr>
        <w:t xml:space="preserve">Commission </w:t>
      </w:r>
      <w:r w:rsidRPr="003253EA">
        <w:rPr>
          <w:noProof/>
          <w:szCs w:val="16"/>
        </w:rPr>
        <w:t xml:space="preserve">guidance (e.g. on </w:t>
      </w:r>
      <w:r>
        <w:rPr>
          <w:noProof/>
          <w:szCs w:val="16"/>
        </w:rPr>
        <w:t>the use of communication channels, on SPOCs, on PCCCs and on information exchange</w:t>
      </w:r>
      <w:r w:rsidRPr="003253EA">
        <w:rPr>
          <w:noProof/>
          <w:szCs w:val="16"/>
        </w:rPr>
        <w:t xml:space="preserve">, </w:t>
      </w:r>
      <w:r>
        <w:rPr>
          <w:noProof/>
          <w:szCs w:val="16"/>
        </w:rPr>
        <w:t xml:space="preserve">the </w:t>
      </w:r>
      <w:r w:rsidRPr="003253EA">
        <w:rPr>
          <w:noProof/>
          <w:szCs w:val="16"/>
        </w:rPr>
        <w:t xml:space="preserve">provision of a matrix concerning which information channel should be used in what cases, and </w:t>
      </w:r>
      <w:r>
        <w:rPr>
          <w:noProof/>
          <w:szCs w:val="16"/>
        </w:rPr>
        <w:t xml:space="preserve">the </w:t>
      </w:r>
      <w:r w:rsidRPr="003253EA">
        <w:rPr>
          <w:noProof/>
          <w:szCs w:val="16"/>
        </w:rPr>
        <w:t>provision of information concerning what data are available in th</w:t>
      </w:r>
      <w:r>
        <w:rPr>
          <w:noProof/>
          <w:szCs w:val="16"/>
        </w:rPr>
        <w:t>e Member States</w:t>
      </w:r>
      <w:r w:rsidR="004D4555">
        <w:rPr>
          <w:noProof/>
          <w:szCs w:val="16"/>
        </w:rPr>
        <w:t>)</w:t>
      </w:r>
      <w:r w:rsidRPr="003253EA">
        <w:rPr>
          <w:noProof/>
          <w:szCs w:val="16"/>
        </w:rPr>
        <w:t xml:space="preserve">. </w:t>
      </w:r>
      <w:r>
        <w:rPr>
          <w:noProof/>
          <w:szCs w:val="16"/>
        </w:rPr>
        <w:t xml:space="preserve">Europol </w:t>
      </w:r>
      <w:r w:rsidRPr="003253EA">
        <w:rPr>
          <w:noProof/>
          <w:szCs w:val="16"/>
        </w:rPr>
        <w:t>would be</w:t>
      </w:r>
      <w:r>
        <w:rPr>
          <w:noProof/>
          <w:szCs w:val="16"/>
        </w:rPr>
        <w:t xml:space="preserve"> asked to speed up </w:t>
      </w:r>
      <w:r w:rsidRPr="003253EA">
        <w:rPr>
          <w:noProof/>
          <w:szCs w:val="16"/>
        </w:rPr>
        <w:t>the SIENA roll-out.</w:t>
      </w:r>
    </w:p>
    <w:p w14:paraId="0FD164B8" w14:textId="77777777" w:rsidR="00C76702" w:rsidRPr="003253EA" w:rsidRDefault="004D4555" w:rsidP="00746A5D">
      <w:pPr>
        <w:pStyle w:val="Text2"/>
        <w:ind w:left="0"/>
        <w:rPr>
          <w:noProof/>
          <w:sz w:val="40"/>
        </w:rPr>
      </w:pPr>
      <w:r>
        <w:rPr>
          <w:noProof/>
          <w:szCs w:val="16"/>
        </w:rPr>
        <w:t xml:space="preserve">As a result of the </w:t>
      </w:r>
      <w:r w:rsidRPr="00C132D4">
        <w:rPr>
          <w:noProof/>
          <w:szCs w:val="16"/>
        </w:rPr>
        <w:t>lisbonisation</w:t>
      </w:r>
      <w:r>
        <w:rPr>
          <w:noProof/>
          <w:szCs w:val="16"/>
        </w:rPr>
        <w:t xml:space="preserve"> of the SFD, possible future guidelines will no longer be developed by the Council but by the European Commission. These new guidelines </w:t>
      </w:r>
      <w:r w:rsidR="00C76702">
        <w:rPr>
          <w:noProof/>
          <w:szCs w:val="16"/>
        </w:rPr>
        <w:t>will require an active support from the Member States given national specificities and related technicalities.</w:t>
      </w:r>
    </w:p>
    <w:p w14:paraId="6F11972C" w14:textId="77777777" w:rsidR="00C76702" w:rsidRPr="00C62577"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120"/>
        <w:ind w:left="0"/>
        <w:rPr>
          <w:b/>
          <w:noProof/>
          <w:u w:val="single"/>
        </w:rPr>
      </w:pPr>
      <w:r w:rsidRPr="00C62577">
        <w:rPr>
          <w:b/>
          <w:noProof/>
          <w:u w:val="single"/>
        </w:rPr>
        <w:t xml:space="preserve">Policy option </w:t>
      </w:r>
      <w:r w:rsidR="002D599A">
        <w:rPr>
          <w:b/>
          <w:noProof/>
          <w:u w:val="single"/>
        </w:rPr>
        <w:t>1.</w:t>
      </w:r>
      <w:r w:rsidRPr="00C62577">
        <w:rPr>
          <w:b/>
          <w:noProof/>
          <w:u w:val="single"/>
        </w:rPr>
        <w:t>2:</w:t>
      </w:r>
      <w:r w:rsidRPr="00C62577">
        <w:rPr>
          <w:b/>
          <w:noProof/>
        </w:rPr>
        <w:t xml:space="preserve"> </w:t>
      </w:r>
      <w:r>
        <w:rPr>
          <w:b/>
          <w:noProof/>
          <w:szCs w:val="24"/>
        </w:rPr>
        <w:t>Option 1</w:t>
      </w:r>
      <w:r w:rsidR="00F367B2">
        <w:rPr>
          <w:b/>
          <w:noProof/>
          <w:szCs w:val="24"/>
        </w:rPr>
        <w:t>.1</w:t>
      </w:r>
      <w:r>
        <w:rPr>
          <w:b/>
          <w:noProof/>
          <w:szCs w:val="24"/>
        </w:rPr>
        <w:t xml:space="preserve"> + </w:t>
      </w:r>
      <w:r w:rsidR="00E960D1">
        <w:rPr>
          <w:b/>
          <w:noProof/>
          <w:szCs w:val="24"/>
        </w:rPr>
        <w:t xml:space="preserve">simplification in the use of the SFD + </w:t>
      </w:r>
      <w:r w:rsidR="00E960D1" w:rsidRPr="00704502">
        <w:rPr>
          <w:b/>
          <w:noProof/>
          <w:szCs w:val="16"/>
        </w:rPr>
        <w:t>improve clarity on the national data sets available for possible exchange</w:t>
      </w:r>
    </w:p>
    <w:p w14:paraId="10E152E5" w14:textId="3DBD6DE9" w:rsidR="00C76702" w:rsidRPr="00A56523" w:rsidRDefault="006412C2" w:rsidP="00EB7963">
      <w:pPr>
        <w:pStyle w:val="Text2"/>
        <w:spacing w:after="120"/>
        <w:ind w:left="0"/>
        <w:rPr>
          <w:noProof/>
          <w:szCs w:val="24"/>
        </w:rPr>
      </w:pPr>
      <w:r>
        <w:rPr>
          <w:noProof/>
        </w:rPr>
        <w:t>Based on the Council guidance, the Schengen evaluations in the field of police cooperation, and on the Study' findings, the p</w:t>
      </w:r>
      <w:r w:rsidR="00C76702" w:rsidRPr="003253EA">
        <w:rPr>
          <w:noProof/>
        </w:rPr>
        <w:t>olicy opti</w:t>
      </w:r>
      <w:r w:rsidR="00C76702">
        <w:rPr>
          <w:noProof/>
        </w:rPr>
        <w:t>o</w:t>
      </w:r>
      <w:r w:rsidR="00C76702" w:rsidRPr="003253EA">
        <w:rPr>
          <w:noProof/>
        </w:rPr>
        <w:t xml:space="preserve">n </w:t>
      </w:r>
      <w:r w:rsidR="002D599A">
        <w:rPr>
          <w:noProof/>
        </w:rPr>
        <w:t>1.</w:t>
      </w:r>
      <w:r w:rsidR="00C76702">
        <w:rPr>
          <w:noProof/>
        </w:rPr>
        <w:t>2</w:t>
      </w:r>
      <w:r w:rsidR="00C76702" w:rsidRPr="003253EA">
        <w:rPr>
          <w:noProof/>
        </w:rPr>
        <w:t xml:space="preserve"> </w:t>
      </w:r>
      <w:r w:rsidR="00C76702">
        <w:rPr>
          <w:noProof/>
        </w:rPr>
        <w:t>will cover Option 1</w:t>
      </w:r>
      <w:r w:rsidR="002D599A">
        <w:rPr>
          <w:noProof/>
        </w:rPr>
        <w:t>.1</w:t>
      </w:r>
      <w:r w:rsidR="00155E00">
        <w:rPr>
          <w:noProof/>
        </w:rPr>
        <w:t xml:space="preserve">, </w:t>
      </w:r>
      <w:r w:rsidR="00266E3D">
        <w:rPr>
          <w:noProof/>
        </w:rPr>
        <w:t>extended to</w:t>
      </w:r>
      <w:r w:rsidR="00C76702">
        <w:rPr>
          <w:noProof/>
        </w:rPr>
        <w:t xml:space="preserve"> the revision of the </w:t>
      </w:r>
      <w:r w:rsidR="00C76702" w:rsidRPr="009415D9">
        <w:rPr>
          <w:noProof/>
          <w:szCs w:val="24"/>
        </w:rPr>
        <w:t>Swedish Framework Decision</w:t>
      </w:r>
      <w:r w:rsidR="00C76702">
        <w:rPr>
          <w:noProof/>
          <w:szCs w:val="24"/>
        </w:rPr>
        <w:t xml:space="preserve"> </w:t>
      </w:r>
      <w:r w:rsidR="00EC5C8A">
        <w:rPr>
          <w:noProof/>
          <w:szCs w:val="24"/>
        </w:rPr>
        <w:t xml:space="preserve">with a view to </w:t>
      </w:r>
      <w:r w:rsidR="00266E3D">
        <w:rPr>
          <w:noProof/>
          <w:szCs w:val="24"/>
        </w:rPr>
        <w:t>clarify</w:t>
      </w:r>
      <w:r w:rsidR="00EC5C8A">
        <w:rPr>
          <w:noProof/>
          <w:szCs w:val="24"/>
        </w:rPr>
        <w:t xml:space="preserve"> </w:t>
      </w:r>
      <w:r w:rsidR="00266E3D">
        <w:rPr>
          <w:noProof/>
          <w:szCs w:val="24"/>
        </w:rPr>
        <w:t>and simplify its use</w:t>
      </w:r>
      <w:r w:rsidR="00155E00">
        <w:rPr>
          <w:noProof/>
          <w:szCs w:val="24"/>
        </w:rPr>
        <w:t>, thereby improving the implementation of the principle</w:t>
      </w:r>
      <w:r w:rsidR="00086570">
        <w:rPr>
          <w:noProof/>
          <w:szCs w:val="24"/>
        </w:rPr>
        <w:t>s</w:t>
      </w:r>
      <w:r w:rsidR="00155E00">
        <w:rPr>
          <w:noProof/>
          <w:szCs w:val="24"/>
        </w:rPr>
        <w:t xml:space="preserve"> of availability</w:t>
      </w:r>
      <w:r w:rsidR="00EC5C8A">
        <w:rPr>
          <w:noProof/>
          <w:szCs w:val="24"/>
        </w:rPr>
        <w:t xml:space="preserve"> and </w:t>
      </w:r>
      <w:r w:rsidR="00086570">
        <w:rPr>
          <w:noProof/>
          <w:szCs w:val="24"/>
        </w:rPr>
        <w:t xml:space="preserve">of </w:t>
      </w:r>
      <w:r w:rsidR="00EC5C8A">
        <w:rPr>
          <w:noProof/>
          <w:szCs w:val="24"/>
        </w:rPr>
        <w:t>equivalent access</w:t>
      </w:r>
      <w:r w:rsidR="00C76702" w:rsidRPr="00A56523">
        <w:rPr>
          <w:noProof/>
          <w:szCs w:val="24"/>
        </w:rPr>
        <w:t>.</w:t>
      </w:r>
    </w:p>
    <w:p w14:paraId="2F35E1DA" w14:textId="77777777" w:rsidR="00266E3D" w:rsidRDefault="00266E3D" w:rsidP="00266E3D">
      <w:pPr>
        <w:pStyle w:val="Text2"/>
        <w:spacing w:after="60"/>
        <w:ind w:left="0"/>
        <w:rPr>
          <w:noProof/>
          <w:szCs w:val="24"/>
        </w:rPr>
      </w:pPr>
      <w:r>
        <w:rPr>
          <w:noProof/>
          <w:szCs w:val="24"/>
        </w:rPr>
        <w:t>Th</w:t>
      </w:r>
      <w:r w:rsidR="00086570">
        <w:rPr>
          <w:noProof/>
          <w:szCs w:val="24"/>
        </w:rPr>
        <w:t xml:space="preserve">is would </w:t>
      </w:r>
      <w:r>
        <w:rPr>
          <w:noProof/>
          <w:szCs w:val="24"/>
        </w:rPr>
        <w:t>be achieved through:</w:t>
      </w:r>
    </w:p>
    <w:p w14:paraId="412626B0" w14:textId="77777777" w:rsidR="00266E3D" w:rsidRDefault="00266E3D" w:rsidP="00266E3D">
      <w:pPr>
        <w:pStyle w:val="Body"/>
        <w:numPr>
          <w:ilvl w:val="0"/>
          <w:numId w:val="22"/>
        </w:numPr>
        <w:spacing w:before="60" w:after="0"/>
        <w:ind w:left="714" w:hanging="357"/>
        <w:jc w:val="both"/>
        <w:rPr>
          <w:rFonts w:ascii="Times New Roman" w:hAnsi="Times New Roman"/>
          <w:noProof/>
          <w:sz w:val="24"/>
          <w:szCs w:val="16"/>
        </w:rPr>
      </w:pPr>
      <w:r w:rsidRPr="00A30D0A">
        <w:rPr>
          <w:rFonts w:ascii="Times New Roman" w:hAnsi="Times New Roman"/>
          <w:i/>
          <w:iCs/>
          <w:noProof/>
          <w:sz w:val="24"/>
          <w:szCs w:val="24"/>
        </w:rPr>
        <w:t>A</w:t>
      </w:r>
      <w:r w:rsidRPr="00A30D0A">
        <w:rPr>
          <w:rFonts w:ascii="Times New Roman" w:hAnsi="Times New Roman"/>
          <w:i/>
          <w:iCs/>
          <w:noProof/>
          <w:sz w:val="24"/>
          <w:szCs w:val="16"/>
        </w:rPr>
        <w:t>daptations to the SFD</w:t>
      </w:r>
      <w:r>
        <w:rPr>
          <w:rFonts w:ascii="Times New Roman" w:hAnsi="Times New Roman"/>
          <w:iCs/>
          <w:noProof/>
          <w:sz w:val="24"/>
          <w:szCs w:val="16"/>
        </w:rPr>
        <w:t xml:space="preserve"> to remove references to "</w:t>
      </w:r>
      <w:r w:rsidRPr="00A30D0A">
        <w:rPr>
          <w:rFonts w:ascii="Times New Roman" w:hAnsi="Times New Roman"/>
          <w:iCs/>
          <w:noProof/>
          <w:sz w:val="24"/>
          <w:szCs w:val="16"/>
        </w:rPr>
        <w:t>other</w:t>
      </w:r>
      <w:r>
        <w:rPr>
          <w:rFonts w:ascii="Times New Roman" w:hAnsi="Times New Roman"/>
          <w:iCs/>
          <w:noProof/>
          <w:sz w:val="24"/>
          <w:szCs w:val="16"/>
        </w:rPr>
        <w:t>"</w:t>
      </w:r>
      <w:r w:rsidRPr="00A30D0A">
        <w:rPr>
          <w:rFonts w:ascii="Times New Roman" w:hAnsi="Times New Roman"/>
          <w:iCs/>
          <w:noProof/>
          <w:sz w:val="24"/>
          <w:szCs w:val="16"/>
        </w:rPr>
        <w:t xml:space="preserve"> cases and also remove the forms for information exchange</w:t>
      </w:r>
      <w:r w:rsidRPr="00A30D0A">
        <w:rPr>
          <w:rFonts w:ascii="Times New Roman" w:hAnsi="Times New Roman"/>
          <w:noProof/>
          <w:sz w:val="24"/>
          <w:szCs w:val="16"/>
        </w:rPr>
        <w:t xml:space="preserve"> (two annexes</w:t>
      </w:r>
      <w:r>
        <w:rPr>
          <w:rFonts w:ascii="Times New Roman" w:hAnsi="Times New Roman"/>
          <w:noProof/>
          <w:sz w:val="24"/>
          <w:szCs w:val="16"/>
        </w:rPr>
        <w:t xml:space="preserve"> of the SFD</w:t>
      </w:r>
      <w:r w:rsidRPr="00A30D0A">
        <w:rPr>
          <w:rFonts w:ascii="Times New Roman" w:hAnsi="Times New Roman"/>
          <w:noProof/>
          <w:sz w:val="24"/>
          <w:szCs w:val="16"/>
        </w:rPr>
        <w:t>)</w:t>
      </w:r>
      <w:r>
        <w:rPr>
          <w:rFonts w:ascii="Times New Roman" w:hAnsi="Times New Roman"/>
          <w:noProof/>
          <w:sz w:val="24"/>
          <w:szCs w:val="16"/>
        </w:rPr>
        <w:t>;</w:t>
      </w:r>
    </w:p>
    <w:p w14:paraId="6FA6F425" w14:textId="77777777" w:rsidR="00E976F9" w:rsidRDefault="00E976F9" w:rsidP="00704502">
      <w:pPr>
        <w:pStyle w:val="Body"/>
        <w:numPr>
          <w:ilvl w:val="0"/>
          <w:numId w:val="22"/>
        </w:numPr>
        <w:spacing w:after="0"/>
        <w:ind w:left="714" w:hanging="357"/>
        <w:jc w:val="both"/>
        <w:rPr>
          <w:rFonts w:ascii="Times New Roman" w:hAnsi="Times New Roman"/>
          <w:noProof/>
          <w:sz w:val="24"/>
          <w:szCs w:val="16"/>
        </w:rPr>
      </w:pPr>
      <w:r w:rsidRPr="00EF6222">
        <w:rPr>
          <w:rFonts w:ascii="Times New Roman" w:hAnsi="Times New Roman"/>
          <w:i/>
          <w:iCs/>
          <w:noProof/>
          <w:sz w:val="24"/>
          <w:szCs w:val="16"/>
        </w:rPr>
        <w:t xml:space="preserve">Commission Guidelines </w:t>
      </w:r>
      <w:r w:rsidRPr="00EF6222">
        <w:rPr>
          <w:rFonts w:ascii="Times New Roman" w:hAnsi="Times New Roman"/>
          <w:iCs/>
          <w:noProof/>
          <w:sz w:val="24"/>
          <w:szCs w:val="16"/>
        </w:rPr>
        <w:t>clarifying the data sets available for possible exchange</w:t>
      </w:r>
      <w:r>
        <w:rPr>
          <w:rFonts w:ascii="Times New Roman" w:hAnsi="Times New Roman"/>
          <w:iCs/>
          <w:noProof/>
          <w:sz w:val="24"/>
          <w:szCs w:val="16"/>
        </w:rPr>
        <w:t>;</w:t>
      </w:r>
    </w:p>
    <w:p w14:paraId="72F110D8" w14:textId="77777777" w:rsidR="00E976F9" w:rsidRPr="00E976F9" w:rsidRDefault="00266E3D" w:rsidP="00704502">
      <w:pPr>
        <w:pStyle w:val="Body"/>
        <w:numPr>
          <w:ilvl w:val="0"/>
          <w:numId w:val="22"/>
        </w:numPr>
        <w:spacing w:after="0"/>
        <w:ind w:left="714" w:hanging="357"/>
        <w:jc w:val="both"/>
        <w:rPr>
          <w:rFonts w:ascii="Times New Roman" w:hAnsi="Times New Roman"/>
          <w:noProof/>
          <w:sz w:val="24"/>
          <w:szCs w:val="16"/>
        </w:rPr>
      </w:pPr>
      <w:r w:rsidRPr="00E976F9">
        <w:rPr>
          <w:rFonts w:ascii="Times New Roman" w:hAnsi="Times New Roman"/>
          <w:i/>
          <w:iCs/>
          <w:noProof/>
          <w:sz w:val="24"/>
          <w:szCs w:val="16"/>
        </w:rPr>
        <w:t>Clarification of the scope</w:t>
      </w:r>
      <w:r w:rsidR="00494951">
        <w:rPr>
          <w:rFonts w:ascii="Times New Roman" w:hAnsi="Times New Roman"/>
          <w:i/>
          <w:iCs/>
          <w:noProof/>
          <w:sz w:val="24"/>
          <w:szCs w:val="16"/>
        </w:rPr>
        <w:t xml:space="preserve"> </w:t>
      </w:r>
      <w:r w:rsidRPr="00E976F9">
        <w:rPr>
          <w:rFonts w:ascii="Times New Roman" w:hAnsi="Times New Roman"/>
          <w:noProof/>
          <w:sz w:val="24"/>
          <w:szCs w:val="16"/>
        </w:rPr>
        <w:t>of operations to which the SFD applies</w:t>
      </w:r>
      <w:r>
        <w:rPr>
          <w:rStyle w:val="FootnoteReference"/>
          <w:rFonts w:ascii="Times New Roman" w:hAnsi="Times New Roman"/>
          <w:noProof/>
          <w:sz w:val="24"/>
          <w:szCs w:val="16"/>
        </w:rPr>
        <w:footnoteReference w:id="87"/>
      </w:r>
      <w:r w:rsidR="00E976F9" w:rsidRPr="00E976F9">
        <w:rPr>
          <w:rFonts w:ascii="Times New Roman" w:hAnsi="Times New Roman"/>
          <w:noProof/>
          <w:sz w:val="24"/>
          <w:szCs w:val="16"/>
        </w:rPr>
        <w:t>.</w:t>
      </w:r>
    </w:p>
    <w:p w14:paraId="5F6EC56F" w14:textId="77777777" w:rsidR="00C76702" w:rsidRPr="007D5998" w:rsidRDefault="00C76702" w:rsidP="00704502">
      <w:pPr>
        <w:pStyle w:val="Body"/>
        <w:spacing w:after="0"/>
        <w:jc w:val="both"/>
        <w:rPr>
          <w:rFonts w:ascii="Times New Roman" w:hAnsi="Times New Roman"/>
          <w:noProof/>
          <w:sz w:val="24"/>
          <w:szCs w:val="24"/>
        </w:rPr>
      </w:pPr>
    </w:p>
    <w:p w14:paraId="37992E5B" w14:textId="22BF237E" w:rsidR="00C76702" w:rsidRPr="005854D1"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120"/>
        <w:ind w:left="0"/>
        <w:rPr>
          <w:b/>
          <w:noProof/>
          <w:szCs w:val="24"/>
        </w:rPr>
      </w:pPr>
      <w:r w:rsidRPr="00514E93">
        <w:rPr>
          <w:b/>
          <w:noProof/>
          <w:szCs w:val="24"/>
          <w:u w:val="single"/>
        </w:rPr>
        <w:t xml:space="preserve">Policy option </w:t>
      </w:r>
      <w:r w:rsidR="002D599A">
        <w:rPr>
          <w:b/>
          <w:noProof/>
          <w:szCs w:val="24"/>
          <w:u w:val="single"/>
        </w:rPr>
        <w:t>1.</w:t>
      </w:r>
      <w:r w:rsidRPr="00514E93">
        <w:rPr>
          <w:b/>
          <w:noProof/>
          <w:szCs w:val="24"/>
          <w:u w:val="single"/>
        </w:rPr>
        <w:t>3:</w:t>
      </w:r>
      <w:r w:rsidRPr="005854D1">
        <w:rPr>
          <w:b/>
          <w:noProof/>
          <w:szCs w:val="24"/>
        </w:rPr>
        <w:t xml:space="preserve"> Option </w:t>
      </w:r>
      <w:r w:rsidR="00F367B2">
        <w:rPr>
          <w:b/>
          <w:noProof/>
          <w:szCs w:val="24"/>
        </w:rPr>
        <w:t>1.</w:t>
      </w:r>
      <w:r w:rsidRPr="005854D1">
        <w:rPr>
          <w:b/>
          <w:noProof/>
          <w:szCs w:val="24"/>
        </w:rPr>
        <w:t>2 + provisions ensuring compliance with deadline</w:t>
      </w:r>
      <w:r w:rsidR="00C132D4">
        <w:rPr>
          <w:b/>
          <w:noProof/>
          <w:szCs w:val="24"/>
        </w:rPr>
        <w:t>s</w:t>
      </w:r>
      <w:r w:rsidRPr="005854D1">
        <w:rPr>
          <w:b/>
          <w:noProof/>
          <w:szCs w:val="24"/>
        </w:rPr>
        <w:t xml:space="preserve"> requirements by which data is to be made available to another Member State (including when a judicial authorisation is required)</w:t>
      </w:r>
    </w:p>
    <w:p w14:paraId="0A943CA4" w14:textId="66E7C46D" w:rsidR="00C76702" w:rsidRDefault="00633180" w:rsidP="00C76702">
      <w:pPr>
        <w:pStyle w:val="Text2"/>
        <w:ind w:left="0"/>
        <w:rPr>
          <w:noProof/>
          <w:szCs w:val="24"/>
        </w:rPr>
      </w:pPr>
      <w:r>
        <w:rPr>
          <w:noProof/>
        </w:rPr>
        <w:t>Based on the Council guidance, the Schengen evaluations in the field of police cooperation, and on the Study' findings, the p</w:t>
      </w:r>
      <w:r w:rsidR="00C76702" w:rsidRPr="00514E93">
        <w:rPr>
          <w:noProof/>
        </w:rPr>
        <w:t xml:space="preserve">olicy </w:t>
      </w:r>
      <w:r w:rsidR="00C76702">
        <w:rPr>
          <w:noProof/>
        </w:rPr>
        <w:t xml:space="preserve">option </w:t>
      </w:r>
      <w:r w:rsidR="00062B1E">
        <w:rPr>
          <w:noProof/>
        </w:rPr>
        <w:t>1.</w:t>
      </w:r>
      <w:r w:rsidR="00C76702" w:rsidRPr="00514E93">
        <w:rPr>
          <w:noProof/>
        </w:rPr>
        <w:t xml:space="preserve">3 </w:t>
      </w:r>
      <w:r w:rsidR="00C76702">
        <w:rPr>
          <w:noProof/>
        </w:rPr>
        <w:t xml:space="preserve">will cover option </w:t>
      </w:r>
      <w:r w:rsidR="002D599A">
        <w:rPr>
          <w:noProof/>
        </w:rPr>
        <w:t>1.</w:t>
      </w:r>
      <w:r w:rsidR="00C76702">
        <w:rPr>
          <w:noProof/>
        </w:rPr>
        <w:t xml:space="preserve">2 and extend the revision of the </w:t>
      </w:r>
      <w:r w:rsidR="00C76702" w:rsidRPr="009415D9">
        <w:rPr>
          <w:noProof/>
          <w:szCs w:val="24"/>
        </w:rPr>
        <w:t>Swedish Framework Decision</w:t>
      </w:r>
      <w:r w:rsidR="00C76702">
        <w:rPr>
          <w:noProof/>
          <w:szCs w:val="24"/>
        </w:rPr>
        <w:t xml:space="preserve"> to </w:t>
      </w:r>
      <w:r w:rsidR="00C76702" w:rsidRPr="00514E93">
        <w:rPr>
          <w:noProof/>
          <w:szCs w:val="24"/>
        </w:rPr>
        <w:t>ensur</w:t>
      </w:r>
      <w:r w:rsidR="00F367B2">
        <w:rPr>
          <w:noProof/>
          <w:szCs w:val="24"/>
        </w:rPr>
        <w:t>ing</w:t>
      </w:r>
      <w:r w:rsidR="00C76702" w:rsidRPr="00514E93">
        <w:rPr>
          <w:noProof/>
          <w:szCs w:val="24"/>
        </w:rPr>
        <w:t xml:space="preserve"> compliance with deadlin</w:t>
      </w:r>
      <w:r w:rsidR="00C76702">
        <w:rPr>
          <w:noProof/>
          <w:szCs w:val="24"/>
        </w:rPr>
        <w:t xml:space="preserve">es requirements by which data </w:t>
      </w:r>
      <w:r w:rsidR="00062B1E">
        <w:rPr>
          <w:noProof/>
          <w:szCs w:val="24"/>
        </w:rPr>
        <w:t>is</w:t>
      </w:r>
      <w:r w:rsidR="00C76702" w:rsidRPr="00514E93">
        <w:rPr>
          <w:noProof/>
          <w:szCs w:val="24"/>
        </w:rPr>
        <w:t xml:space="preserve"> to be made available to another Member State (including when a judicial authorisation is required)</w:t>
      </w:r>
      <w:r w:rsidR="00C76702">
        <w:rPr>
          <w:noProof/>
          <w:szCs w:val="24"/>
        </w:rPr>
        <w:t>.</w:t>
      </w:r>
    </w:p>
    <w:p w14:paraId="73E72269" w14:textId="40F4BF70" w:rsidR="00C76702" w:rsidRDefault="00173E60" w:rsidP="00173E60">
      <w:pPr>
        <w:pStyle w:val="Heading3"/>
        <w:rPr>
          <w:noProof/>
        </w:rPr>
      </w:pPr>
      <w:bookmarkStart w:id="87" w:name="_Toc74838173"/>
      <w:bookmarkStart w:id="88" w:name="_Toc83801035"/>
      <w:r w:rsidRPr="00173E60">
        <w:t>5.2.2.</w:t>
      </w:r>
      <w:r w:rsidRPr="00173E60">
        <w:tab/>
      </w:r>
      <w:r w:rsidR="00C76702">
        <w:rPr>
          <w:noProof/>
        </w:rPr>
        <w:t>Objective II</w:t>
      </w:r>
      <w:r w:rsidR="00C76702" w:rsidRPr="006564D0">
        <w:rPr>
          <w:noProof/>
        </w:rPr>
        <w:t>:</w:t>
      </w:r>
      <w:r w:rsidR="00C76702" w:rsidRPr="002F22A9">
        <w:rPr>
          <w:noProof/>
        </w:rPr>
        <w:t xml:space="preserve"> </w:t>
      </w:r>
      <w:r w:rsidR="00F367B2">
        <w:rPr>
          <w:noProof/>
        </w:rPr>
        <w:t>E</w:t>
      </w:r>
      <w:r w:rsidR="00C76702" w:rsidRPr="002F22A9">
        <w:rPr>
          <w:noProof/>
        </w:rPr>
        <w:t>nsure that all Member States have an effective functioning Single Point of Contact (SPOC), including when a judicial authorisation is required to provide the data upon request of another Member State, and ensuring its effective cooperation with Police and Customs Cooperation Centres (PCCCs)</w:t>
      </w:r>
      <w:bookmarkEnd w:id="87"/>
      <w:bookmarkEnd w:id="88"/>
      <w:r w:rsidR="00C76702" w:rsidRPr="002F22A9">
        <w:rPr>
          <w:noProof/>
        </w:rPr>
        <w:t xml:space="preserve"> </w:t>
      </w:r>
    </w:p>
    <w:p w14:paraId="05201740" w14:textId="44A18A3A" w:rsidR="00C76702" w:rsidRPr="003253EA" w:rsidRDefault="00C76702" w:rsidP="00A414D7">
      <w:pPr>
        <w:pStyle w:val="Text2"/>
        <w:pBdr>
          <w:top w:val="single" w:sz="4" w:space="1" w:color="auto"/>
          <w:left w:val="single" w:sz="4" w:space="4" w:color="auto"/>
          <w:bottom w:val="single" w:sz="4" w:space="1" w:color="auto"/>
          <w:right w:val="single" w:sz="4" w:space="4" w:color="auto"/>
          <w:between w:val="single" w:sz="4" w:space="1" w:color="auto"/>
        </w:pBdr>
        <w:shd w:val="clear" w:color="auto" w:fill="B4C6E7" w:themeFill="accent5" w:themeFillTint="66"/>
        <w:spacing w:after="120"/>
        <w:ind w:left="0"/>
        <w:rPr>
          <w:b/>
          <w:i/>
          <w:noProof/>
          <w:szCs w:val="24"/>
        </w:rPr>
      </w:pPr>
      <w:r>
        <w:rPr>
          <w:b/>
          <w:noProof/>
          <w:u w:val="single"/>
        </w:rPr>
        <w:t xml:space="preserve">Policy option </w:t>
      </w:r>
      <w:r w:rsidR="002D599A">
        <w:rPr>
          <w:b/>
          <w:noProof/>
          <w:u w:val="single"/>
        </w:rPr>
        <w:t>2.1</w:t>
      </w:r>
      <w:r w:rsidRPr="003253EA">
        <w:rPr>
          <w:b/>
          <w:noProof/>
          <w:u w:val="single"/>
        </w:rPr>
        <w:t>:</w:t>
      </w:r>
      <w:r>
        <w:rPr>
          <w:b/>
          <w:noProof/>
        </w:rPr>
        <w:t xml:space="preserve"> </w:t>
      </w:r>
      <w:r w:rsidRPr="00990476">
        <w:rPr>
          <w:b/>
          <w:noProof/>
          <w:szCs w:val="24"/>
        </w:rPr>
        <w:t xml:space="preserve">Continue with Council non-binding guidelines on Single Points of Contact + </w:t>
      </w:r>
      <w:r w:rsidR="00762D7A">
        <w:rPr>
          <w:b/>
          <w:noProof/>
          <w:szCs w:val="24"/>
        </w:rPr>
        <w:t xml:space="preserve">new </w:t>
      </w:r>
      <w:r w:rsidRPr="00990476">
        <w:rPr>
          <w:b/>
          <w:iCs/>
          <w:noProof/>
          <w:szCs w:val="24"/>
        </w:rPr>
        <w:t xml:space="preserve">flanking soft measures (training, financial support, </w:t>
      </w:r>
      <w:r w:rsidR="001E26F1">
        <w:rPr>
          <w:b/>
          <w:iCs/>
          <w:noProof/>
          <w:szCs w:val="24"/>
        </w:rPr>
        <w:t xml:space="preserve">Commission </w:t>
      </w:r>
      <w:r w:rsidRPr="00990476">
        <w:rPr>
          <w:b/>
          <w:iCs/>
          <w:noProof/>
          <w:szCs w:val="24"/>
        </w:rPr>
        <w:t>guidance)</w:t>
      </w:r>
      <w:r>
        <w:rPr>
          <w:iCs/>
          <w:noProof/>
          <w:szCs w:val="24"/>
        </w:rPr>
        <w:t xml:space="preserve"> </w:t>
      </w:r>
    </w:p>
    <w:p w14:paraId="3B28A487" w14:textId="405153B1" w:rsidR="00C76702" w:rsidRDefault="008524D3" w:rsidP="000A5A0E">
      <w:pPr>
        <w:pStyle w:val="Body"/>
        <w:spacing w:before="60" w:after="120"/>
        <w:jc w:val="both"/>
        <w:rPr>
          <w:rFonts w:ascii="Times New Roman" w:hAnsi="Times New Roman"/>
          <w:noProof/>
          <w:sz w:val="24"/>
          <w:szCs w:val="24"/>
        </w:rPr>
      </w:pPr>
      <w:r w:rsidRPr="00704502">
        <w:rPr>
          <w:rFonts w:ascii="Times New Roman" w:hAnsi="Times New Roman"/>
          <w:noProof/>
          <w:sz w:val="24"/>
          <w:szCs w:val="24"/>
        </w:rPr>
        <w:t>Based on the Council guidance, the Schengen evaluations in the field of police cooperation, and on the Study findings, the p</w:t>
      </w:r>
      <w:r w:rsidR="00C76702" w:rsidRPr="008524D3">
        <w:rPr>
          <w:rFonts w:ascii="Times New Roman" w:hAnsi="Times New Roman"/>
          <w:noProof/>
          <w:sz w:val="24"/>
          <w:szCs w:val="24"/>
        </w:rPr>
        <w:t xml:space="preserve">olicy </w:t>
      </w:r>
      <w:r w:rsidR="00C76702">
        <w:rPr>
          <w:rFonts w:ascii="Times New Roman" w:hAnsi="Times New Roman"/>
          <w:noProof/>
          <w:sz w:val="24"/>
          <w:szCs w:val="24"/>
        </w:rPr>
        <w:t xml:space="preserve">option </w:t>
      </w:r>
      <w:r w:rsidR="002D599A">
        <w:rPr>
          <w:rFonts w:ascii="Times New Roman" w:hAnsi="Times New Roman"/>
          <w:noProof/>
          <w:sz w:val="24"/>
          <w:szCs w:val="24"/>
        </w:rPr>
        <w:t>2.1</w:t>
      </w:r>
      <w:r w:rsidR="00C76702">
        <w:rPr>
          <w:rFonts w:ascii="Times New Roman" w:hAnsi="Times New Roman"/>
          <w:noProof/>
          <w:sz w:val="24"/>
          <w:szCs w:val="24"/>
        </w:rPr>
        <w:t xml:space="preserve"> will limit itself to </w:t>
      </w:r>
      <w:r w:rsidR="00C76702" w:rsidRPr="000A5A0E">
        <w:rPr>
          <w:rFonts w:ascii="Times New Roman" w:hAnsi="Times New Roman"/>
          <w:b/>
          <w:noProof/>
          <w:sz w:val="24"/>
          <w:szCs w:val="24"/>
        </w:rPr>
        <w:t>supporting measures</w:t>
      </w:r>
      <w:r w:rsidR="00C76702">
        <w:rPr>
          <w:rFonts w:ascii="Times New Roman" w:hAnsi="Times New Roman"/>
          <w:noProof/>
          <w:sz w:val="24"/>
          <w:szCs w:val="24"/>
        </w:rPr>
        <w:t xml:space="preserve"> to improve the effective and efficient role of SPOCs/PCCCs and any other relevant structures. </w:t>
      </w:r>
    </w:p>
    <w:p w14:paraId="213CA450" w14:textId="78EC0E2F" w:rsidR="00C76702" w:rsidRPr="003737BC" w:rsidRDefault="00C76702" w:rsidP="00EB7963">
      <w:pPr>
        <w:pStyle w:val="Body"/>
        <w:spacing w:before="60" w:after="60"/>
        <w:jc w:val="both"/>
        <w:rPr>
          <w:rFonts w:ascii="Times New Roman" w:hAnsi="Times New Roman"/>
          <w:noProof/>
          <w:sz w:val="24"/>
          <w:szCs w:val="24"/>
        </w:rPr>
      </w:pPr>
      <w:r w:rsidRPr="000A5A0E">
        <w:rPr>
          <w:rFonts w:ascii="Times New Roman" w:hAnsi="Times New Roman"/>
          <w:b/>
          <w:noProof/>
          <w:sz w:val="24"/>
          <w:szCs w:val="24"/>
        </w:rPr>
        <w:t xml:space="preserve">Recommendations </w:t>
      </w:r>
      <w:r w:rsidR="000A5A0E">
        <w:rPr>
          <w:rFonts w:ascii="Times New Roman" w:hAnsi="Times New Roman"/>
          <w:b/>
          <w:noProof/>
          <w:sz w:val="24"/>
          <w:szCs w:val="24"/>
        </w:rPr>
        <w:t>(</w:t>
      </w:r>
      <w:r w:rsidR="00062B1E">
        <w:rPr>
          <w:rFonts w:ascii="Times New Roman" w:hAnsi="Times New Roman"/>
          <w:b/>
          <w:noProof/>
          <w:sz w:val="24"/>
          <w:szCs w:val="16"/>
        </w:rPr>
        <w:t xml:space="preserve">Commission </w:t>
      </w:r>
      <w:r w:rsidR="00062B1E" w:rsidRPr="000A5A0E">
        <w:rPr>
          <w:rFonts w:ascii="Times New Roman" w:hAnsi="Times New Roman"/>
          <w:b/>
          <w:noProof/>
          <w:sz w:val="24"/>
          <w:szCs w:val="16"/>
        </w:rPr>
        <w:t xml:space="preserve">Guidance </w:t>
      </w:r>
      <w:r w:rsidR="00062B1E">
        <w:rPr>
          <w:rFonts w:ascii="Times New Roman" w:hAnsi="Times New Roman"/>
          <w:b/>
          <w:noProof/>
          <w:sz w:val="24"/>
          <w:szCs w:val="16"/>
        </w:rPr>
        <w:t xml:space="preserve">– </w:t>
      </w:r>
      <w:r w:rsidR="00013696">
        <w:rPr>
          <w:rFonts w:ascii="Times New Roman" w:hAnsi="Times New Roman"/>
          <w:b/>
          <w:noProof/>
          <w:sz w:val="24"/>
          <w:szCs w:val="24"/>
        </w:rPr>
        <w:t>'</w:t>
      </w:r>
      <w:r w:rsidR="000A5A0E">
        <w:rPr>
          <w:rFonts w:ascii="Times New Roman" w:hAnsi="Times New Roman"/>
          <w:b/>
          <w:noProof/>
          <w:sz w:val="24"/>
          <w:szCs w:val="24"/>
        </w:rPr>
        <w:t>soft law</w:t>
      </w:r>
      <w:r w:rsidR="00013696">
        <w:rPr>
          <w:rFonts w:ascii="Times New Roman" w:hAnsi="Times New Roman"/>
          <w:b/>
          <w:noProof/>
          <w:sz w:val="24"/>
          <w:szCs w:val="24"/>
        </w:rPr>
        <w:t>'</w:t>
      </w:r>
      <w:r w:rsidR="000A5A0E">
        <w:rPr>
          <w:rFonts w:ascii="Times New Roman" w:hAnsi="Times New Roman"/>
          <w:b/>
          <w:noProof/>
          <w:sz w:val="24"/>
          <w:szCs w:val="24"/>
        </w:rPr>
        <w:t xml:space="preserve">) </w:t>
      </w:r>
      <w:r>
        <w:rPr>
          <w:rFonts w:ascii="Times New Roman" w:hAnsi="Times New Roman"/>
          <w:noProof/>
          <w:sz w:val="24"/>
          <w:szCs w:val="24"/>
        </w:rPr>
        <w:t xml:space="preserve">would be made with a view to support Member States in setting up and developing </w:t>
      </w:r>
      <w:r w:rsidRPr="00671264">
        <w:rPr>
          <w:rFonts w:ascii="Times New Roman" w:hAnsi="Times New Roman"/>
          <w:i/>
          <w:noProof/>
          <w:sz w:val="24"/>
          <w:szCs w:val="24"/>
        </w:rPr>
        <w:t>common requirements for modern case management systems</w:t>
      </w:r>
      <w:r>
        <w:rPr>
          <w:rFonts w:ascii="Times New Roman" w:hAnsi="Times New Roman"/>
          <w:noProof/>
          <w:sz w:val="24"/>
          <w:szCs w:val="24"/>
        </w:rPr>
        <w:t xml:space="preserve"> (CMS). This would include:</w:t>
      </w:r>
    </w:p>
    <w:p w14:paraId="2E785FAA" w14:textId="77777777" w:rsidR="00C76702" w:rsidRPr="00232C76" w:rsidRDefault="00C76702" w:rsidP="00E760E4">
      <w:pPr>
        <w:pStyle w:val="Body"/>
        <w:numPr>
          <w:ilvl w:val="0"/>
          <w:numId w:val="19"/>
        </w:numPr>
        <w:spacing w:before="60" w:after="60"/>
        <w:jc w:val="both"/>
        <w:rPr>
          <w:rFonts w:ascii="Times New Roman" w:hAnsi="Times New Roman"/>
          <w:noProof/>
          <w:sz w:val="24"/>
          <w:szCs w:val="16"/>
        </w:rPr>
      </w:pPr>
      <w:r w:rsidRPr="000A5A0E">
        <w:rPr>
          <w:rFonts w:ascii="Times New Roman" w:hAnsi="Times New Roman"/>
          <w:b/>
          <w:noProof/>
          <w:sz w:val="24"/>
          <w:szCs w:val="16"/>
        </w:rPr>
        <w:t xml:space="preserve">Guidance </w:t>
      </w:r>
      <w:r w:rsidRPr="00232C76">
        <w:rPr>
          <w:rFonts w:ascii="Times New Roman" w:hAnsi="Times New Roman"/>
          <w:noProof/>
          <w:sz w:val="24"/>
          <w:szCs w:val="16"/>
        </w:rPr>
        <w:t>on a list of possible common requirements for the functionalities of the C</w:t>
      </w:r>
      <w:r w:rsidR="000B512D">
        <w:rPr>
          <w:rFonts w:ascii="Times New Roman" w:hAnsi="Times New Roman"/>
          <w:noProof/>
          <w:sz w:val="24"/>
          <w:szCs w:val="16"/>
        </w:rPr>
        <w:t xml:space="preserve">ase </w:t>
      </w:r>
      <w:r w:rsidRPr="00232C76">
        <w:rPr>
          <w:rFonts w:ascii="Times New Roman" w:hAnsi="Times New Roman"/>
          <w:noProof/>
          <w:sz w:val="24"/>
          <w:szCs w:val="16"/>
        </w:rPr>
        <w:t>M</w:t>
      </w:r>
      <w:r w:rsidR="000B512D">
        <w:rPr>
          <w:rFonts w:ascii="Times New Roman" w:hAnsi="Times New Roman"/>
          <w:noProof/>
          <w:sz w:val="24"/>
          <w:szCs w:val="16"/>
        </w:rPr>
        <w:t xml:space="preserve">anagement </w:t>
      </w:r>
      <w:r w:rsidRPr="00232C76">
        <w:rPr>
          <w:rFonts w:ascii="Times New Roman" w:hAnsi="Times New Roman"/>
          <w:noProof/>
          <w:sz w:val="24"/>
          <w:szCs w:val="16"/>
        </w:rPr>
        <w:t>S</w:t>
      </w:r>
      <w:r w:rsidR="000B512D">
        <w:rPr>
          <w:rFonts w:ascii="Times New Roman" w:hAnsi="Times New Roman"/>
          <w:noProof/>
          <w:sz w:val="24"/>
          <w:szCs w:val="16"/>
        </w:rPr>
        <w:t>ystem (CMS)</w:t>
      </w:r>
      <w:r w:rsidRPr="00232C76">
        <w:rPr>
          <w:rFonts w:ascii="Times New Roman" w:hAnsi="Times New Roman"/>
          <w:noProof/>
          <w:sz w:val="24"/>
          <w:szCs w:val="16"/>
        </w:rPr>
        <w:t>, e.g.:</w:t>
      </w:r>
    </w:p>
    <w:p w14:paraId="5AFAC4FD" w14:textId="77777777" w:rsidR="00C76702" w:rsidRPr="00232C76" w:rsidRDefault="00C76702" w:rsidP="00E760E4">
      <w:pPr>
        <w:pStyle w:val="Body"/>
        <w:numPr>
          <w:ilvl w:val="1"/>
          <w:numId w:val="21"/>
        </w:numPr>
        <w:tabs>
          <w:tab w:val="clear" w:pos="1440"/>
        </w:tabs>
        <w:spacing w:after="0"/>
        <w:ind w:left="1029"/>
        <w:jc w:val="both"/>
        <w:rPr>
          <w:rFonts w:ascii="Times New Roman" w:hAnsi="Times New Roman"/>
          <w:noProof/>
          <w:sz w:val="24"/>
          <w:szCs w:val="16"/>
        </w:rPr>
      </w:pPr>
      <w:r w:rsidRPr="00232C76">
        <w:rPr>
          <w:rFonts w:ascii="Times New Roman" w:hAnsi="Times New Roman"/>
          <w:noProof/>
          <w:sz w:val="24"/>
          <w:szCs w:val="16"/>
        </w:rPr>
        <w:t xml:space="preserve">Degrees of urgency should be linked with a deadline (e.g. when a deadline draws near, </w:t>
      </w:r>
      <w:r w:rsidR="00F367B2">
        <w:rPr>
          <w:rFonts w:ascii="Times New Roman" w:hAnsi="Times New Roman"/>
          <w:noProof/>
          <w:sz w:val="24"/>
          <w:szCs w:val="16"/>
        </w:rPr>
        <w:t xml:space="preserve">automated </w:t>
      </w:r>
      <w:r w:rsidRPr="00232C76">
        <w:rPr>
          <w:rFonts w:ascii="Times New Roman" w:hAnsi="Times New Roman"/>
          <w:noProof/>
          <w:sz w:val="24"/>
          <w:szCs w:val="16"/>
        </w:rPr>
        <w:t>alerts should be triggered)</w:t>
      </w:r>
      <w:r>
        <w:rPr>
          <w:rFonts w:ascii="Times New Roman" w:hAnsi="Times New Roman"/>
          <w:noProof/>
          <w:sz w:val="24"/>
          <w:szCs w:val="16"/>
        </w:rPr>
        <w:t>;</w:t>
      </w:r>
    </w:p>
    <w:p w14:paraId="6163FBA5" w14:textId="77777777" w:rsidR="00C76702" w:rsidRPr="00232C76" w:rsidRDefault="00C76702" w:rsidP="00E760E4">
      <w:pPr>
        <w:pStyle w:val="Body"/>
        <w:numPr>
          <w:ilvl w:val="1"/>
          <w:numId w:val="21"/>
        </w:numPr>
        <w:tabs>
          <w:tab w:val="clear" w:pos="1440"/>
        </w:tabs>
        <w:spacing w:after="0"/>
        <w:ind w:left="1029"/>
        <w:jc w:val="both"/>
        <w:rPr>
          <w:rFonts w:ascii="Times New Roman" w:hAnsi="Times New Roman"/>
          <w:noProof/>
          <w:sz w:val="24"/>
          <w:szCs w:val="16"/>
        </w:rPr>
      </w:pPr>
      <w:r w:rsidRPr="00232C76">
        <w:rPr>
          <w:rFonts w:ascii="Times New Roman" w:hAnsi="Times New Roman"/>
          <w:noProof/>
          <w:sz w:val="24"/>
          <w:szCs w:val="16"/>
        </w:rPr>
        <w:t>Selection (in a multiple-choice list by the requesting Member State) and cancellation of the degrees of urgency should be done manually</w:t>
      </w:r>
      <w:r>
        <w:rPr>
          <w:rFonts w:ascii="Times New Roman" w:hAnsi="Times New Roman"/>
          <w:noProof/>
          <w:sz w:val="24"/>
          <w:szCs w:val="16"/>
        </w:rPr>
        <w:t>;</w:t>
      </w:r>
    </w:p>
    <w:p w14:paraId="53B9CBB2" w14:textId="77777777" w:rsidR="00C76702" w:rsidRPr="00232C76" w:rsidRDefault="00C76702" w:rsidP="00E760E4">
      <w:pPr>
        <w:pStyle w:val="Body"/>
        <w:numPr>
          <w:ilvl w:val="1"/>
          <w:numId w:val="21"/>
        </w:numPr>
        <w:tabs>
          <w:tab w:val="clear" w:pos="1440"/>
        </w:tabs>
        <w:spacing w:after="0"/>
        <w:ind w:left="1029"/>
        <w:jc w:val="both"/>
        <w:rPr>
          <w:rFonts w:ascii="Times New Roman" w:hAnsi="Times New Roman"/>
          <w:noProof/>
          <w:sz w:val="24"/>
          <w:szCs w:val="16"/>
        </w:rPr>
      </w:pPr>
      <w:r w:rsidRPr="00232C76">
        <w:rPr>
          <w:rFonts w:ascii="Times New Roman" w:hAnsi="Times New Roman"/>
          <w:noProof/>
          <w:sz w:val="24"/>
          <w:szCs w:val="16"/>
        </w:rPr>
        <w:t>One CMS for receiving, sending a</w:t>
      </w:r>
      <w:r>
        <w:rPr>
          <w:rFonts w:ascii="Times New Roman" w:hAnsi="Times New Roman"/>
          <w:noProof/>
          <w:sz w:val="24"/>
          <w:szCs w:val="16"/>
        </w:rPr>
        <w:t xml:space="preserve">nd dispatching messages (follow </w:t>
      </w:r>
      <w:r w:rsidRPr="00232C76">
        <w:rPr>
          <w:rFonts w:ascii="Times New Roman" w:hAnsi="Times New Roman"/>
          <w:noProof/>
          <w:sz w:val="24"/>
          <w:szCs w:val="16"/>
        </w:rPr>
        <w:t>up, manage, store and exploit the international exchange of i</w:t>
      </w:r>
      <w:r>
        <w:rPr>
          <w:rFonts w:ascii="Times New Roman" w:hAnsi="Times New Roman"/>
          <w:noProof/>
          <w:sz w:val="24"/>
          <w:szCs w:val="16"/>
        </w:rPr>
        <w:t xml:space="preserve">nformation). </w:t>
      </w:r>
      <w:r w:rsidR="00F367B2">
        <w:rPr>
          <w:rFonts w:ascii="Times New Roman" w:hAnsi="Times New Roman"/>
          <w:noProof/>
          <w:sz w:val="24"/>
          <w:szCs w:val="16"/>
        </w:rPr>
        <w:t xml:space="preserve">The </w:t>
      </w:r>
      <w:r>
        <w:rPr>
          <w:rFonts w:ascii="Times New Roman" w:hAnsi="Times New Roman"/>
          <w:noProof/>
          <w:sz w:val="24"/>
          <w:szCs w:val="16"/>
        </w:rPr>
        <w:t>Universal Message F</w:t>
      </w:r>
      <w:r w:rsidRPr="00232C76">
        <w:rPr>
          <w:rFonts w:ascii="Times New Roman" w:hAnsi="Times New Roman"/>
          <w:noProof/>
          <w:sz w:val="24"/>
          <w:szCs w:val="16"/>
        </w:rPr>
        <w:t xml:space="preserve">ormat </w:t>
      </w:r>
      <w:r>
        <w:rPr>
          <w:rFonts w:ascii="Times New Roman" w:hAnsi="Times New Roman"/>
          <w:noProof/>
          <w:sz w:val="24"/>
          <w:szCs w:val="16"/>
        </w:rPr>
        <w:t xml:space="preserve">(UMF) </w:t>
      </w:r>
      <w:r w:rsidR="00F367B2">
        <w:rPr>
          <w:rFonts w:ascii="Times New Roman" w:hAnsi="Times New Roman"/>
          <w:noProof/>
          <w:sz w:val="24"/>
          <w:szCs w:val="16"/>
        </w:rPr>
        <w:t xml:space="preserve">is </w:t>
      </w:r>
      <w:r w:rsidRPr="00232C76">
        <w:rPr>
          <w:rFonts w:ascii="Times New Roman" w:hAnsi="Times New Roman"/>
          <w:noProof/>
          <w:sz w:val="24"/>
          <w:szCs w:val="16"/>
        </w:rPr>
        <w:t>to be used</w:t>
      </w:r>
      <w:r>
        <w:rPr>
          <w:rStyle w:val="FootnoteReference"/>
          <w:rFonts w:ascii="Times New Roman" w:hAnsi="Times New Roman"/>
          <w:noProof/>
          <w:sz w:val="24"/>
          <w:szCs w:val="16"/>
        </w:rPr>
        <w:footnoteReference w:id="88"/>
      </w:r>
      <w:r>
        <w:rPr>
          <w:rFonts w:ascii="Times New Roman" w:hAnsi="Times New Roman"/>
          <w:noProof/>
          <w:sz w:val="24"/>
          <w:szCs w:val="16"/>
        </w:rPr>
        <w:t>;</w:t>
      </w:r>
    </w:p>
    <w:p w14:paraId="356F5CE5" w14:textId="77777777" w:rsidR="00C76702" w:rsidRPr="00232C76" w:rsidRDefault="00C76702" w:rsidP="00E760E4">
      <w:pPr>
        <w:pStyle w:val="Body"/>
        <w:numPr>
          <w:ilvl w:val="1"/>
          <w:numId w:val="21"/>
        </w:numPr>
        <w:tabs>
          <w:tab w:val="clear" w:pos="1440"/>
        </w:tabs>
        <w:spacing w:after="0"/>
        <w:ind w:left="1029"/>
        <w:jc w:val="both"/>
        <w:rPr>
          <w:rFonts w:ascii="Times New Roman" w:hAnsi="Times New Roman"/>
          <w:noProof/>
          <w:sz w:val="24"/>
          <w:szCs w:val="16"/>
        </w:rPr>
      </w:pPr>
      <w:r w:rsidRPr="00232C76">
        <w:rPr>
          <w:rFonts w:ascii="Times New Roman" w:hAnsi="Times New Roman"/>
          <w:noProof/>
          <w:sz w:val="24"/>
          <w:szCs w:val="16"/>
        </w:rPr>
        <w:t>The C</w:t>
      </w:r>
      <w:r w:rsidR="008E27F1">
        <w:rPr>
          <w:rFonts w:ascii="Times New Roman" w:hAnsi="Times New Roman"/>
          <w:noProof/>
          <w:sz w:val="24"/>
          <w:szCs w:val="16"/>
        </w:rPr>
        <w:t xml:space="preserve">ase </w:t>
      </w:r>
      <w:r w:rsidRPr="00232C76">
        <w:rPr>
          <w:rFonts w:ascii="Times New Roman" w:hAnsi="Times New Roman"/>
          <w:noProof/>
          <w:sz w:val="24"/>
          <w:szCs w:val="16"/>
        </w:rPr>
        <w:t>M</w:t>
      </w:r>
      <w:r w:rsidR="008E27F1">
        <w:rPr>
          <w:rFonts w:ascii="Times New Roman" w:hAnsi="Times New Roman"/>
          <w:noProof/>
          <w:sz w:val="24"/>
          <w:szCs w:val="16"/>
        </w:rPr>
        <w:t xml:space="preserve">anagement </w:t>
      </w:r>
      <w:r w:rsidRPr="00232C76">
        <w:rPr>
          <w:rFonts w:ascii="Times New Roman" w:hAnsi="Times New Roman"/>
          <w:noProof/>
          <w:sz w:val="24"/>
          <w:szCs w:val="16"/>
        </w:rPr>
        <w:t>S</w:t>
      </w:r>
      <w:r w:rsidR="008E27F1">
        <w:rPr>
          <w:rFonts w:ascii="Times New Roman" w:hAnsi="Times New Roman"/>
          <w:noProof/>
          <w:sz w:val="24"/>
          <w:szCs w:val="16"/>
        </w:rPr>
        <w:t>ystem (CMS)</w:t>
      </w:r>
      <w:r w:rsidRPr="00232C76">
        <w:rPr>
          <w:rFonts w:ascii="Times New Roman" w:hAnsi="Times New Roman"/>
          <w:noProof/>
          <w:sz w:val="24"/>
          <w:szCs w:val="16"/>
        </w:rPr>
        <w:t xml:space="preserve"> should be able to import and export incoming messages from e-mail, documents or web applications to reduce the number of registration acts to the minimum</w:t>
      </w:r>
      <w:r>
        <w:rPr>
          <w:rFonts w:ascii="Times New Roman" w:hAnsi="Times New Roman"/>
          <w:noProof/>
          <w:sz w:val="24"/>
          <w:szCs w:val="16"/>
        </w:rPr>
        <w:t>;</w:t>
      </w:r>
    </w:p>
    <w:p w14:paraId="0C4B91A4" w14:textId="77777777" w:rsidR="00C76702" w:rsidRPr="00232C76" w:rsidRDefault="00C76702" w:rsidP="00E760E4">
      <w:pPr>
        <w:pStyle w:val="Body"/>
        <w:numPr>
          <w:ilvl w:val="1"/>
          <w:numId w:val="21"/>
        </w:numPr>
        <w:tabs>
          <w:tab w:val="clear" w:pos="1440"/>
        </w:tabs>
        <w:spacing w:after="0"/>
        <w:ind w:left="1029"/>
        <w:jc w:val="both"/>
        <w:rPr>
          <w:rFonts w:ascii="Times New Roman" w:hAnsi="Times New Roman"/>
          <w:noProof/>
          <w:sz w:val="24"/>
          <w:szCs w:val="16"/>
        </w:rPr>
      </w:pPr>
      <w:r w:rsidRPr="00232C76">
        <w:rPr>
          <w:rFonts w:ascii="Times New Roman" w:hAnsi="Times New Roman"/>
          <w:noProof/>
          <w:sz w:val="24"/>
          <w:szCs w:val="16"/>
        </w:rPr>
        <w:t>Clear identification of the case and its components</w:t>
      </w:r>
      <w:r>
        <w:rPr>
          <w:rFonts w:ascii="Times New Roman" w:hAnsi="Times New Roman"/>
          <w:noProof/>
          <w:sz w:val="24"/>
          <w:szCs w:val="16"/>
        </w:rPr>
        <w:t>: w</w:t>
      </w:r>
      <w:r w:rsidRPr="00232C76">
        <w:rPr>
          <w:rFonts w:ascii="Times New Roman" w:hAnsi="Times New Roman"/>
          <w:noProof/>
          <w:sz w:val="24"/>
          <w:szCs w:val="16"/>
        </w:rPr>
        <w:t xml:space="preserve">ithin the case (unique case number), all documents and acts should be clearly identified. The CMS should be able to make links </w:t>
      </w:r>
      <w:r w:rsidR="00F367B2">
        <w:rPr>
          <w:rFonts w:ascii="Times New Roman" w:hAnsi="Times New Roman"/>
          <w:noProof/>
          <w:sz w:val="24"/>
          <w:szCs w:val="16"/>
        </w:rPr>
        <w:t xml:space="preserve">between </w:t>
      </w:r>
      <w:r w:rsidRPr="00232C76">
        <w:rPr>
          <w:rFonts w:ascii="Times New Roman" w:hAnsi="Times New Roman"/>
          <w:noProof/>
          <w:sz w:val="24"/>
          <w:szCs w:val="16"/>
        </w:rPr>
        <w:t>persons/objects; per item – per act; author, date and time. This should be done automatically on the basis of the user profile</w:t>
      </w:r>
      <w:r>
        <w:rPr>
          <w:rFonts w:ascii="Times New Roman" w:hAnsi="Times New Roman"/>
          <w:noProof/>
          <w:sz w:val="24"/>
          <w:szCs w:val="16"/>
        </w:rPr>
        <w:t>;</w:t>
      </w:r>
    </w:p>
    <w:p w14:paraId="4A1EE8E4" w14:textId="337FCD48" w:rsidR="00C76702" w:rsidRDefault="00C76702" w:rsidP="00E760E4">
      <w:pPr>
        <w:pStyle w:val="Body"/>
        <w:numPr>
          <w:ilvl w:val="1"/>
          <w:numId w:val="21"/>
        </w:numPr>
        <w:tabs>
          <w:tab w:val="clear" w:pos="1440"/>
        </w:tabs>
        <w:spacing w:after="0"/>
        <w:ind w:left="1029"/>
        <w:jc w:val="both"/>
        <w:rPr>
          <w:rFonts w:ascii="Times New Roman" w:hAnsi="Times New Roman"/>
          <w:noProof/>
          <w:sz w:val="24"/>
          <w:szCs w:val="16"/>
        </w:rPr>
      </w:pPr>
      <w:r w:rsidRPr="00232C76">
        <w:rPr>
          <w:rFonts w:ascii="Times New Roman" w:hAnsi="Times New Roman"/>
          <w:noProof/>
          <w:sz w:val="24"/>
          <w:szCs w:val="16"/>
        </w:rPr>
        <w:t>Automation of data cross-check, e.g. through improved search tools and the adoption of translit</w:t>
      </w:r>
      <w:r>
        <w:rPr>
          <w:rFonts w:ascii="Times New Roman" w:hAnsi="Times New Roman"/>
          <w:noProof/>
          <w:sz w:val="24"/>
          <w:szCs w:val="16"/>
        </w:rPr>
        <w:t xml:space="preserve">eration and </w:t>
      </w:r>
      <w:r w:rsidR="001E26F1">
        <w:rPr>
          <w:rFonts w:ascii="Times New Roman" w:hAnsi="Times New Roman"/>
          <w:noProof/>
          <w:sz w:val="24"/>
          <w:szCs w:val="16"/>
        </w:rPr>
        <w:t>“</w:t>
      </w:r>
      <w:r w:rsidRPr="00232C76">
        <w:rPr>
          <w:rFonts w:ascii="Times New Roman" w:hAnsi="Times New Roman"/>
          <w:noProof/>
          <w:sz w:val="24"/>
          <w:szCs w:val="16"/>
        </w:rPr>
        <w:t>fuzzy logic</w:t>
      </w:r>
      <w:r w:rsidR="001E26F1">
        <w:rPr>
          <w:rFonts w:ascii="Times New Roman" w:hAnsi="Times New Roman"/>
          <w:noProof/>
          <w:sz w:val="24"/>
          <w:szCs w:val="16"/>
        </w:rPr>
        <w:t>”</w:t>
      </w:r>
      <w:r w:rsidRPr="00232C76">
        <w:rPr>
          <w:rFonts w:ascii="Times New Roman" w:hAnsi="Times New Roman"/>
          <w:noProof/>
          <w:sz w:val="24"/>
          <w:szCs w:val="16"/>
        </w:rPr>
        <w:t xml:space="preserve"> search</w:t>
      </w:r>
      <w:r>
        <w:rPr>
          <w:rFonts w:ascii="Times New Roman" w:hAnsi="Times New Roman"/>
          <w:noProof/>
          <w:sz w:val="24"/>
          <w:szCs w:val="16"/>
        </w:rPr>
        <w:t>;</w:t>
      </w:r>
    </w:p>
    <w:p w14:paraId="1ED94208" w14:textId="77777777" w:rsidR="00C76702" w:rsidRPr="00232C76" w:rsidRDefault="00C76702" w:rsidP="00E760E4">
      <w:pPr>
        <w:pStyle w:val="Body"/>
        <w:numPr>
          <w:ilvl w:val="1"/>
          <w:numId w:val="21"/>
        </w:numPr>
        <w:tabs>
          <w:tab w:val="clear" w:pos="1440"/>
        </w:tabs>
        <w:spacing w:after="0"/>
        <w:ind w:left="1029"/>
        <w:jc w:val="both"/>
        <w:rPr>
          <w:rFonts w:ascii="Times New Roman" w:hAnsi="Times New Roman"/>
          <w:noProof/>
          <w:sz w:val="24"/>
          <w:szCs w:val="16"/>
        </w:rPr>
      </w:pPr>
      <w:r w:rsidRPr="00405AE5">
        <w:rPr>
          <w:rFonts w:ascii="Times New Roman" w:hAnsi="Times New Roman"/>
          <w:noProof/>
          <w:sz w:val="24"/>
          <w:szCs w:val="24"/>
        </w:rPr>
        <w:t xml:space="preserve">further coordination between the SPOCs and the PCCCs </w:t>
      </w:r>
      <w:r>
        <w:rPr>
          <w:rFonts w:ascii="Times New Roman" w:hAnsi="Times New Roman"/>
          <w:noProof/>
          <w:sz w:val="24"/>
          <w:szCs w:val="24"/>
        </w:rPr>
        <w:t>(and other relevant bodies)</w:t>
      </w:r>
      <w:r w:rsidRPr="00A62CAE">
        <w:rPr>
          <w:rFonts w:ascii="Times New Roman" w:hAnsi="Times New Roman"/>
          <w:noProof/>
          <w:sz w:val="24"/>
          <w:szCs w:val="24"/>
        </w:rPr>
        <w:t xml:space="preserve"> </w:t>
      </w:r>
      <w:r>
        <w:rPr>
          <w:rFonts w:ascii="Times New Roman" w:hAnsi="Times New Roman"/>
          <w:noProof/>
          <w:sz w:val="24"/>
          <w:szCs w:val="24"/>
        </w:rPr>
        <w:t xml:space="preserve">through the </w:t>
      </w:r>
      <w:r w:rsidR="00432BD6">
        <w:rPr>
          <w:rFonts w:ascii="Times New Roman" w:hAnsi="Times New Roman"/>
          <w:noProof/>
          <w:sz w:val="24"/>
          <w:szCs w:val="24"/>
        </w:rPr>
        <w:t xml:space="preserve">interconnectivity </w:t>
      </w:r>
      <w:r>
        <w:rPr>
          <w:rFonts w:ascii="Times New Roman" w:hAnsi="Times New Roman"/>
          <w:noProof/>
          <w:sz w:val="24"/>
          <w:szCs w:val="24"/>
        </w:rPr>
        <w:t>between their respective CMS</w:t>
      </w:r>
      <w:r w:rsidR="00F367B2">
        <w:rPr>
          <w:rFonts w:ascii="Times New Roman" w:hAnsi="Times New Roman"/>
          <w:noProof/>
          <w:sz w:val="24"/>
          <w:szCs w:val="24"/>
        </w:rPr>
        <w:t>s</w:t>
      </w:r>
      <w:r>
        <w:rPr>
          <w:rFonts w:ascii="Times New Roman" w:hAnsi="Times New Roman"/>
          <w:noProof/>
          <w:sz w:val="24"/>
          <w:szCs w:val="24"/>
        </w:rPr>
        <w:t>;</w:t>
      </w:r>
    </w:p>
    <w:p w14:paraId="0FC6E029" w14:textId="77777777" w:rsidR="00C76702" w:rsidRPr="00232C76" w:rsidRDefault="00C76702" w:rsidP="00110ADB">
      <w:pPr>
        <w:pStyle w:val="Body"/>
        <w:numPr>
          <w:ilvl w:val="1"/>
          <w:numId w:val="21"/>
        </w:numPr>
        <w:tabs>
          <w:tab w:val="clear" w:pos="1440"/>
        </w:tabs>
        <w:spacing w:after="60"/>
        <w:ind w:left="1026" w:hanging="357"/>
        <w:jc w:val="both"/>
        <w:rPr>
          <w:rFonts w:ascii="Times New Roman" w:hAnsi="Times New Roman"/>
          <w:noProof/>
          <w:sz w:val="24"/>
          <w:szCs w:val="16"/>
        </w:rPr>
      </w:pPr>
      <w:r w:rsidRPr="00232C76">
        <w:rPr>
          <w:rFonts w:ascii="Times New Roman" w:hAnsi="Times New Roman"/>
          <w:noProof/>
          <w:sz w:val="24"/>
          <w:szCs w:val="16"/>
        </w:rPr>
        <w:t>Generation of</w:t>
      </w:r>
      <w:r w:rsidR="00F367B2">
        <w:rPr>
          <w:rFonts w:ascii="Times New Roman" w:hAnsi="Times New Roman"/>
          <w:noProof/>
          <w:sz w:val="24"/>
          <w:szCs w:val="16"/>
        </w:rPr>
        <w:t xml:space="preserve"> necessary</w:t>
      </w:r>
      <w:r w:rsidRPr="00232C76">
        <w:rPr>
          <w:rFonts w:ascii="Times New Roman" w:hAnsi="Times New Roman"/>
          <w:noProof/>
          <w:sz w:val="24"/>
          <w:szCs w:val="16"/>
        </w:rPr>
        <w:t xml:space="preserve"> statistics for national analytical needs.</w:t>
      </w:r>
    </w:p>
    <w:p w14:paraId="5B9241A9" w14:textId="77777777" w:rsidR="00C76702" w:rsidRPr="00232C76" w:rsidRDefault="00C76702" w:rsidP="00110ADB">
      <w:pPr>
        <w:pStyle w:val="Body"/>
        <w:numPr>
          <w:ilvl w:val="0"/>
          <w:numId w:val="20"/>
        </w:numPr>
        <w:spacing w:after="60"/>
        <w:ind w:left="533" w:hanging="357"/>
        <w:jc w:val="both"/>
        <w:rPr>
          <w:rFonts w:ascii="Times New Roman" w:hAnsi="Times New Roman"/>
          <w:noProof/>
          <w:sz w:val="24"/>
          <w:szCs w:val="16"/>
        </w:rPr>
      </w:pPr>
      <w:r w:rsidRPr="000A5A0E">
        <w:rPr>
          <w:rFonts w:ascii="Times New Roman" w:hAnsi="Times New Roman"/>
          <w:b/>
          <w:noProof/>
          <w:sz w:val="24"/>
          <w:szCs w:val="16"/>
        </w:rPr>
        <w:t xml:space="preserve">Guidance </w:t>
      </w:r>
      <w:r w:rsidRPr="00232C76">
        <w:rPr>
          <w:rFonts w:ascii="Times New Roman" w:hAnsi="Times New Roman"/>
          <w:noProof/>
          <w:sz w:val="24"/>
          <w:szCs w:val="16"/>
        </w:rPr>
        <w:t>on accreditation of the CMS</w:t>
      </w:r>
      <w:r w:rsidRPr="00232C76">
        <w:rPr>
          <w:rFonts w:ascii="Times New Roman" w:hAnsi="Times New Roman"/>
          <w:b/>
          <w:noProof/>
          <w:sz w:val="24"/>
          <w:szCs w:val="16"/>
        </w:rPr>
        <w:t xml:space="preserve"> </w:t>
      </w:r>
      <w:r w:rsidRPr="00232C76">
        <w:rPr>
          <w:rFonts w:ascii="Times New Roman" w:hAnsi="Times New Roman"/>
          <w:noProof/>
          <w:sz w:val="24"/>
          <w:szCs w:val="16"/>
        </w:rPr>
        <w:t>(security needs, security check for data access, data protection, handling codes, confidentiality, access rights by different units and to EU databases)</w:t>
      </w:r>
      <w:r>
        <w:rPr>
          <w:rFonts w:ascii="Times New Roman" w:hAnsi="Times New Roman"/>
          <w:noProof/>
          <w:sz w:val="24"/>
          <w:szCs w:val="16"/>
        </w:rPr>
        <w:t>;</w:t>
      </w:r>
    </w:p>
    <w:p w14:paraId="14EDD626" w14:textId="77777777" w:rsidR="00C76702" w:rsidRPr="00232C76" w:rsidRDefault="00C76702" w:rsidP="00110ADB">
      <w:pPr>
        <w:pStyle w:val="Body"/>
        <w:numPr>
          <w:ilvl w:val="0"/>
          <w:numId w:val="20"/>
        </w:numPr>
        <w:spacing w:after="60"/>
        <w:ind w:left="533" w:hanging="357"/>
        <w:jc w:val="both"/>
        <w:rPr>
          <w:rFonts w:ascii="Times New Roman" w:hAnsi="Times New Roman"/>
          <w:noProof/>
          <w:sz w:val="24"/>
          <w:szCs w:val="16"/>
        </w:rPr>
      </w:pPr>
      <w:r w:rsidRPr="000A5A0E">
        <w:rPr>
          <w:rFonts w:ascii="Times New Roman" w:hAnsi="Times New Roman"/>
          <w:b/>
          <w:noProof/>
          <w:sz w:val="24"/>
          <w:szCs w:val="16"/>
        </w:rPr>
        <w:t>Guidance</w:t>
      </w:r>
      <w:r w:rsidRPr="00232C76">
        <w:rPr>
          <w:rFonts w:ascii="Times New Roman" w:hAnsi="Times New Roman"/>
          <w:noProof/>
          <w:sz w:val="24"/>
          <w:szCs w:val="16"/>
        </w:rPr>
        <w:t xml:space="preserve"> on quality control:</w:t>
      </w:r>
      <w:r w:rsidRPr="00232C76">
        <w:rPr>
          <w:rFonts w:ascii="Times New Roman" w:hAnsi="Times New Roman"/>
          <w:b/>
          <w:noProof/>
          <w:sz w:val="24"/>
          <w:szCs w:val="16"/>
        </w:rPr>
        <w:t xml:space="preserve"> </w:t>
      </w:r>
      <w:r w:rsidRPr="00232C76">
        <w:rPr>
          <w:rFonts w:ascii="Times New Roman" w:hAnsi="Times New Roman"/>
          <w:noProof/>
          <w:sz w:val="24"/>
          <w:szCs w:val="16"/>
        </w:rPr>
        <w:t>Through subject-based registration and the use of structured and mandatory fields and multiple-choice lists, certain quality requirements can be met beforehand without needing to condu</w:t>
      </w:r>
      <w:r>
        <w:rPr>
          <w:rFonts w:ascii="Times New Roman" w:hAnsi="Times New Roman"/>
          <w:noProof/>
          <w:sz w:val="24"/>
          <w:szCs w:val="16"/>
        </w:rPr>
        <w:t>ct additional checks afterwards;</w:t>
      </w:r>
    </w:p>
    <w:p w14:paraId="033D3CE9" w14:textId="77777777" w:rsidR="00C76702" w:rsidRDefault="00C76702" w:rsidP="00110ADB">
      <w:pPr>
        <w:pStyle w:val="Body"/>
        <w:numPr>
          <w:ilvl w:val="0"/>
          <w:numId w:val="20"/>
        </w:numPr>
        <w:spacing w:after="60"/>
        <w:ind w:left="533" w:hanging="357"/>
        <w:jc w:val="both"/>
        <w:rPr>
          <w:rFonts w:ascii="Times New Roman" w:hAnsi="Times New Roman"/>
          <w:noProof/>
          <w:sz w:val="24"/>
          <w:szCs w:val="16"/>
        </w:rPr>
      </w:pPr>
      <w:r w:rsidRPr="000A5A0E">
        <w:rPr>
          <w:rFonts w:ascii="Times New Roman" w:hAnsi="Times New Roman"/>
          <w:b/>
          <w:noProof/>
          <w:sz w:val="24"/>
          <w:szCs w:val="16"/>
        </w:rPr>
        <w:t>Guidance</w:t>
      </w:r>
      <w:r w:rsidRPr="00232C76">
        <w:rPr>
          <w:rFonts w:ascii="Times New Roman" w:hAnsi="Times New Roman"/>
          <w:noProof/>
          <w:sz w:val="24"/>
          <w:szCs w:val="16"/>
        </w:rPr>
        <w:t xml:space="preserve"> on availability of technical support</w:t>
      </w:r>
      <w:r>
        <w:rPr>
          <w:rFonts w:ascii="Times New Roman" w:hAnsi="Times New Roman"/>
          <w:noProof/>
          <w:sz w:val="24"/>
          <w:szCs w:val="16"/>
        </w:rPr>
        <w:t>;</w:t>
      </w:r>
    </w:p>
    <w:p w14:paraId="5F566699" w14:textId="77777777" w:rsidR="00C76702" w:rsidRDefault="00C76702" w:rsidP="00E760E4">
      <w:pPr>
        <w:pStyle w:val="Body"/>
        <w:numPr>
          <w:ilvl w:val="0"/>
          <w:numId w:val="20"/>
        </w:numPr>
        <w:spacing w:after="120"/>
        <w:ind w:left="533" w:hanging="357"/>
        <w:jc w:val="both"/>
        <w:rPr>
          <w:rFonts w:ascii="Times New Roman" w:hAnsi="Times New Roman"/>
          <w:noProof/>
          <w:sz w:val="24"/>
          <w:szCs w:val="16"/>
        </w:rPr>
      </w:pPr>
      <w:r w:rsidRPr="005B0664">
        <w:rPr>
          <w:rFonts w:ascii="Times New Roman" w:hAnsi="Times New Roman"/>
          <w:noProof/>
          <w:sz w:val="24"/>
          <w:szCs w:val="16"/>
        </w:rPr>
        <w:t>Training on CMS use.</w:t>
      </w:r>
    </w:p>
    <w:p w14:paraId="10AADF04" w14:textId="77777777" w:rsidR="00C76702" w:rsidRPr="00392FE4" w:rsidRDefault="00C76702" w:rsidP="00FC462E">
      <w:pPr>
        <w:pStyle w:val="Body"/>
        <w:jc w:val="both"/>
        <w:rPr>
          <w:rFonts w:ascii="Times New Roman" w:hAnsi="Times New Roman"/>
          <w:noProof/>
          <w:sz w:val="28"/>
          <w:szCs w:val="16"/>
        </w:rPr>
      </w:pPr>
      <w:r w:rsidRPr="00392FE4">
        <w:rPr>
          <w:rFonts w:ascii="Times New Roman" w:hAnsi="Times New Roman"/>
          <w:noProof/>
          <w:sz w:val="24"/>
          <w:szCs w:val="16"/>
        </w:rPr>
        <w:t>Updating existing Council guidelines in view to achieve further approximation of practices will require an active support from the Member States given national specificities and related technicalities.</w:t>
      </w:r>
      <w:r>
        <w:rPr>
          <w:rFonts w:ascii="Times New Roman" w:hAnsi="Times New Roman"/>
          <w:noProof/>
          <w:sz w:val="24"/>
          <w:szCs w:val="16"/>
        </w:rPr>
        <w:t xml:space="preserve"> IT upgrades would require financial supports.</w:t>
      </w:r>
    </w:p>
    <w:p w14:paraId="063A685C" w14:textId="19B1C273" w:rsidR="00C76702" w:rsidRPr="00990476"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120"/>
        <w:ind w:left="0"/>
        <w:rPr>
          <w:b/>
          <w:noProof/>
          <w:szCs w:val="24"/>
        </w:rPr>
      </w:pPr>
      <w:r>
        <w:rPr>
          <w:b/>
          <w:noProof/>
          <w:szCs w:val="24"/>
          <w:u w:val="single"/>
        </w:rPr>
        <w:t xml:space="preserve">Policy option </w:t>
      </w:r>
      <w:r w:rsidR="002D599A">
        <w:rPr>
          <w:b/>
          <w:noProof/>
          <w:szCs w:val="24"/>
          <w:u w:val="single"/>
        </w:rPr>
        <w:t>2.2</w:t>
      </w:r>
      <w:r w:rsidRPr="00514E93">
        <w:rPr>
          <w:b/>
          <w:noProof/>
          <w:szCs w:val="24"/>
          <w:u w:val="single"/>
        </w:rPr>
        <w:t>:</w:t>
      </w:r>
      <w:r w:rsidRPr="00990476">
        <w:rPr>
          <w:b/>
          <w:noProof/>
          <w:szCs w:val="24"/>
        </w:rPr>
        <w:t xml:space="preserve"> </w:t>
      </w:r>
      <w:r w:rsidRPr="00990476">
        <w:rPr>
          <w:b/>
          <w:i/>
          <w:noProof/>
          <w:szCs w:val="24"/>
        </w:rPr>
        <w:t>Approximation of minimum standards</w:t>
      </w:r>
      <w:r>
        <w:rPr>
          <w:noProof/>
          <w:szCs w:val="24"/>
        </w:rPr>
        <w:t xml:space="preserve"> </w:t>
      </w:r>
      <w:r w:rsidRPr="00990476">
        <w:rPr>
          <w:b/>
          <w:noProof/>
          <w:szCs w:val="24"/>
        </w:rPr>
        <w:t xml:space="preserve">on the composition of the Single Points of Contact (including </w:t>
      </w:r>
      <w:r w:rsidR="00FE0E3B" w:rsidRPr="00FE0E3B">
        <w:rPr>
          <w:b/>
          <w:noProof/>
          <w:szCs w:val="24"/>
        </w:rPr>
        <w:t>when a jud</w:t>
      </w:r>
      <w:r w:rsidR="00FE0E3B">
        <w:rPr>
          <w:b/>
          <w:noProof/>
          <w:szCs w:val="24"/>
        </w:rPr>
        <w:t>icial authorisation is required</w:t>
      </w:r>
      <w:r w:rsidRPr="00990476">
        <w:rPr>
          <w:b/>
          <w:noProof/>
          <w:szCs w:val="24"/>
        </w:rPr>
        <w:t xml:space="preserve">), its functions, staffing and IT systems, and its cooperation with </w:t>
      </w:r>
      <w:r w:rsidR="006977B6">
        <w:rPr>
          <w:b/>
          <w:noProof/>
          <w:szCs w:val="24"/>
        </w:rPr>
        <w:t xml:space="preserve">regional </w:t>
      </w:r>
      <w:r w:rsidRPr="00990476">
        <w:rPr>
          <w:b/>
          <w:noProof/>
          <w:szCs w:val="24"/>
        </w:rPr>
        <w:t>structures such as Police and Customs Cooperation Centres</w:t>
      </w:r>
      <w:r>
        <w:rPr>
          <w:b/>
          <w:noProof/>
          <w:szCs w:val="24"/>
        </w:rPr>
        <w:t xml:space="preserve"> </w:t>
      </w:r>
      <w:r w:rsidRPr="00990476">
        <w:rPr>
          <w:b/>
          <w:noProof/>
          <w:szCs w:val="24"/>
        </w:rPr>
        <w:t xml:space="preserve">+ </w:t>
      </w:r>
      <w:r w:rsidR="001E26F1">
        <w:rPr>
          <w:b/>
          <w:noProof/>
          <w:szCs w:val="24"/>
        </w:rPr>
        <w:t xml:space="preserve">new </w:t>
      </w:r>
      <w:r w:rsidRPr="00990476">
        <w:rPr>
          <w:b/>
          <w:iCs/>
          <w:noProof/>
          <w:szCs w:val="24"/>
        </w:rPr>
        <w:t>flanking soft measures (</w:t>
      </w:r>
      <w:r w:rsidR="001E26F1">
        <w:rPr>
          <w:b/>
          <w:iCs/>
          <w:noProof/>
          <w:szCs w:val="24"/>
        </w:rPr>
        <w:t>as in option 2.1</w:t>
      </w:r>
      <w:r>
        <w:rPr>
          <w:b/>
          <w:iCs/>
          <w:noProof/>
          <w:szCs w:val="24"/>
        </w:rPr>
        <w:t>)</w:t>
      </w:r>
    </w:p>
    <w:p w14:paraId="09C244FA" w14:textId="77777777" w:rsidR="00C76702" w:rsidRDefault="008524D3" w:rsidP="004B37BF">
      <w:pPr>
        <w:pStyle w:val="Text2"/>
        <w:spacing w:after="120"/>
        <w:ind w:left="0"/>
        <w:rPr>
          <w:noProof/>
        </w:rPr>
      </w:pPr>
      <w:r w:rsidRPr="00B77914">
        <w:rPr>
          <w:noProof/>
          <w:szCs w:val="24"/>
        </w:rPr>
        <w:t xml:space="preserve">Based on the Council' guidance, the Schengen evaluations in the field of police cooperation, and on the Study' findings, the </w:t>
      </w:r>
      <w:r>
        <w:rPr>
          <w:noProof/>
          <w:szCs w:val="24"/>
        </w:rPr>
        <w:t>p</w:t>
      </w:r>
      <w:r w:rsidR="00C76702">
        <w:rPr>
          <w:noProof/>
        </w:rPr>
        <w:t xml:space="preserve">olicy option </w:t>
      </w:r>
      <w:r w:rsidR="002D599A">
        <w:rPr>
          <w:noProof/>
        </w:rPr>
        <w:t>2.2</w:t>
      </w:r>
      <w:r w:rsidR="00C76702">
        <w:rPr>
          <w:noProof/>
        </w:rPr>
        <w:t xml:space="preserve"> will ensure the </w:t>
      </w:r>
      <w:r w:rsidR="00C76702" w:rsidRPr="00405AE5">
        <w:rPr>
          <w:i/>
          <w:noProof/>
        </w:rPr>
        <w:t>approximation of common minimum requirements</w:t>
      </w:r>
      <w:r w:rsidR="00C76702">
        <w:rPr>
          <w:noProof/>
        </w:rPr>
        <w:t xml:space="preserve"> regarding the SPOCs/PCCCs' (and</w:t>
      </w:r>
      <w:r w:rsidR="00C76702">
        <w:rPr>
          <w:noProof/>
          <w:szCs w:val="24"/>
        </w:rPr>
        <w:t xml:space="preserve"> any other relevant bodies)</w:t>
      </w:r>
      <w:r w:rsidR="00C76702">
        <w:rPr>
          <w:noProof/>
        </w:rPr>
        <w:t xml:space="preserve"> environment (structure, composition, role, IT capabilities and staffing).</w:t>
      </w:r>
      <w:r w:rsidR="000A5A0E">
        <w:rPr>
          <w:noProof/>
        </w:rPr>
        <w:t xml:space="preserve"> </w:t>
      </w:r>
      <w:r w:rsidR="00C76702">
        <w:rPr>
          <w:noProof/>
        </w:rPr>
        <w:t xml:space="preserve">These common minumum requirements </w:t>
      </w:r>
      <w:r w:rsidR="000A5A0E" w:rsidRPr="000A5A0E">
        <w:rPr>
          <w:b/>
          <w:noProof/>
        </w:rPr>
        <w:t>(</w:t>
      </w:r>
      <w:r w:rsidR="003A6CCB">
        <w:rPr>
          <w:b/>
          <w:noProof/>
        </w:rPr>
        <w:t>'</w:t>
      </w:r>
      <w:r w:rsidR="000A5A0E" w:rsidRPr="000A5A0E">
        <w:rPr>
          <w:b/>
          <w:noProof/>
        </w:rPr>
        <w:t>hard law</w:t>
      </w:r>
      <w:r w:rsidR="003A6CCB">
        <w:rPr>
          <w:b/>
          <w:noProof/>
        </w:rPr>
        <w:t>'</w:t>
      </w:r>
      <w:r w:rsidR="000A5A0E" w:rsidRPr="000A5A0E">
        <w:rPr>
          <w:b/>
          <w:noProof/>
        </w:rPr>
        <w:t xml:space="preserve">) </w:t>
      </w:r>
      <w:r w:rsidR="00C76702">
        <w:rPr>
          <w:noProof/>
        </w:rPr>
        <w:t xml:space="preserve">will cover: </w:t>
      </w:r>
    </w:p>
    <w:p w14:paraId="7CDCDD18" w14:textId="77777777" w:rsidR="00C76702" w:rsidRPr="00405AE5" w:rsidRDefault="00C76702" w:rsidP="000A5A0E">
      <w:pPr>
        <w:pStyle w:val="Body"/>
        <w:numPr>
          <w:ilvl w:val="0"/>
          <w:numId w:val="23"/>
        </w:numPr>
        <w:spacing w:after="60"/>
        <w:ind w:left="714" w:hanging="357"/>
        <w:jc w:val="both"/>
        <w:rPr>
          <w:rFonts w:ascii="Times New Roman" w:hAnsi="Times New Roman"/>
          <w:noProof/>
          <w:sz w:val="24"/>
          <w:szCs w:val="24"/>
        </w:rPr>
      </w:pPr>
      <w:r w:rsidRPr="00405AE5">
        <w:rPr>
          <w:rFonts w:ascii="Times New Roman" w:hAnsi="Times New Roman"/>
          <w:i/>
          <w:noProof/>
          <w:sz w:val="24"/>
          <w:szCs w:val="24"/>
        </w:rPr>
        <w:t xml:space="preserve">Establishment of the SPOC as a </w:t>
      </w:r>
      <w:r>
        <w:rPr>
          <w:rFonts w:ascii="Times New Roman" w:hAnsi="Times New Roman"/>
          <w:i/>
          <w:noProof/>
          <w:sz w:val="24"/>
          <w:szCs w:val="24"/>
        </w:rPr>
        <w:t>"</w:t>
      </w:r>
      <w:r w:rsidRPr="00405AE5">
        <w:rPr>
          <w:rFonts w:ascii="Times New Roman" w:hAnsi="Times New Roman"/>
          <w:i/>
          <w:noProof/>
          <w:sz w:val="24"/>
          <w:szCs w:val="24"/>
        </w:rPr>
        <w:t>one stop shop</w:t>
      </w:r>
      <w:r>
        <w:rPr>
          <w:rFonts w:ascii="Times New Roman" w:hAnsi="Times New Roman"/>
          <w:i/>
          <w:noProof/>
          <w:sz w:val="24"/>
          <w:szCs w:val="24"/>
        </w:rPr>
        <w:t>"</w:t>
      </w:r>
      <w:r w:rsidRPr="00405AE5">
        <w:rPr>
          <w:rFonts w:ascii="Times New Roman" w:hAnsi="Times New Roman"/>
          <w:i/>
          <w:noProof/>
          <w:sz w:val="24"/>
          <w:szCs w:val="24"/>
        </w:rPr>
        <w:t xml:space="preserve"> for LEA cooperation through common minimum standards. A SPOC should</w:t>
      </w:r>
      <w:r w:rsidRPr="00405AE5">
        <w:rPr>
          <w:rFonts w:ascii="Times New Roman" w:hAnsi="Times New Roman"/>
          <w:noProof/>
          <w:sz w:val="24"/>
          <w:szCs w:val="24"/>
        </w:rPr>
        <w:t xml:space="preserve">: </w:t>
      </w:r>
    </w:p>
    <w:p w14:paraId="401ADD5A" w14:textId="77777777" w:rsidR="00C76702" w:rsidRPr="00405AE5"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 xml:space="preserve">Be, at the minimum, informed about all international law enforcement cooperation requests dealt with at national level, and, in addition, be established as the </w:t>
      </w:r>
      <w:r w:rsidRPr="00704502">
        <w:rPr>
          <w:rFonts w:ascii="Times New Roman" w:hAnsi="Times New Roman"/>
          <w:noProof/>
          <w:sz w:val="24"/>
          <w:szCs w:val="24"/>
        </w:rPr>
        <w:t>preferred</w:t>
      </w:r>
      <w:r w:rsidRPr="00D552E0">
        <w:rPr>
          <w:rFonts w:ascii="Times New Roman" w:hAnsi="Times New Roman"/>
          <w:noProof/>
          <w:sz w:val="24"/>
          <w:szCs w:val="24"/>
        </w:rPr>
        <w:t xml:space="preserve"> </w:t>
      </w:r>
      <w:r w:rsidRPr="00405AE5">
        <w:rPr>
          <w:rFonts w:ascii="Times New Roman" w:hAnsi="Times New Roman"/>
          <w:noProof/>
          <w:sz w:val="24"/>
          <w:szCs w:val="24"/>
        </w:rPr>
        <w:t>hub to handle intra-EU law enforcement cooperation requests</w:t>
      </w:r>
      <w:r>
        <w:rPr>
          <w:rFonts w:ascii="Times New Roman" w:hAnsi="Times New Roman"/>
          <w:noProof/>
          <w:sz w:val="24"/>
          <w:szCs w:val="24"/>
        </w:rPr>
        <w:t>;</w:t>
      </w:r>
    </w:p>
    <w:p w14:paraId="61AA9471" w14:textId="06A43539" w:rsidR="00C76702" w:rsidRPr="00405AE5" w:rsidRDefault="00C76702" w:rsidP="00FE0E3B">
      <w:pPr>
        <w:pStyle w:val="Body"/>
        <w:numPr>
          <w:ilvl w:val="1"/>
          <w:numId w:val="20"/>
        </w:numPr>
        <w:spacing w:after="0"/>
        <w:jc w:val="both"/>
        <w:rPr>
          <w:rFonts w:ascii="Times New Roman" w:hAnsi="Times New Roman"/>
          <w:noProof/>
          <w:sz w:val="24"/>
          <w:szCs w:val="24"/>
        </w:rPr>
      </w:pPr>
      <w:r w:rsidRPr="00405AE5">
        <w:rPr>
          <w:rFonts w:ascii="Times New Roman" w:hAnsi="Times New Roman"/>
          <w:noProof/>
          <w:sz w:val="24"/>
          <w:szCs w:val="24"/>
        </w:rPr>
        <w:t xml:space="preserve">Operate 24/7 (including </w:t>
      </w:r>
      <w:r w:rsidR="00FE0E3B" w:rsidRPr="00FE0E3B">
        <w:rPr>
          <w:rFonts w:ascii="Times New Roman" w:hAnsi="Times New Roman"/>
          <w:noProof/>
          <w:sz w:val="24"/>
          <w:szCs w:val="24"/>
        </w:rPr>
        <w:t>when a jud</w:t>
      </w:r>
      <w:r w:rsidR="00FE0E3B">
        <w:rPr>
          <w:rFonts w:ascii="Times New Roman" w:hAnsi="Times New Roman"/>
          <w:noProof/>
          <w:sz w:val="24"/>
          <w:szCs w:val="24"/>
        </w:rPr>
        <w:t>icial authorisation is required</w:t>
      </w:r>
      <w:r w:rsidRPr="00405AE5">
        <w:rPr>
          <w:rFonts w:ascii="Times New Roman" w:hAnsi="Times New Roman"/>
          <w:noProof/>
          <w:sz w:val="24"/>
          <w:szCs w:val="24"/>
        </w:rPr>
        <w:t>)</w:t>
      </w:r>
      <w:r>
        <w:rPr>
          <w:rFonts w:ascii="Times New Roman" w:hAnsi="Times New Roman"/>
          <w:noProof/>
          <w:sz w:val="24"/>
          <w:szCs w:val="24"/>
        </w:rPr>
        <w:t>;</w:t>
      </w:r>
    </w:p>
    <w:p w14:paraId="680DAF94" w14:textId="77777777" w:rsidR="00C76702"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 xml:space="preserve">Have full access to </w:t>
      </w:r>
      <w:r w:rsidR="00440F5D">
        <w:rPr>
          <w:rFonts w:ascii="Times New Roman" w:hAnsi="Times New Roman"/>
          <w:noProof/>
          <w:sz w:val="24"/>
          <w:szCs w:val="24"/>
        </w:rPr>
        <w:t xml:space="preserve">all relevant </w:t>
      </w:r>
      <w:r w:rsidRPr="00405AE5">
        <w:rPr>
          <w:rFonts w:ascii="Times New Roman" w:hAnsi="Times New Roman"/>
          <w:noProof/>
          <w:sz w:val="24"/>
          <w:szCs w:val="24"/>
        </w:rPr>
        <w:t>EU and international law enforcement databases (i.e. S</w:t>
      </w:r>
      <w:r w:rsidR="003A6CCB">
        <w:rPr>
          <w:rFonts w:ascii="Times New Roman" w:hAnsi="Times New Roman"/>
          <w:noProof/>
          <w:sz w:val="24"/>
          <w:szCs w:val="24"/>
        </w:rPr>
        <w:t xml:space="preserve">chengen </w:t>
      </w:r>
      <w:r w:rsidRPr="00405AE5">
        <w:rPr>
          <w:rFonts w:ascii="Times New Roman" w:hAnsi="Times New Roman"/>
          <w:noProof/>
          <w:sz w:val="24"/>
          <w:szCs w:val="24"/>
        </w:rPr>
        <w:t>I</w:t>
      </w:r>
      <w:r w:rsidR="003A6CCB">
        <w:rPr>
          <w:rFonts w:ascii="Times New Roman" w:hAnsi="Times New Roman"/>
          <w:noProof/>
          <w:sz w:val="24"/>
          <w:szCs w:val="24"/>
        </w:rPr>
        <w:t xml:space="preserve">nformation </w:t>
      </w:r>
      <w:r w:rsidRPr="00405AE5">
        <w:rPr>
          <w:rFonts w:ascii="Times New Roman" w:hAnsi="Times New Roman"/>
          <w:noProof/>
          <w:sz w:val="24"/>
          <w:szCs w:val="24"/>
        </w:rPr>
        <w:t>S</w:t>
      </w:r>
      <w:r w:rsidR="003A6CCB">
        <w:rPr>
          <w:rFonts w:ascii="Times New Roman" w:hAnsi="Times New Roman"/>
          <w:noProof/>
          <w:sz w:val="24"/>
          <w:szCs w:val="24"/>
        </w:rPr>
        <w:t>ystem (SIS)</w:t>
      </w:r>
      <w:r w:rsidRPr="00405AE5">
        <w:rPr>
          <w:rFonts w:ascii="Times New Roman" w:hAnsi="Times New Roman"/>
          <w:noProof/>
          <w:sz w:val="24"/>
          <w:szCs w:val="24"/>
        </w:rPr>
        <w:t>, Europol databases, I</w:t>
      </w:r>
      <w:r>
        <w:rPr>
          <w:rFonts w:ascii="Times New Roman" w:hAnsi="Times New Roman"/>
          <w:noProof/>
          <w:sz w:val="24"/>
          <w:szCs w:val="24"/>
        </w:rPr>
        <w:t>NTERPOL</w:t>
      </w:r>
      <w:r w:rsidRPr="00405AE5">
        <w:rPr>
          <w:rFonts w:ascii="Times New Roman" w:hAnsi="Times New Roman"/>
          <w:noProof/>
          <w:sz w:val="24"/>
          <w:szCs w:val="24"/>
        </w:rPr>
        <w:t xml:space="preserve"> databases and software applications</w:t>
      </w:r>
      <w:r>
        <w:rPr>
          <w:rFonts w:ascii="Times New Roman" w:hAnsi="Times New Roman"/>
          <w:noProof/>
          <w:sz w:val="24"/>
          <w:szCs w:val="24"/>
        </w:rPr>
        <w:t>;</w:t>
      </w:r>
    </w:p>
    <w:p w14:paraId="7015BC9F" w14:textId="77777777" w:rsidR="00C76702" w:rsidRPr="00182B1E" w:rsidRDefault="00C76702" w:rsidP="00E760E4">
      <w:pPr>
        <w:pStyle w:val="Body"/>
        <w:numPr>
          <w:ilvl w:val="1"/>
          <w:numId w:val="20"/>
        </w:numPr>
        <w:spacing w:after="0"/>
        <w:ind w:left="1253" w:hanging="357"/>
        <w:jc w:val="both"/>
        <w:rPr>
          <w:rFonts w:ascii="Times New Roman" w:hAnsi="Times New Roman"/>
          <w:noProof/>
          <w:sz w:val="24"/>
          <w:szCs w:val="24"/>
        </w:rPr>
      </w:pPr>
      <w:r w:rsidRPr="00182B1E">
        <w:rPr>
          <w:rFonts w:ascii="Times New Roman" w:hAnsi="Times New Roman"/>
          <w:noProof/>
          <w:sz w:val="24"/>
          <w:szCs w:val="24"/>
        </w:rPr>
        <w:t xml:space="preserve">Be connected to Europol SIENA (for </w:t>
      </w:r>
      <w:r w:rsidRPr="00182B1E" w:rsidDel="00D64EBE">
        <w:rPr>
          <w:rFonts w:ascii="Times New Roman" w:hAnsi="Times New Roman"/>
          <w:noProof/>
          <w:sz w:val="24"/>
          <w:szCs w:val="24"/>
        </w:rPr>
        <w:t>intra</w:t>
      </w:r>
      <w:r w:rsidRPr="00182B1E">
        <w:rPr>
          <w:rFonts w:ascii="Times New Roman" w:hAnsi="Times New Roman"/>
          <w:noProof/>
          <w:sz w:val="24"/>
          <w:szCs w:val="24"/>
        </w:rPr>
        <w:t>-EU cases), INTERPOL I24/7 (for cases involving third countries</w:t>
      </w:r>
      <w:r w:rsidR="003A6CCB">
        <w:rPr>
          <w:rFonts w:ascii="Times New Roman" w:hAnsi="Times New Roman"/>
          <w:noProof/>
          <w:sz w:val="24"/>
          <w:szCs w:val="24"/>
        </w:rPr>
        <w:t xml:space="preserve"> hav</w:t>
      </w:r>
      <w:r w:rsidR="00F61412">
        <w:rPr>
          <w:rFonts w:ascii="Times New Roman" w:hAnsi="Times New Roman"/>
          <w:noProof/>
          <w:sz w:val="24"/>
          <w:szCs w:val="24"/>
        </w:rPr>
        <w:t>ing</w:t>
      </w:r>
      <w:r w:rsidR="003A6CCB">
        <w:rPr>
          <w:rFonts w:ascii="Times New Roman" w:hAnsi="Times New Roman"/>
          <w:noProof/>
          <w:sz w:val="24"/>
          <w:szCs w:val="24"/>
        </w:rPr>
        <w:t xml:space="preserve"> no access to Europol SIENA</w:t>
      </w:r>
      <w:r w:rsidRPr="00182B1E">
        <w:rPr>
          <w:rFonts w:ascii="Times New Roman" w:hAnsi="Times New Roman"/>
          <w:noProof/>
          <w:sz w:val="24"/>
          <w:szCs w:val="24"/>
        </w:rPr>
        <w:t>)</w:t>
      </w:r>
      <w:r w:rsidR="00080A61">
        <w:rPr>
          <w:rFonts w:ascii="Times New Roman" w:hAnsi="Times New Roman"/>
          <w:noProof/>
          <w:sz w:val="24"/>
          <w:szCs w:val="24"/>
        </w:rPr>
        <w:t xml:space="preserve"> and</w:t>
      </w:r>
      <w:r w:rsidRPr="00182B1E">
        <w:rPr>
          <w:rFonts w:ascii="Times New Roman" w:hAnsi="Times New Roman"/>
          <w:noProof/>
          <w:sz w:val="24"/>
          <w:szCs w:val="24"/>
        </w:rPr>
        <w:t xml:space="preserve"> SIS</w:t>
      </w:r>
      <w:r w:rsidR="00182B1E" w:rsidRPr="00182B1E">
        <w:rPr>
          <w:rFonts w:ascii="Times New Roman" w:hAnsi="Times New Roman"/>
          <w:noProof/>
          <w:sz w:val="24"/>
          <w:szCs w:val="24"/>
        </w:rPr>
        <w:t>;</w:t>
      </w:r>
      <w:r w:rsidRPr="00182B1E">
        <w:rPr>
          <w:rFonts w:ascii="Times New Roman" w:hAnsi="Times New Roman"/>
          <w:noProof/>
          <w:sz w:val="24"/>
          <w:szCs w:val="24"/>
          <w:highlight w:val="yellow"/>
        </w:rPr>
        <w:t xml:space="preserve"> </w:t>
      </w:r>
    </w:p>
    <w:p w14:paraId="0CF20345" w14:textId="77777777" w:rsidR="00C76702" w:rsidRPr="00405AE5"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Involve staff in the SPOC who have full access to all relevant national case management systems (including those managed by customs and border guards</w:t>
      </w:r>
      <w:r w:rsidR="00440F5D">
        <w:rPr>
          <w:rFonts w:ascii="Times New Roman" w:hAnsi="Times New Roman"/>
          <w:noProof/>
          <w:sz w:val="24"/>
          <w:szCs w:val="24"/>
        </w:rPr>
        <w:t xml:space="preserve"> where relevant</w:t>
      </w:r>
      <w:r w:rsidRPr="00405AE5">
        <w:rPr>
          <w:rFonts w:ascii="Times New Roman" w:hAnsi="Times New Roman"/>
          <w:noProof/>
          <w:sz w:val="24"/>
          <w:szCs w:val="24"/>
        </w:rPr>
        <w:t>)</w:t>
      </w:r>
      <w:r>
        <w:rPr>
          <w:rFonts w:ascii="Times New Roman" w:hAnsi="Times New Roman"/>
          <w:noProof/>
          <w:sz w:val="24"/>
          <w:szCs w:val="24"/>
        </w:rPr>
        <w:t>;</w:t>
      </w:r>
    </w:p>
    <w:p w14:paraId="3B7429EF" w14:textId="77777777" w:rsidR="00C76702" w:rsidRPr="00405AE5"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Ensure that all relevant information from the P</w:t>
      </w:r>
      <w:r w:rsidR="003A6CCB">
        <w:rPr>
          <w:rFonts w:ascii="Times New Roman" w:hAnsi="Times New Roman"/>
          <w:noProof/>
          <w:sz w:val="24"/>
          <w:szCs w:val="24"/>
        </w:rPr>
        <w:t xml:space="preserve">olice and </w:t>
      </w:r>
      <w:r w:rsidRPr="00405AE5">
        <w:rPr>
          <w:rFonts w:ascii="Times New Roman" w:hAnsi="Times New Roman"/>
          <w:noProof/>
          <w:sz w:val="24"/>
          <w:szCs w:val="24"/>
        </w:rPr>
        <w:t>C</w:t>
      </w:r>
      <w:r w:rsidR="003A6CCB">
        <w:rPr>
          <w:rFonts w:ascii="Times New Roman" w:hAnsi="Times New Roman"/>
          <w:noProof/>
          <w:sz w:val="24"/>
          <w:szCs w:val="24"/>
        </w:rPr>
        <w:t xml:space="preserve">ustoms </w:t>
      </w:r>
      <w:r w:rsidRPr="00405AE5">
        <w:rPr>
          <w:rFonts w:ascii="Times New Roman" w:hAnsi="Times New Roman"/>
          <w:noProof/>
          <w:sz w:val="24"/>
          <w:szCs w:val="24"/>
        </w:rPr>
        <w:t>C</w:t>
      </w:r>
      <w:r w:rsidR="003A6CCB">
        <w:rPr>
          <w:rFonts w:ascii="Times New Roman" w:hAnsi="Times New Roman"/>
          <w:noProof/>
          <w:sz w:val="24"/>
          <w:szCs w:val="24"/>
        </w:rPr>
        <w:t>ooperation Centres (PCCC</w:t>
      </w:r>
      <w:r w:rsidRPr="00405AE5">
        <w:rPr>
          <w:rFonts w:ascii="Times New Roman" w:hAnsi="Times New Roman"/>
          <w:noProof/>
          <w:sz w:val="24"/>
          <w:szCs w:val="24"/>
        </w:rPr>
        <w:t>s</w:t>
      </w:r>
      <w:r w:rsidR="003A6CCB">
        <w:rPr>
          <w:rFonts w:ascii="Times New Roman" w:hAnsi="Times New Roman"/>
          <w:noProof/>
          <w:sz w:val="24"/>
          <w:szCs w:val="24"/>
        </w:rPr>
        <w:t>)</w:t>
      </w:r>
      <w:r w:rsidRPr="00405AE5">
        <w:rPr>
          <w:rFonts w:ascii="Times New Roman" w:hAnsi="Times New Roman"/>
          <w:noProof/>
          <w:sz w:val="24"/>
          <w:szCs w:val="24"/>
        </w:rPr>
        <w:t xml:space="preserve"> is integrated in the SPOC information system</w:t>
      </w:r>
      <w:r>
        <w:rPr>
          <w:rFonts w:ascii="Times New Roman" w:hAnsi="Times New Roman"/>
          <w:noProof/>
          <w:sz w:val="24"/>
          <w:szCs w:val="24"/>
        </w:rPr>
        <w:t>;</w:t>
      </w:r>
    </w:p>
    <w:p w14:paraId="727994AE" w14:textId="77777777" w:rsidR="00C76702" w:rsidRPr="00405AE5"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Have arrangements for indirect (e.g. on a hit/no hit basis), but quick, effective and efficient access to relevant databases of other authorities or bodies (including customs</w:t>
      </w:r>
      <w:r w:rsidR="009A2E2C">
        <w:rPr>
          <w:rFonts w:ascii="Times New Roman" w:hAnsi="Times New Roman"/>
          <w:noProof/>
          <w:sz w:val="24"/>
          <w:szCs w:val="24"/>
        </w:rPr>
        <w:t xml:space="preserve">, </w:t>
      </w:r>
      <w:r w:rsidRPr="00405AE5">
        <w:rPr>
          <w:rFonts w:ascii="Times New Roman" w:hAnsi="Times New Roman"/>
          <w:noProof/>
          <w:sz w:val="24"/>
          <w:szCs w:val="24"/>
        </w:rPr>
        <w:t>border guards</w:t>
      </w:r>
      <w:r w:rsidR="009A2E2C">
        <w:rPr>
          <w:rFonts w:ascii="Times New Roman" w:hAnsi="Times New Roman"/>
          <w:noProof/>
          <w:sz w:val="24"/>
          <w:szCs w:val="24"/>
        </w:rPr>
        <w:t xml:space="preserve"> and tax authorities</w:t>
      </w:r>
      <w:r w:rsidR="00440F5D">
        <w:rPr>
          <w:rFonts w:ascii="Times New Roman" w:hAnsi="Times New Roman"/>
          <w:noProof/>
          <w:sz w:val="24"/>
          <w:szCs w:val="24"/>
        </w:rPr>
        <w:t xml:space="preserve"> where relevant</w:t>
      </w:r>
      <w:r w:rsidRPr="00405AE5">
        <w:rPr>
          <w:rFonts w:ascii="Times New Roman" w:hAnsi="Times New Roman"/>
          <w:noProof/>
          <w:sz w:val="24"/>
          <w:szCs w:val="24"/>
        </w:rPr>
        <w:t>)</w:t>
      </w:r>
      <w:r>
        <w:rPr>
          <w:rFonts w:ascii="Times New Roman" w:hAnsi="Times New Roman"/>
          <w:noProof/>
          <w:sz w:val="24"/>
          <w:szCs w:val="24"/>
        </w:rPr>
        <w:t>;</w:t>
      </w:r>
    </w:p>
    <w:p w14:paraId="3D49D5C4" w14:textId="77777777" w:rsidR="00C76702" w:rsidRPr="00405AE5" w:rsidRDefault="00C76702" w:rsidP="00E760E4">
      <w:pPr>
        <w:pStyle w:val="Body"/>
        <w:numPr>
          <w:ilvl w:val="1"/>
          <w:numId w:val="20"/>
        </w:numPr>
        <w:spacing w:after="120"/>
        <w:ind w:left="1253" w:hanging="357"/>
        <w:jc w:val="both"/>
        <w:rPr>
          <w:rFonts w:ascii="Times New Roman" w:hAnsi="Times New Roman"/>
          <w:noProof/>
          <w:sz w:val="24"/>
          <w:szCs w:val="24"/>
        </w:rPr>
      </w:pPr>
      <w:r w:rsidRPr="00405AE5">
        <w:rPr>
          <w:rFonts w:ascii="Times New Roman" w:hAnsi="Times New Roman"/>
          <w:noProof/>
          <w:sz w:val="24"/>
          <w:szCs w:val="24"/>
        </w:rPr>
        <w:t>Ensure further coordination between the SPOCs and the PCCCs and other relevant entities</w:t>
      </w:r>
      <w:r>
        <w:rPr>
          <w:rFonts w:ascii="Times New Roman" w:hAnsi="Times New Roman"/>
          <w:noProof/>
          <w:sz w:val="24"/>
          <w:szCs w:val="24"/>
        </w:rPr>
        <w:t xml:space="preserve"> through the </w:t>
      </w:r>
      <w:r w:rsidR="00432BD6">
        <w:rPr>
          <w:rFonts w:ascii="Times New Roman" w:hAnsi="Times New Roman"/>
          <w:noProof/>
          <w:sz w:val="24"/>
          <w:szCs w:val="24"/>
        </w:rPr>
        <w:t xml:space="preserve">interconnectivity </w:t>
      </w:r>
      <w:r>
        <w:rPr>
          <w:rFonts w:ascii="Times New Roman" w:hAnsi="Times New Roman"/>
          <w:noProof/>
          <w:sz w:val="24"/>
          <w:szCs w:val="24"/>
        </w:rPr>
        <w:t>between the national SPOC and the national PCCCs (and any other equivalent bodies)</w:t>
      </w:r>
      <w:r w:rsidR="00440F5D">
        <w:rPr>
          <w:rFonts w:ascii="Times New Roman" w:hAnsi="Times New Roman"/>
          <w:noProof/>
          <w:sz w:val="24"/>
          <w:szCs w:val="24"/>
        </w:rPr>
        <w:t xml:space="preserve"> C</w:t>
      </w:r>
      <w:r w:rsidR="003A6CCB">
        <w:rPr>
          <w:rFonts w:ascii="Times New Roman" w:hAnsi="Times New Roman"/>
          <w:noProof/>
          <w:sz w:val="24"/>
          <w:szCs w:val="24"/>
        </w:rPr>
        <w:t xml:space="preserve">ase </w:t>
      </w:r>
      <w:r w:rsidR="00440F5D">
        <w:rPr>
          <w:rFonts w:ascii="Times New Roman" w:hAnsi="Times New Roman"/>
          <w:noProof/>
          <w:sz w:val="24"/>
          <w:szCs w:val="24"/>
        </w:rPr>
        <w:t>M</w:t>
      </w:r>
      <w:r w:rsidR="003A6CCB">
        <w:rPr>
          <w:rFonts w:ascii="Times New Roman" w:hAnsi="Times New Roman"/>
          <w:noProof/>
          <w:sz w:val="24"/>
          <w:szCs w:val="24"/>
        </w:rPr>
        <w:t xml:space="preserve">anagement </w:t>
      </w:r>
      <w:r w:rsidR="00440F5D">
        <w:rPr>
          <w:rFonts w:ascii="Times New Roman" w:hAnsi="Times New Roman"/>
          <w:noProof/>
          <w:sz w:val="24"/>
          <w:szCs w:val="24"/>
        </w:rPr>
        <w:t>S</w:t>
      </w:r>
      <w:r w:rsidR="003A6CCB">
        <w:rPr>
          <w:rFonts w:ascii="Times New Roman" w:hAnsi="Times New Roman"/>
          <w:noProof/>
          <w:sz w:val="24"/>
          <w:szCs w:val="24"/>
        </w:rPr>
        <w:t>ystem</w:t>
      </w:r>
      <w:r w:rsidR="00440F5D">
        <w:rPr>
          <w:rFonts w:ascii="Times New Roman" w:hAnsi="Times New Roman"/>
          <w:noProof/>
          <w:sz w:val="24"/>
          <w:szCs w:val="24"/>
        </w:rPr>
        <w:t>s</w:t>
      </w:r>
      <w:r w:rsidRPr="00405AE5">
        <w:rPr>
          <w:rFonts w:ascii="Times New Roman" w:hAnsi="Times New Roman"/>
          <w:noProof/>
          <w:sz w:val="24"/>
          <w:szCs w:val="24"/>
        </w:rPr>
        <w:t>.</w:t>
      </w:r>
    </w:p>
    <w:p w14:paraId="549A9219" w14:textId="77777777" w:rsidR="00C76702" w:rsidRPr="00405AE5" w:rsidRDefault="00C76702" w:rsidP="00E760E4">
      <w:pPr>
        <w:pStyle w:val="Body"/>
        <w:numPr>
          <w:ilvl w:val="0"/>
          <w:numId w:val="24"/>
        </w:numPr>
        <w:spacing w:before="60" w:after="60"/>
        <w:jc w:val="both"/>
        <w:rPr>
          <w:rFonts w:ascii="Times New Roman" w:hAnsi="Times New Roman"/>
          <w:i/>
          <w:noProof/>
          <w:sz w:val="24"/>
          <w:szCs w:val="24"/>
        </w:rPr>
      </w:pPr>
      <w:r w:rsidRPr="00405AE5">
        <w:rPr>
          <w:rFonts w:ascii="Times New Roman" w:hAnsi="Times New Roman"/>
          <w:i/>
          <w:noProof/>
          <w:sz w:val="24"/>
          <w:szCs w:val="24"/>
        </w:rPr>
        <w:t>Establishment of new provisions on the skills of law enforcement officials working primarily on international cases:</w:t>
      </w:r>
    </w:p>
    <w:p w14:paraId="48E3B760" w14:textId="77777777" w:rsidR="00C76702" w:rsidRPr="00405AE5"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 xml:space="preserve">Provision on appropriate </w:t>
      </w:r>
      <w:r>
        <w:rPr>
          <w:rFonts w:ascii="Times New Roman" w:hAnsi="Times New Roman"/>
          <w:noProof/>
          <w:sz w:val="24"/>
          <w:szCs w:val="24"/>
        </w:rPr>
        <w:t>English skills as a criterion ("</w:t>
      </w:r>
      <w:r w:rsidRPr="00405AE5">
        <w:rPr>
          <w:rFonts w:ascii="Times New Roman" w:hAnsi="Times New Roman"/>
          <w:noProof/>
          <w:sz w:val="24"/>
          <w:szCs w:val="24"/>
        </w:rPr>
        <w:t>entry criterion</w:t>
      </w:r>
      <w:r>
        <w:rPr>
          <w:rFonts w:ascii="Times New Roman" w:hAnsi="Times New Roman"/>
          <w:noProof/>
          <w:sz w:val="24"/>
          <w:szCs w:val="24"/>
        </w:rPr>
        <w:t>"</w:t>
      </w:r>
      <w:r w:rsidRPr="00405AE5">
        <w:rPr>
          <w:rFonts w:ascii="Times New Roman" w:hAnsi="Times New Roman"/>
          <w:noProof/>
          <w:sz w:val="24"/>
          <w:szCs w:val="24"/>
        </w:rPr>
        <w:t>) for specific roles within certain law enforcement agencies working primarily on international cases</w:t>
      </w:r>
      <w:r>
        <w:rPr>
          <w:rFonts w:ascii="Times New Roman" w:hAnsi="Times New Roman"/>
          <w:noProof/>
          <w:sz w:val="24"/>
          <w:szCs w:val="24"/>
        </w:rPr>
        <w:t>;</w:t>
      </w:r>
    </w:p>
    <w:p w14:paraId="62FEC619" w14:textId="77777777" w:rsidR="00C76702" w:rsidRPr="00405AE5" w:rsidRDefault="00C76702" w:rsidP="00E760E4">
      <w:pPr>
        <w:pStyle w:val="Body"/>
        <w:numPr>
          <w:ilvl w:val="1"/>
          <w:numId w:val="20"/>
        </w:numPr>
        <w:spacing w:after="120"/>
        <w:ind w:left="1253" w:hanging="357"/>
        <w:jc w:val="both"/>
        <w:rPr>
          <w:rFonts w:ascii="Times New Roman" w:hAnsi="Times New Roman"/>
          <w:noProof/>
          <w:sz w:val="24"/>
          <w:szCs w:val="24"/>
        </w:rPr>
      </w:pPr>
      <w:r w:rsidRPr="00405AE5">
        <w:rPr>
          <w:rFonts w:ascii="Times New Roman" w:hAnsi="Times New Roman"/>
          <w:noProof/>
          <w:sz w:val="24"/>
          <w:szCs w:val="24"/>
        </w:rPr>
        <w:t>Provision on mandatory training on EU law enforcement cooperation for officials in specific roles relevant for cross-border law enforcement and at sp</w:t>
      </w:r>
      <w:r>
        <w:rPr>
          <w:rFonts w:ascii="Times New Roman" w:hAnsi="Times New Roman"/>
          <w:noProof/>
          <w:sz w:val="24"/>
          <w:szCs w:val="24"/>
        </w:rPr>
        <w:t>ecific levels (e.g. newcomers/</w:t>
      </w:r>
      <w:r w:rsidRPr="00405AE5">
        <w:rPr>
          <w:rFonts w:ascii="Times New Roman" w:hAnsi="Times New Roman"/>
          <w:noProof/>
          <w:sz w:val="24"/>
          <w:szCs w:val="24"/>
        </w:rPr>
        <w:t>senior officials).</w:t>
      </w:r>
    </w:p>
    <w:p w14:paraId="6302A052" w14:textId="77777777" w:rsidR="00C76702" w:rsidRPr="00405AE5" w:rsidRDefault="00C76702" w:rsidP="00B924A6">
      <w:pPr>
        <w:pStyle w:val="Body"/>
        <w:numPr>
          <w:ilvl w:val="0"/>
          <w:numId w:val="25"/>
        </w:numPr>
        <w:spacing w:after="60"/>
        <w:ind w:left="714" w:hanging="357"/>
        <w:rPr>
          <w:rFonts w:ascii="Times New Roman" w:hAnsi="Times New Roman"/>
          <w:i/>
          <w:noProof/>
          <w:sz w:val="24"/>
          <w:szCs w:val="24"/>
        </w:rPr>
      </w:pPr>
      <w:r w:rsidRPr="00405AE5">
        <w:rPr>
          <w:rFonts w:ascii="Times New Roman" w:hAnsi="Times New Roman"/>
          <w:i/>
          <w:noProof/>
          <w:sz w:val="24"/>
          <w:szCs w:val="24"/>
        </w:rPr>
        <w:t>Establishment of flanking soft measures in the form of training measures:</w:t>
      </w:r>
    </w:p>
    <w:p w14:paraId="76CD5190" w14:textId="77777777" w:rsidR="00C76702" w:rsidRPr="00405AE5"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Establishment of an awareness raising and training campaign within the EU law enforcement community</w:t>
      </w:r>
      <w:r>
        <w:rPr>
          <w:rFonts w:ascii="Times New Roman" w:hAnsi="Times New Roman"/>
          <w:noProof/>
          <w:sz w:val="24"/>
          <w:szCs w:val="24"/>
        </w:rPr>
        <w:t>;</w:t>
      </w:r>
    </w:p>
    <w:p w14:paraId="3DBEF11B" w14:textId="77777777" w:rsidR="00C76702" w:rsidRPr="00405AE5"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CEPOL to provide training material to law enforcement agencies</w:t>
      </w:r>
      <w:r>
        <w:rPr>
          <w:rFonts w:ascii="Times New Roman" w:hAnsi="Times New Roman"/>
          <w:noProof/>
          <w:sz w:val="24"/>
          <w:szCs w:val="24"/>
        </w:rPr>
        <w:t xml:space="preserve"> (e.</w:t>
      </w:r>
      <w:r w:rsidRPr="00405AE5">
        <w:rPr>
          <w:rFonts w:ascii="Times New Roman" w:hAnsi="Times New Roman"/>
          <w:noProof/>
          <w:sz w:val="24"/>
          <w:szCs w:val="24"/>
        </w:rPr>
        <w:t>g. on how to use EU databases efficiently</w:t>
      </w:r>
      <w:r>
        <w:rPr>
          <w:rFonts w:ascii="Times New Roman" w:hAnsi="Times New Roman"/>
          <w:noProof/>
          <w:sz w:val="24"/>
          <w:szCs w:val="24"/>
        </w:rPr>
        <w:t>)</w:t>
      </w:r>
      <w:r w:rsidRPr="00405AE5">
        <w:rPr>
          <w:rFonts w:ascii="Times New Roman" w:hAnsi="Times New Roman"/>
          <w:noProof/>
          <w:sz w:val="24"/>
          <w:szCs w:val="24"/>
        </w:rPr>
        <w:t>. The training material should focus on aspects common to all the Member States. The Member States would need to prepare additional training on the specificities in the individual country</w:t>
      </w:r>
      <w:r>
        <w:rPr>
          <w:rFonts w:ascii="Times New Roman" w:hAnsi="Times New Roman"/>
          <w:noProof/>
          <w:sz w:val="24"/>
          <w:szCs w:val="24"/>
        </w:rPr>
        <w:t>;</w:t>
      </w:r>
    </w:p>
    <w:p w14:paraId="613472F2" w14:textId="77777777" w:rsidR="00C76702" w:rsidRPr="00405AE5"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CEPOL to provide voluntary induction training on cross-border law enforcement</w:t>
      </w:r>
      <w:r>
        <w:rPr>
          <w:rFonts w:ascii="Times New Roman" w:hAnsi="Times New Roman"/>
          <w:noProof/>
          <w:sz w:val="24"/>
          <w:szCs w:val="24"/>
        </w:rPr>
        <w:t>;</w:t>
      </w:r>
    </w:p>
    <w:p w14:paraId="342A9B76" w14:textId="77777777" w:rsidR="00C76702" w:rsidRDefault="00C76702" w:rsidP="00E760E4">
      <w:pPr>
        <w:pStyle w:val="Body"/>
        <w:numPr>
          <w:ilvl w:val="1"/>
          <w:numId w:val="20"/>
        </w:numPr>
        <w:spacing w:after="0"/>
        <w:ind w:left="1253" w:hanging="357"/>
        <w:jc w:val="both"/>
        <w:rPr>
          <w:rFonts w:ascii="Times New Roman" w:hAnsi="Times New Roman"/>
          <w:noProof/>
          <w:sz w:val="24"/>
          <w:szCs w:val="24"/>
        </w:rPr>
      </w:pPr>
      <w:r w:rsidRPr="00405AE5">
        <w:rPr>
          <w:rFonts w:ascii="Times New Roman" w:hAnsi="Times New Roman"/>
          <w:noProof/>
          <w:sz w:val="24"/>
          <w:szCs w:val="24"/>
        </w:rPr>
        <w:t>Expansion of the existing CEPOL practice to provide online courses on an ad-hoc basis on new EU level developments</w:t>
      </w:r>
      <w:r>
        <w:rPr>
          <w:rFonts w:ascii="Times New Roman" w:hAnsi="Times New Roman"/>
          <w:noProof/>
          <w:sz w:val="24"/>
          <w:szCs w:val="24"/>
        </w:rPr>
        <w:t>;</w:t>
      </w:r>
    </w:p>
    <w:p w14:paraId="619AC6C5" w14:textId="77777777" w:rsidR="00C76702" w:rsidRPr="005B0664" w:rsidRDefault="00C76702" w:rsidP="00E760E4">
      <w:pPr>
        <w:pStyle w:val="Body"/>
        <w:numPr>
          <w:ilvl w:val="1"/>
          <w:numId w:val="20"/>
        </w:numPr>
        <w:spacing w:after="120"/>
        <w:ind w:left="1253" w:hanging="357"/>
        <w:jc w:val="both"/>
        <w:rPr>
          <w:rFonts w:ascii="Times New Roman" w:hAnsi="Times New Roman"/>
          <w:noProof/>
          <w:sz w:val="24"/>
          <w:szCs w:val="24"/>
        </w:rPr>
      </w:pPr>
      <w:r w:rsidRPr="005B0664">
        <w:rPr>
          <w:rFonts w:ascii="Times New Roman" w:hAnsi="Times New Roman"/>
          <w:noProof/>
          <w:sz w:val="24"/>
          <w:szCs w:val="24"/>
        </w:rPr>
        <w:t>Performance of a regular review of the training content provided by CEPOL</w:t>
      </w:r>
      <w:r>
        <w:rPr>
          <w:rFonts w:ascii="Times New Roman" w:hAnsi="Times New Roman"/>
          <w:noProof/>
          <w:sz w:val="24"/>
          <w:szCs w:val="24"/>
        </w:rPr>
        <w:t>.</w:t>
      </w:r>
    </w:p>
    <w:p w14:paraId="09C869A8" w14:textId="77777777" w:rsidR="00C76702" w:rsidRPr="00993919" w:rsidRDefault="00C76702" w:rsidP="00704502">
      <w:pPr>
        <w:pStyle w:val="Body"/>
        <w:numPr>
          <w:ilvl w:val="0"/>
          <w:numId w:val="26"/>
        </w:numPr>
        <w:ind w:left="714" w:hanging="357"/>
        <w:jc w:val="both"/>
        <w:rPr>
          <w:rFonts w:ascii="Times New Roman" w:hAnsi="Times New Roman"/>
          <w:noProof/>
          <w:sz w:val="24"/>
          <w:szCs w:val="16"/>
        </w:rPr>
      </w:pPr>
      <w:r w:rsidRPr="00171FEA">
        <w:rPr>
          <w:rFonts w:ascii="Times New Roman" w:hAnsi="Times New Roman"/>
          <w:i/>
          <w:iCs/>
          <w:noProof/>
          <w:sz w:val="24"/>
          <w:szCs w:val="24"/>
        </w:rPr>
        <w:t>Establishment of common</w:t>
      </w:r>
      <w:r w:rsidR="00E83853" w:rsidRPr="00993919">
        <w:rPr>
          <w:rFonts w:ascii="Times New Roman" w:hAnsi="Times New Roman"/>
          <w:i/>
          <w:iCs/>
          <w:noProof/>
          <w:sz w:val="24"/>
          <w:szCs w:val="24"/>
        </w:rPr>
        <w:t xml:space="preserve"> minimum</w:t>
      </w:r>
      <w:r w:rsidRPr="00D45372">
        <w:rPr>
          <w:rFonts w:ascii="Times New Roman" w:hAnsi="Times New Roman"/>
          <w:i/>
          <w:iCs/>
          <w:noProof/>
          <w:sz w:val="24"/>
          <w:szCs w:val="24"/>
        </w:rPr>
        <w:t xml:space="preserve"> requirements for </w:t>
      </w:r>
      <w:r w:rsidR="008E27F1" w:rsidRPr="00D45372">
        <w:rPr>
          <w:rFonts w:ascii="Times New Roman" w:hAnsi="Times New Roman"/>
          <w:i/>
          <w:iCs/>
          <w:noProof/>
          <w:sz w:val="24"/>
          <w:szCs w:val="24"/>
        </w:rPr>
        <w:t>C</w:t>
      </w:r>
      <w:r w:rsidRPr="004D11E4">
        <w:rPr>
          <w:rFonts w:ascii="Times New Roman" w:hAnsi="Times New Roman"/>
          <w:i/>
          <w:iCs/>
          <w:noProof/>
          <w:sz w:val="24"/>
          <w:szCs w:val="24"/>
        </w:rPr>
        <w:t xml:space="preserve">ase </w:t>
      </w:r>
      <w:r w:rsidR="008E27F1" w:rsidRPr="004D11E4">
        <w:rPr>
          <w:rFonts w:ascii="Times New Roman" w:hAnsi="Times New Roman"/>
          <w:i/>
          <w:iCs/>
          <w:noProof/>
          <w:sz w:val="24"/>
          <w:szCs w:val="24"/>
        </w:rPr>
        <w:t>M</w:t>
      </w:r>
      <w:r w:rsidRPr="003A6CCB">
        <w:rPr>
          <w:rFonts w:ascii="Times New Roman" w:hAnsi="Times New Roman"/>
          <w:i/>
          <w:iCs/>
          <w:noProof/>
          <w:sz w:val="24"/>
          <w:szCs w:val="24"/>
        </w:rPr>
        <w:t xml:space="preserve">anagement </w:t>
      </w:r>
      <w:r w:rsidR="008E27F1" w:rsidRPr="003A6CCB">
        <w:rPr>
          <w:rFonts w:ascii="Times New Roman" w:hAnsi="Times New Roman"/>
          <w:i/>
          <w:iCs/>
          <w:noProof/>
          <w:sz w:val="24"/>
          <w:szCs w:val="24"/>
        </w:rPr>
        <w:t>S</w:t>
      </w:r>
      <w:r w:rsidRPr="003A6CCB">
        <w:rPr>
          <w:rFonts w:ascii="Times New Roman" w:hAnsi="Times New Roman"/>
          <w:i/>
          <w:iCs/>
          <w:noProof/>
          <w:sz w:val="24"/>
          <w:szCs w:val="24"/>
        </w:rPr>
        <w:t xml:space="preserve">ystems (CMS) for the SPOCs/PCCCs and </w:t>
      </w:r>
      <w:r w:rsidR="00062B1E">
        <w:rPr>
          <w:rFonts w:ascii="Times New Roman" w:hAnsi="Times New Roman"/>
          <w:i/>
          <w:iCs/>
          <w:noProof/>
          <w:sz w:val="24"/>
          <w:szCs w:val="24"/>
        </w:rPr>
        <w:t xml:space="preserve">other </w:t>
      </w:r>
      <w:r w:rsidRPr="003A6CCB">
        <w:rPr>
          <w:rFonts w:ascii="Times New Roman" w:hAnsi="Times New Roman"/>
          <w:i/>
          <w:iCs/>
          <w:noProof/>
          <w:sz w:val="24"/>
          <w:szCs w:val="24"/>
        </w:rPr>
        <w:t>equivalent bodies</w:t>
      </w:r>
      <w:r w:rsidRPr="003A6CCB">
        <w:rPr>
          <w:rFonts w:ascii="Times New Roman" w:hAnsi="Times New Roman"/>
          <w:noProof/>
          <w:sz w:val="24"/>
          <w:szCs w:val="24"/>
        </w:rPr>
        <w:t xml:space="preserve"> (see policy option </w:t>
      </w:r>
      <w:r w:rsidR="002D599A" w:rsidRPr="003A6CCB">
        <w:rPr>
          <w:rFonts w:ascii="Times New Roman" w:hAnsi="Times New Roman"/>
          <w:noProof/>
          <w:sz w:val="24"/>
          <w:szCs w:val="24"/>
        </w:rPr>
        <w:t>2.1</w:t>
      </w:r>
      <w:r w:rsidR="00E83853" w:rsidRPr="003A6CCB">
        <w:rPr>
          <w:rFonts w:ascii="Times New Roman" w:hAnsi="Times New Roman"/>
          <w:noProof/>
          <w:sz w:val="24"/>
          <w:szCs w:val="24"/>
        </w:rPr>
        <w:t xml:space="preserve"> where these measures would only be proposed as non-binding guidance</w:t>
      </w:r>
      <w:r w:rsidRPr="003A6CCB">
        <w:rPr>
          <w:rFonts w:ascii="Times New Roman" w:hAnsi="Times New Roman"/>
          <w:noProof/>
          <w:sz w:val="24"/>
          <w:szCs w:val="24"/>
        </w:rPr>
        <w:t>).</w:t>
      </w:r>
    </w:p>
    <w:p w14:paraId="688A0FB2" w14:textId="43123C15" w:rsidR="00C76702" w:rsidRPr="00990476"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120"/>
        <w:ind w:left="0"/>
        <w:rPr>
          <w:b/>
          <w:noProof/>
          <w:szCs w:val="24"/>
        </w:rPr>
      </w:pPr>
      <w:r>
        <w:rPr>
          <w:b/>
          <w:noProof/>
          <w:szCs w:val="24"/>
          <w:u w:val="single"/>
        </w:rPr>
        <w:t xml:space="preserve">Policy option </w:t>
      </w:r>
      <w:r w:rsidR="002D599A">
        <w:rPr>
          <w:b/>
          <w:noProof/>
          <w:szCs w:val="24"/>
          <w:u w:val="single"/>
        </w:rPr>
        <w:t>2.3</w:t>
      </w:r>
      <w:r w:rsidRPr="00514E93">
        <w:rPr>
          <w:b/>
          <w:noProof/>
          <w:szCs w:val="24"/>
          <w:u w:val="single"/>
        </w:rPr>
        <w:t>:</w:t>
      </w:r>
      <w:r w:rsidRPr="005854D1">
        <w:rPr>
          <w:b/>
          <w:noProof/>
          <w:szCs w:val="24"/>
        </w:rPr>
        <w:t xml:space="preserve"> </w:t>
      </w:r>
      <w:r w:rsidRPr="00990476">
        <w:rPr>
          <w:b/>
          <w:i/>
          <w:noProof/>
          <w:szCs w:val="24"/>
        </w:rPr>
        <w:t xml:space="preserve">harmonisation </w:t>
      </w:r>
      <w:r w:rsidRPr="00990476">
        <w:rPr>
          <w:b/>
          <w:noProof/>
          <w:szCs w:val="24"/>
        </w:rPr>
        <w:t xml:space="preserve">of rules on the composition of the Single Points of Contact (including </w:t>
      </w:r>
      <w:r w:rsidR="00FE0E3B" w:rsidRPr="00FE0E3B">
        <w:rPr>
          <w:b/>
          <w:noProof/>
          <w:szCs w:val="24"/>
        </w:rPr>
        <w:t>when a jud</w:t>
      </w:r>
      <w:r w:rsidR="00FE0E3B">
        <w:rPr>
          <w:b/>
          <w:noProof/>
          <w:szCs w:val="24"/>
        </w:rPr>
        <w:t>icial authorisation is required</w:t>
      </w:r>
      <w:r w:rsidRPr="00990476">
        <w:rPr>
          <w:b/>
          <w:noProof/>
          <w:szCs w:val="24"/>
        </w:rPr>
        <w:t xml:space="preserve">), its functions, staffing and IT systems, and its cooperation with </w:t>
      </w:r>
      <w:r w:rsidR="00440F5D">
        <w:rPr>
          <w:b/>
          <w:noProof/>
          <w:szCs w:val="24"/>
        </w:rPr>
        <w:t xml:space="preserve">regional </w:t>
      </w:r>
      <w:r w:rsidRPr="00990476">
        <w:rPr>
          <w:b/>
          <w:noProof/>
          <w:szCs w:val="24"/>
        </w:rPr>
        <w:t>structures such as Police and Customs Cooperation Centres</w:t>
      </w:r>
      <w:r>
        <w:rPr>
          <w:b/>
          <w:noProof/>
          <w:szCs w:val="24"/>
        </w:rPr>
        <w:t xml:space="preserve"> +</w:t>
      </w:r>
      <w:r w:rsidRPr="00990476">
        <w:rPr>
          <w:b/>
          <w:noProof/>
          <w:szCs w:val="24"/>
        </w:rPr>
        <w:t xml:space="preserve"> </w:t>
      </w:r>
      <w:r w:rsidR="001E26F1">
        <w:rPr>
          <w:b/>
          <w:noProof/>
          <w:szCs w:val="24"/>
        </w:rPr>
        <w:t xml:space="preserve">new </w:t>
      </w:r>
      <w:r w:rsidRPr="00990476">
        <w:rPr>
          <w:b/>
          <w:iCs/>
          <w:noProof/>
          <w:szCs w:val="24"/>
        </w:rPr>
        <w:t>flanking soft measures (</w:t>
      </w:r>
      <w:r w:rsidR="001E26F1">
        <w:rPr>
          <w:b/>
          <w:iCs/>
          <w:noProof/>
          <w:szCs w:val="24"/>
        </w:rPr>
        <w:t>as in option 2.1</w:t>
      </w:r>
      <w:r>
        <w:rPr>
          <w:b/>
          <w:iCs/>
          <w:noProof/>
          <w:szCs w:val="24"/>
        </w:rPr>
        <w:t>)</w:t>
      </w:r>
    </w:p>
    <w:p w14:paraId="13890C50" w14:textId="77777777" w:rsidR="00C76702" w:rsidRDefault="008524D3" w:rsidP="00C76702">
      <w:pPr>
        <w:pStyle w:val="Text2"/>
        <w:spacing w:after="120"/>
        <w:ind w:left="0"/>
        <w:rPr>
          <w:noProof/>
        </w:rPr>
      </w:pPr>
      <w:r w:rsidRPr="00B77914">
        <w:rPr>
          <w:noProof/>
          <w:szCs w:val="24"/>
        </w:rPr>
        <w:t xml:space="preserve">Based on the Council' guidance, the Schengen evaluations in the field of police cooperation, and on the Study' findings, the </w:t>
      </w:r>
      <w:r>
        <w:rPr>
          <w:noProof/>
        </w:rPr>
        <w:t>p</w:t>
      </w:r>
      <w:r w:rsidR="00C76702">
        <w:rPr>
          <w:noProof/>
        </w:rPr>
        <w:t xml:space="preserve">olicy option </w:t>
      </w:r>
      <w:r w:rsidR="002D599A">
        <w:rPr>
          <w:noProof/>
        </w:rPr>
        <w:t xml:space="preserve">2.3 </w:t>
      </w:r>
      <w:r w:rsidR="00C76702">
        <w:rPr>
          <w:noProof/>
        </w:rPr>
        <w:t xml:space="preserve">will ensure the </w:t>
      </w:r>
      <w:r w:rsidR="00C76702" w:rsidRPr="00671264">
        <w:rPr>
          <w:i/>
          <w:noProof/>
        </w:rPr>
        <w:t xml:space="preserve">harmonisation </w:t>
      </w:r>
      <w:r w:rsidR="00C76702">
        <w:rPr>
          <w:noProof/>
        </w:rPr>
        <w:t>of rules regarding the SPOCs/PCCCs' (and</w:t>
      </w:r>
      <w:r w:rsidR="00C76702">
        <w:rPr>
          <w:noProof/>
          <w:szCs w:val="24"/>
        </w:rPr>
        <w:t xml:space="preserve"> any other relevant bodies)</w:t>
      </w:r>
      <w:r w:rsidR="00C76702">
        <w:rPr>
          <w:noProof/>
        </w:rPr>
        <w:t xml:space="preserve"> environment (structure, composition, role, IT capabilities and staffing).</w:t>
      </w:r>
    </w:p>
    <w:p w14:paraId="2D3EE993" w14:textId="48FF0CBF" w:rsidR="00863D0D" w:rsidRDefault="00C76702" w:rsidP="00820639">
      <w:pPr>
        <w:pStyle w:val="Text2"/>
        <w:spacing w:after="120"/>
        <w:ind w:left="0"/>
        <w:rPr>
          <w:noProof/>
        </w:rPr>
      </w:pPr>
      <w:r>
        <w:rPr>
          <w:noProof/>
        </w:rPr>
        <w:t xml:space="preserve">This option will cover the same measures as described in policy option </w:t>
      </w:r>
      <w:r w:rsidR="002D599A">
        <w:rPr>
          <w:noProof/>
        </w:rPr>
        <w:t>2.</w:t>
      </w:r>
      <w:r w:rsidR="00440F5D">
        <w:rPr>
          <w:noProof/>
        </w:rPr>
        <w:t>2</w:t>
      </w:r>
      <w:r>
        <w:rPr>
          <w:noProof/>
        </w:rPr>
        <w:t xml:space="preserve">. The </w:t>
      </w:r>
      <w:r w:rsidRPr="000A5A0E">
        <w:rPr>
          <w:b/>
          <w:noProof/>
        </w:rPr>
        <w:t>legal provisions w</w:t>
      </w:r>
      <w:r w:rsidR="00D003FC" w:rsidRPr="000A5A0E">
        <w:rPr>
          <w:b/>
          <w:noProof/>
        </w:rPr>
        <w:t>ould</w:t>
      </w:r>
      <w:r w:rsidRPr="000A5A0E">
        <w:rPr>
          <w:b/>
          <w:noProof/>
        </w:rPr>
        <w:t xml:space="preserve"> </w:t>
      </w:r>
      <w:r w:rsidR="00582E1A">
        <w:rPr>
          <w:b/>
          <w:noProof/>
        </w:rPr>
        <w:t xml:space="preserve">however </w:t>
      </w:r>
      <w:r w:rsidRPr="000A5A0E">
        <w:rPr>
          <w:b/>
          <w:noProof/>
        </w:rPr>
        <w:t>be more precise</w:t>
      </w:r>
      <w:r>
        <w:rPr>
          <w:noProof/>
        </w:rPr>
        <w:t xml:space="preserve"> where relevant.</w:t>
      </w:r>
      <w:r w:rsidR="00863D0D">
        <w:rPr>
          <w:noProof/>
        </w:rPr>
        <w:t xml:space="preserve"> Such harmonisation would be carried out through a proposal for a Regulation</w:t>
      </w:r>
      <w:r w:rsidR="0001329B">
        <w:rPr>
          <w:noProof/>
        </w:rPr>
        <w:t xml:space="preserve"> and would consequently offer the advantage to </w:t>
      </w:r>
      <w:r w:rsidR="0001329B" w:rsidRPr="00DC1714">
        <w:rPr>
          <w:b/>
          <w:noProof/>
        </w:rPr>
        <w:t>impose an "EU model" for information exchange</w:t>
      </w:r>
      <w:r w:rsidR="0001329B">
        <w:rPr>
          <w:b/>
          <w:noProof/>
        </w:rPr>
        <w:t>.</w:t>
      </w:r>
    </w:p>
    <w:p w14:paraId="1D34DCAE" w14:textId="525FA85A" w:rsidR="00582E1A" w:rsidRDefault="00863D0D" w:rsidP="00820639">
      <w:pPr>
        <w:pStyle w:val="Text2"/>
        <w:spacing w:after="120"/>
        <w:ind w:left="0"/>
        <w:rPr>
          <w:noProof/>
        </w:rPr>
      </w:pPr>
      <w:r>
        <w:rPr>
          <w:noProof/>
        </w:rPr>
        <w:t>Contrary to option 2.2</w:t>
      </w:r>
      <w:r w:rsidR="00582E1A">
        <w:rPr>
          <w:noProof/>
        </w:rPr>
        <w:t>,</w:t>
      </w:r>
      <w:r>
        <w:rPr>
          <w:noProof/>
        </w:rPr>
        <w:t xml:space="preserve"> where Member States would retain the possib</w:t>
      </w:r>
      <w:r w:rsidR="004E35F9">
        <w:rPr>
          <w:noProof/>
        </w:rPr>
        <w:t>i</w:t>
      </w:r>
      <w:r>
        <w:rPr>
          <w:noProof/>
        </w:rPr>
        <w:t xml:space="preserve">lity to chose how to best implement </w:t>
      </w:r>
      <w:r w:rsidRPr="00820639">
        <w:rPr>
          <w:b/>
          <w:noProof/>
        </w:rPr>
        <w:t>common minimum requirements</w:t>
      </w:r>
      <w:r>
        <w:rPr>
          <w:noProof/>
        </w:rPr>
        <w:t xml:space="preserve"> and decide to go beyond them where they see fit, the harmonisation by means of a Regulation would bind Member States </w:t>
      </w:r>
      <w:r w:rsidRPr="00820639">
        <w:rPr>
          <w:b/>
          <w:noProof/>
        </w:rPr>
        <w:t>not only regarding the objectives to be achieved but also with regards to the means to achieve them</w:t>
      </w:r>
      <w:r>
        <w:rPr>
          <w:noProof/>
        </w:rPr>
        <w:t xml:space="preserve">. </w:t>
      </w:r>
    </w:p>
    <w:p w14:paraId="7B2ADCD0" w14:textId="2EF57176" w:rsidR="00582E1A" w:rsidRDefault="00582E1A" w:rsidP="00820639">
      <w:pPr>
        <w:pStyle w:val="Text2"/>
        <w:spacing w:after="120"/>
        <w:ind w:left="0"/>
        <w:rPr>
          <w:noProof/>
        </w:rPr>
      </w:pPr>
      <w:r>
        <w:rPr>
          <w:noProof/>
        </w:rPr>
        <w:t xml:space="preserve">Consequently, </w:t>
      </w:r>
      <w:r w:rsidR="0001329B">
        <w:rPr>
          <w:noProof/>
        </w:rPr>
        <w:t>t</w:t>
      </w:r>
      <w:r>
        <w:rPr>
          <w:noProof/>
        </w:rPr>
        <w:t>he impact of options 2.2 and 2.3 on Member States would thus differ considerably.</w:t>
      </w:r>
      <w:r w:rsidRPr="00582E1A">
        <w:rPr>
          <w:noProof/>
        </w:rPr>
        <w:t xml:space="preserve"> </w:t>
      </w:r>
      <w:r>
        <w:rPr>
          <w:noProof/>
        </w:rPr>
        <w:t xml:space="preserve">The Regulation would also be directly </w:t>
      </w:r>
      <w:r w:rsidR="00FE4F8F">
        <w:rPr>
          <w:noProof/>
        </w:rPr>
        <w:t>applicable</w:t>
      </w:r>
      <w:r>
        <w:rPr>
          <w:noProof/>
        </w:rPr>
        <w:t xml:space="preserve">. </w:t>
      </w:r>
    </w:p>
    <w:p w14:paraId="726E2F05" w14:textId="30C54374" w:rsidR="00582E1A" w:rsidRDefault="00582E1A" w:rsidP="00820639">
      <w:pPr>
        <w:pStyle w:val="Text2"/>
        <w:spacing w:after="120"/>
        <w:ind w:left="0"/>
        <w:rPr>
          <w:noProof/>
        </w:rPr>
      </w:pPr>
      <w:r>
        <w:rPr>
          <w:noProof/>
        </w:rPr>
        <w:t>M</w:t>
      </w:r>
      <w:r w:rsidR="004E35F9">
        <w:rPr>
          <w:noProof/>
        </w:rPr>
        <w:t xml:space="preserve">easures covered by option 2.3 (Regulation) and not by option 2.2 (Directive) </w:t>
      </w:r>
      <w:r w:rsidR="008509B6">
        <w:rPr>
          <w:noProof/>
        </w:rPr>
        <w:t xml:space="preserve">would notably seek to define a </w:t>
      </w:r>
      <w:r>
        <w:rPr>
          <w:noProof/>
        </w:rPr>
        <w:t xml:space="preserve">detailed check list of features </w:t>
      </w:r>
      <w:r w:rsidR="00A72B70">
        <w:rPr>
          <w:noProof/>
        </w:rPr>
        <w:t>for SPOCs,</w:t>
      </w:r>
      <w:r>
        <w:rPr>
          <w:noProof/>
        </w:rPr>
        <w:t xml:space="preserve"> PCCCs</w:t>
      </w:r>
      <w:r w:rsidR="00A72B70">
        <w:rPr>
          <w:noProof/>
        </w:rPr>
        <w:t xml:space="preserve"> and for thei</w:t>
      </w:r>
      <w:r w:rsidR="00752B9E">
        <w:rPr>
          <w:noProof/>
        </w:rPr>
        <w:t>r Case M</w:t>
      </w:r>
      <w:r w:rsidR="00A72B70">
        <w:rPr>
          <w:noProof/>
        </w:rPr>
        <w:t>anagement System (</w:t>
      </w:r>
      <w:r>
        <w:rPr>
          <w:noProof/>
        </w:rPr>
        <w:t>beyond com</w:t>
      </w:r>
      <w:r w:rsidR="00CB7575">
        <w:rPr>
          <w:noProof/>
        </w:rPr>
        <w:t xml:space="preserve"> </w:t>
      </w:r>
      <w:r>
        <w:rPr>
          <w:noProof/>
        </w:rPr>
        <w:t>mon minimum requirements</w:t>
      </w:r>
      <w:r w:rsidR="00A72B70">
        <w:rPr>
          <w:noProof/>
        </w:rPr>
        <w:t>)</w:t>
      </w:r>
      <w:r w:rsidR="00CB7575">
        <w:rPr>
          <w:noProof/>
        </w:rPr>
        <w:t>; e.g.:</w:t>
      </w:r>
    </w:p>
    <w:p w14:paraId="1C7CF442" w14:textId="77777777" w:rsidR="00350DA6" w:rsidRDefault="002408E6" w:rsidP="00820639">
      <w:pPr>
        <w:pStyle w:val="Text2"/>
        <w:numPr>
          <w:ilvl w:val="1"/>
          <w:numId w:val="163"/>
        </w:numPr>
        <w:spacing w:after="120"/>
        <w:rPr>
          <w:noProof/>
        </w:rPr>
      </w:pPr>
      <w:r>
        <w:rPr>
          <w:noProof/>
        </w:rPr>
        <w:t>Requirement to set up a front desk at SPOC to determine which office/contact point will deal with the incoming request</w:t>
      </w:r>
      <w:r w:rsidR="00350DA6">
        <w:rPr>
          <w:noProof/>
        </w:rPr>
        <w:t>;</w:t>
      </w:r>
    </w:p>
    <w:p w14:paraId="381DFE41" w14:textId="68037545" w:rsidR="002408E6" w:rsidRDefault="00350DA6" w:rsidP="00820639">
      <w:pPr>
        <w:pStyle w:val="Text2"/>
        <w:numPr>
          <w:ilvl w:val="1"/>
          <w:numId w:val="163"/>
        </w:numPr>
        <w:spacing w:after="120"/>
        <w:rPr>
          <w:noProof/>
        </w:rPr>
      </w:pPr>
      <w:r>
        <w:rPr>
          <w:noProof/>
        </w:rPr>
        <w:t xml:space="preserve">Requirement to </w:t>
      </w:r>
      <w:r w:rsidR="00B5019C">
        <w:rPr>
          <w:noProof/>
        </w:rPr>
        <w:t>determin</w:t>
      </w:r>
      <w:r>
        <w:rPr>
          <w:noProof/>
        </w:rPr>
        <w:t>e t</w:t>
      </w:r>
      <w:r w:rsidR="00B5019C">
        <w:rPr>
          <w:noProof/>
        </w:rPr>
        <w:t>he priority level of the request</w:t>
      </w:r>
      <w:r>
        <w:rPr>
          <w:noProof/>
        </w:rPr>
        <w:t xml:space="preserve"> at the Front Desk</w:t>
      </w:r>
      <w:r w:rsidR="002408E6">
        <w:rPr>
          <w:noProof/>
        </w:rPr>
        <w:t>;</w:t>
      </w:r>
    </w:p>
    <w:p w14:paraId="67B6BCC5" w14:textId="747CC2B4" w:rsidR="00350DA6" w:rsidRDefault="00350DA6" w:rsidP="00820639">
      <w:pPr>
        <w:pStyle w:val="Text2"/>
        <w:numPr>
          <w:ilvl w:val="1"/>
          <w:numId w:val="163"/>
        </w:numPr>
        <w:spacing w:after="120"/>
        <w:rPr>
          <w:noProof/>
        </w:rPr>
      </w:pPr>
      <w:r>
        <w:rPr>
          <w:noProof/>
        </w:rPr>
        <w:t xml:space="preserve">Empower the SPOC management to impose an arbitrage in case of disagreement between law enforcement authorities composing the SPOC; </w:t>
      </w:r>
    </w:p>
    <w:p w14:paraId="761949A2" w14:textId="491BD109" w:rsidR="002408E6" w:rsidRDefault="002408E6" w:rsidP="00820639">
      <w:pPr>
        <w:pStyle w:val="Text2"/>
        <w:numPr>
          <w:ilvl w:val="1"/>
          <w:numId w:val="163"/>
        </w:numPr>
        <w:spacing w:after="120"/>
        <w:rPr>
          <w:noProof/>
        </w:rPr>
      </w:pPr>
      <w:r>
        <w:rPr>
          <w:noProof/>
        </w:rPr>
        <w:t>Requirement to set up the SPOC in a secure working environment, including high level of security and safety of the premises and is equipped with back-up power systems;</w:t>
      </w:r>
    </w:p>
    <w:p w14:paraId="25D0BF5C" w14:textId="74D72742" w:rsidR="00CB7575" w:rsidRDefault="002408E6" w:rsidP="00820639">
      <w:pPr>
        <w:pStyle w:val="Text2"/>
        <w:numPr>
          <w:ilvl w:val="1"/>
          <w:numId w:val="163"/>
        </w:numPr>
        <w:spacing w:after="120"/>
        <w:rPr>
          <w:noProof/>
        </w:rPr>
      </w:pPr>
      <w:r>
        <w:rPr>
          <w:noProof/>
        </w:rPr>
        <w:t xml:space="preserve">Requirement for the SPOC to </w:t>
      </w:r>
      <w:r w:rsidR="00CB7575">
        <w:rPr>
          <w:noProof/>
        </w:rPr>
        <w:t xml:space="preserve">use of </w:t>
      </w:r>
      <w:r w:rsidR="00CB7575" w:rsidRPr="00C30018">
        <w:rPr>
          <w:noProof/>
        </w:rPr>
        <w:t>the Universal Message Format as a standard for structured, cross-border information exchange</w:t>
      </w:r>
      <w:r w:rsidR="00CB7575">
        <w:rPr>
          <w:noProof/>
        </w:rPr>
        <w:t>;</w:t>
      </w:r>
    </w:p>
    <w:p w14:paraId="0E794F7C" w14:textId="77777777" w:rsidR="00CB7575" w:rsidRDefault="00CB7575" w:rsidP="00820639">
      <w:pPr>
        <w:pStyle w:val="Text2"/>
        <w:numPr>
          <w:ilvl w:val="1"/>
          <w:numId w:val="163"/>
        </w:numPr>
        <w:spacing w:after="120"/>
        <w:rPr>
          <w:noProof/>
        </w:rPr>
      </w:pPr>
      <w:r>
        <w:rPr>
          <w:noProof/>
        </w:rPr>
        <w:t xml:space="preserve">mandatory development of </w:t>
      </w:r>
      <w:r w:rsidRPr="00C30018">
        <w:rPr>
          <w:noProof/>
        </w:rPr>
        <w:t>fuzzy search (notably multi-category search, partial search, any name search) and transliteration</w:t>
      </w:r>
      <w:r>
        <w:rPr>
          <w:noProof/>
        </w:rPr>
        <w:t xml:space="preserve"> tools;</w:t>
      </w:r>
    </w:p>
    <w:p w14:paraId="18C969E8" w14:textId="77777777" w:rsidR="002408E6" w:rsidRDefault="00CB7575" w:rsidP="00820639">
      <w:pPr>
        <w:pStyle w:val="Text2"/>
        <w:numPr>
          <w:ilvl w:val="1"/>
          <w:numId w:val="163"/>
        </w:numPr>
        <w:spacing w:after="120"/>
        <w:rPr>
          <w:noProof/>
        </w:rPr>
      </w:pPr>
      <w:r w:rsidRPr="00C30018">
        <w:rPr>
          <w:noProof/>
        </w:rPr>
        <w:t>automat</w:t>
      </w:r>
      <w:r>
        <w:rPr>
          <w:noProof/>
        </w:rPr>
        <w:t xml:space="preserve">ed </w:t>
      </w:r>
      <w:r w:rsidRPr="00C30018">
        <w:rPr>
          <w:noProof/>
        </w:rPr>
        <w:t>attribut</w:t>
      </w:r>
      <w:r>
        <w:rPr>
          <w:noProof/>
        </w:rPr>
        <w:t>ion of</w:t>
      </w:r>
      <w:r w:rsidRPr="00C30018">
        <w:rPr>
          <w:noProof/>
        </w:rPr>
        <w:t xml:space="preserve"> a single registration number </w:t>
      </w:r>
      <w:r>
        <w:rPr>
          <w:noProof/>
        </w:rPr>
        <w:t>to every case</w:t>
      </w:r>
      <w:r w:rsidRPr="00C30018">
        <w:rPr>
          <w:noProof/>
        </w:rPr>
        <w:t>, unique for the involved cooperation channels such as SIRENE, INTERPOL, Europol, etc.</w:t>
      </w:r>
      <w:r w:rsidR="002408E6">
        <w:rPr>
          <w:noProof/>
        </w:rPr>
        <w:t>;</w:t>
      </w:r>
    </w:p>
    <w:p w14:paraId="25F6645A" w14:textId="422556AF" w:rsidR="00CB7575" w:rsidRDefault="00CB7575" w:rsidP="00820639">
      <w:pPr>
        <w:pStyle w:val="Text2"/>
        <w:numPr>
          <w:ilvl w:val="1"/>
          <w:numId w:val="163"/>
        </w:numPr>
        <w:spacing w:after="120"/>
        <w:rPr>
          <w:noProof/>
        </w:rPr>
      </w:pPr>
      <w:r w:rsidRPr="00C30018">
        <w:rPr>
          <w:noProof/>
        </w:rPr>
        <w:t>Case Management System able to import and export incoming messages from e-mail, documents or web applications to reduce the number of registration acts to the minimum. The same could apply to the ex</w:t>
      </w:r>
      <w:r w:rsidR="00350DA6">
        <w:rPr>
          <w:noProof/>
        </w:rPr>
        <w:t>portation of generated messages;</w:t>
      </w:r>
    </w:p>
    <w:p w14:paraId="2D7B60ED" w14:textId="232B7603" w:rsidR="00350DA6" w:rsidRDefault="00350DA6" w:rsidP="00820639">
      <w:pPr>
        <w:pStyle w:val="Text2"/>
        <w:numPr>
          <w:ilvl w:val="1"/>
          <w:numId w:val="163"/>
        </w:numPr>
        <w:spacing w:after="120"/>
        <w:rPr>
          <w:noProof/>
        </w:rPr>
      </w:pPr>
      <w:r>
        <w:rPr>
          <w:noProof/>
        </w:rPr>
        <w:t>Requirements regarding the training of staff</w:t>
      </w:r>
      <w:r w:rsidR="0001329B">
        <w:rPr>
          <w:noProof/>
        </w:rPr>
        <w:t>..</w:t>
      </w:r>
      <w:r w:rsidR="008509B6">
        <w:rPr>
          <w:noProof/>
        </w:rPr>
        <w:t>.</w:t>
      </w:r>
    </w:p>
    <w:p w14:paraId="17DD82B8" w14:textId="154CDE31" w:rsidR="00C76702" w:rsidRPr="002F22A9" w:rsidRDefault="00173E60" w:rsidP="00173E60">
      <w:pPr>
        <w:pStyle w:val="Heading3"/>
        <w:rPr>
          <w:noProof/>
        </w:rPr>
      </w:pPr>
      <w:bookmarkStart w:id="89" w:name="_Toc74838174"/>
      <w:bookmarkStart w:id="90" w:name="_Toc83801036"/>
      <w:r w:rsidRPr="00173E60">
        <w:t>5.2.3.</w:t>
      </w:r>
      <w:r w:rsidRPr="00173E60">
        <w:tab/>
      </w:r>
      <w:r w:rsidR="00C76702">
        <w:rPr>
          <w:noProof/>
        </w:rPr>
        <w:t>Objective III</w:t>
      </w:r>
      <w:r w:rsidR="00C76702" w:rsidRPr="006564D0">
        <w:rPr>
          <w:noProof/>
        </w:rPr>
        <w:t>:</w:t>
      </w:r>
      <w:r w:rsidR="00C76702" w:rsidRPr="002F22A9">
        <w:rPr>
          <w:noProof/>
        </w:rPr>
        <w:t xml:space="preserve"> To </w:t>
      </w:r>
      <w:r w:rsidR="00C112C2" w:rsidRPr="00CB565C">
        <w:rPr>
          <w:noProof/>
        </w:rPr>
        <w:t>remedy the</w:t>
      </w:r>
      <w:r w:rsidR="00C112C2" w:rsidRPr="00CB565C">
        <w:rPr>
          <w:rFonts w:ascii="Verdana" w:hAnsi="Verdana"/>
          <w:noProof/>
          <w:sz w:val="16"/>
          <w:szCs w:val="16"/>
        </w:rPr>
        <w:t xml:space="preserve"> </w:t>
      </w:r>
      <w:r w:rsidR="00C112C2" w:rsidRPr="00CB565C">
        <w:rPr>
          <w:noProof/>
        </w:rPr>
        <w:t xml:space="preserve">proliferation of communication channels used for law enforcement information exchange between Member States while empowering Europol as the EU criminal information hub for offences falling within its mandate </w:t>
      </w:r>
      <w:r w:rsidR="00C112C2" w:rsidRPr="00CB565C">
        <w:rPr>
          <w:noProof/>
          <w:lang w:eastAsia="en-GB"/>
        </w:rPr>
        <w:t>(unless otherwise regulated by EU law)</w:t>
      </w:r>
      <w:r w:rsidR="00C112C2">
        <w:rPr>
          <w:noProof/>
          <w:lang w:eastAsia="en-GB"/>
        </w:rPr>
        <w:t xml:space="preserve"> </w:t>
      </w:r>
      <w:bookmarkEnd w:id="89"/>
      <w:bookmarkEnd w:id="90"/>
    </w:p>
    <w:p w14:paraId="27EC8604" w14:textId="5FE41A43" w:rsidR="00C76702" w:rsidRPr="003253EA" w:rsidRDefault="00C76702" w:rsidP="00A414D7">
      <w:pPr>
        <w:pStyle w:val="Text2"/>
        <w:pBdr>
          <w:top w:val="single" w:sz="4" w:space="1" w:color="auto"/>
          <w:left w:val="single" w:sz="4" w:space="4" w:color="auto"/>
          <w:bottom w:val="single" w:sz="4" w:space="1" w:color="auto"/>
          <w:right w:val="single" w:sz="4" w:space="4" w:color="auto"/>
          <w:between w:val="single" w:sz="4" w:space="1" w:color="auto"/>
        </w:pBdr>
        <w:shd w:val="clear" w:color="auto" w:fill="B4C6E7" w:themeFill="accent5" w:themeFillTint="66"/>
        <w:spacing w:after="120"/>
        <w:ind w:left="0"/>
        <w:rPr>
          <w:b/>
          <w:i/>
          <w:noProof/>
          <w:szCs w:val="24"/>
        </w:rPr>
      </w:pPr>
      <w:r>
        <w:rPr>
          <w:b/>
          <w:noProof/>
          <w:u w:val="single"/>
        </w:rPr>
        <w:t xml:space="preserve">Policy option </w:t>
      </w:r>
      <w:r w:rsidR="002D599A">
        <w:rPr>
          <w:b/>
          <w:noProof/>
          <w:u w:val="single"/>
        </w:rPr>
        <w:t>3.1</w:t>
      </w:r>
      <w:r w:rsidRPr="003253EA">
        <w:rPr>
          <w:b/>
          <w:noProof/>
          <w:u w:val="single"/>
        </w:rPr>
        <w:t>:</w:t>
      </w:r>
      <w:r>
        <w:rPr>
          <w:b/>
          <w:noProof/>
        </w:rPr>
        <w:t xml:space="preserve"> </w:t>
      </w:r>
      <w:r w:rsidRPr="004A4E16">
        <w:rPr>
          <w:b/>
          <w:noProof/>
          <w:szCs w:val="24"/>
        </w:rPr>
        <w:t>Continue with Council non-binding guidelines and Recommendations to put Europol in copy when using SIENA</w:t>
      </w:r>
      <w:r w:rsidRPr="004A4E16">
        <w:rPr>
          <w:rStyle w:val="FootnoteReference"/>
          <w:b/>
          <w:noProof/>
          <w:szCs w:val="24"/>
        </w:rPr>
        <w:footnoteReference w:id="89"/>
      </w:r>
      <w:r w:rsidRPr="004A4E16">
        <w:rPr>
          <w:b/>
          <w:noProof/>
          <w:szCs w:val="24"/>
        </w:rPr>
        <w:t xml:space="preserve"> in cases within Europol' mandate +</w:t>
      </w:r>
      <w:r w:rsidRPr="004A4E16">
        <w:rPr>
          <w:b/>
          <w:iCs/>
          <w:noProof/>
          <w:szCs w:val="24"/>
        </w:rPr>
        <w:t xml:space="preserve"> </w:t>
      </w:r>
      <w:r w:rsidR="00C132D4">
        <w:rPr>
          <w:b/>
          <w:iCs/>
          <w:noProof/>
          <w:szCs w:val="24"/>
        </w:rPr>
        <w:t xml:space="preserve">new </w:t>
      </w:r>
      <w:r w:rsidRPr="004A4E16">
        <w:rPr>
          <w:b/>
          <w:iCs/>
          <w:noProof/>
          <w:szCs w:val="24"/>
        </w:rPr>
        <w:t>flanking soft measures (training, financial support</w:t>
      </w:r>
      <w:r>
        <w:rPr>
          <w:b/>
          <w:iCs/>
          <w:noProof/>
          <w:szCs w:val="24"/>
        </w:rPr>
        <w:t>)</w:t>
      </w:r>
    </w:p>
    <w:p w14:paraId="5D5746F2" w14:textId="77777777" w:rsidR="00C76702" w:rsidRPr="00002027" w:rsidRDefault="00C76702" w:rsidP="004B37BF">
      <w:pPr>
        <w:pStyle w:val="Body"/>
        <w:spacing w:after="120"/>
        <w:jc w:val="both"/>
        <w:rPr>
          <w:rFonts w:ascii="Times New Roman" w:hAnsi="Times New Roman"/>
          <w:i/>
          <w:noProof/>
          <w:sz w:val="24"/>
          <w:szCs w:val="24"/>
        </w:rPr>
      </w:pPr>
      <w:r w:rsidRPr="00392FE4">
        <w:rPr>
          <w:rFonts w:ascii="Times New Roman" w:hAnsi="Times New Roman"/>
          <w:noProof/>
          <w:sz w:val="24"/>
          <w:szCs w:val="24"/>
        </w:rPr>
        <w:t xml:space="preserve">Policy option </w:t>
      </w:r>
      <w:r w:rsidR="002D599A">
        <w:rPr>
          <w:rFonts w:ascii="Times New Roman" w:hAnsi="Times New Roman"/>
          <w:noProof/>
          <w:sz w:val="24"/>
          <w:szCs w:val="24"/>
        </w:rPr>
        <w:t>3.1</w:t>
      </w:r>
      <w:r w:rsidRPr="00392FE4">
        <w:rPr>
          <w:rFonts w:ascii="Times New Roman" w:hAnsi="Times New Roman"/>
          <w:noProof/>
          <w:sz w:val="24"/>
          <w:szCs w:val="24"/>
        </w:rPr>
        <w:t xml:space="preserve"> will </w:t>
      </w:r>
      <w:r>
        <w:rPr>
          <w:rFonts w:ascii="Times New Roman" w:hAnsi="Times New Roman"/>
          <w:noProof/>
          <w:sz w:val="24"/>
          <w:szCs w:val="24"/>
        </w:rPr>
        <w:t>limit itself to supporting measures to improve the effective and efficient use of SIENA. They will mandate Europol with training in the use of SIENA and support Member States</w:t>
      </w:r>
      <w:r w:rsidR="00D003FC">
        <w:rPr>
          <w:rFonts w:ascii="Times New Roman" w:hAnsi="Times New Roman"/>
          <w:noProof/>
          <w:sz w:val="24"/>
          <w:szCs w:val="24"/>
        </w:rPr>
        <w:t>'</w:t>
      </w:r>
      <w:r>
        <w:rPr>
          <w:rFonts w:ascii="Times New Roman" w:hAnsi="Times New Roman"/>
          <w:noProof/>
          <w:sz w:val="24"/>
          <w:szCs w:val="24"/>
        </w:rPr>
        <w:t xml:space="preserve"> effort notably through funding.</w:t>
      </w:r>
      <w:r w:rsidR="00236C44">
        <w:rPr>
          <w:rFonts w:ascii="Times New Roman" w:hAnsi="Times New Roman"/>
          <w:noProof/>
          <w:sz w:val="24"/>
          <w:szCs w:val="24"/>
        </w:rPr>
        <w:t xml:space="preserve"> </w:t>
      </w:r>
      <w:r w:rsidRPr="00002027">
        <w:rPr>
          <w:rFonts w:ascii="Times New Roman" w:hAnsi="Times New Roman"/>
          <w:noProof/>
          <w:sz w:val="24"/>
          <w:szCs w:val="24"/>
        </w:rPr>
        <w:t xml:space="preserve">The following </w:t>
      </w:r>
      <w:r w:rsidRPr="00002027">
        <w:rPr>
          <w:rFonts w:ascii="Times New Roman" w:hAnsi="Times New Roman"/>
          <w:i/>
          <w:noProof/>
          <w:sz w:val="24"/>
          <w:szCs w:val="24"/>
        </w:rPr>
        <w:t>non-legislative</w:t>
      </w:r>
      <w:r w:rsidRPr="00002027">
        <w:rPr>
          <w:rFonts w:ascii="Times New Roman" w:hAnsi="Times New Roman"/>
          <w:noProof/>
          <w:sz w:val="24"/>
          <w:szCs w:val="24"/>
        </w:rPr>
        <w:t xml:space="preserve"> improvements to SIENA would also be </w:t>
      </w:r>
      <w:r>
        <w:rPr>
          <w:rFonts w:ascii="Times New Roman" w:hAnsi="Times New Roman"/>
          <w:noProof/>
          <w:sz w:val="24"/>
          <w:szCs w:val="24"/>
        </w:rPr>
        <w:t>recommended</w:t>
      </w:r>
      <w:r w:rsidRPr="00002027">
        <w:rPr>
          <w:rFonts w:ascii="Times New Roman" w:hAnsi="Times New Roman"/>
          <w:noProof/>
          <w:sz w:val="24"/>
          <w:szCs w:val="24"/>
        </w:rPr>
        <w:t>:</w:t>
      </w:r>
    </w:p>
    <w:p w14:paraId="78499C9C" w14:textId="77777777" w:rsidR="00C76702" w:rsidRPr="00002027" w:rsidRDefault="00C76702" w:rsidP="00E760E4">
      <w:pPr>
        <w:pStyle w:val="Body"/>
        <w:numPr>
          <w:ilvl w:val="0"/>
          <w:numId w:val="20"/>
        </w:numPr>
        <w:spacing w:after="0"/>
        <w:jc w:val="both"/>
        <w:rPr>
          <w:rFonts w:ascii="Times New Roman" w:hAnsi="Times New Roman"/>
          <w:noProof/>
          <w:sz w:val="24"/>
          <w:szCs w:val="24"/>
        </w:rPr>
      </w:pPr>
      <w:r w:rsidRPr="00002027">
        <w:rPr>
          <w:rFonts w:ascii="Times New Roman" w:hAnsi="Times New Roman"/>
          <w:noProof/>
          <w:sz w:val="24"/>
          <w:szCs w:val="24"/>
        </w:rPr>
        <w:t>Establishment of new, simpler and more user-friendly forms (e.g. design and accessibility, types of information required and clarifications and wording, multiple-choice alternat</w:t>
      </w:r>
      <w:r>
        <w:rPr>
          <w:rFonts w:ascii="Times New Roman" w:hAnsi="Times New Roman"/>
          <w:noProof/>
          <w:sz w:val="24"/>
          <w:szCs w:val="24"/>
        </w:rPr>
        <w:t>ives, removal of references to "</w:t>
      </w:r>
      <w:r w:rsidRPr="00002027">
        <w:rPr>
          <w:rFonts w:ascii="Times New Roman" w:hAnsi="Times New Roman"/>
          <w:noProof/>
          <w:sz w:val="24"/>
          <w:szCs w:val="24"/>
        </w:rPr>
        <w:t>other cases</w:t>
      </w:r>
      <w:r>
        <w:rPr>
          <w:rFonts w:ascii="Times New Roman" w:hAnsi="Times New Roman"/>
          <w:noProof/>
          <w:sz w:val="24"/>
          <w:szCs w:val="24"/>
        </w:rPr>
        <w:t>"</w:t>
      </w:r>
      <w:r w:rsidRPr="00002027">
        <w:rPr>
          <w:rFonts w:ascii="Times New Roman" w:hAnsi="Times New Roman"/>
          <w:noProof/>
          <w:sz w:val="24"/>
          <w:szCs w:val="24"/>
        </w:rPr>
        <w:t>) and implementation of these in SIENA. The forms should include factual reasons for the information request</w:t>
      </w:r>
      <w:r w:rsidR="00D003FC">
        <w:rPr>
          <w:rFonts w:ascii="Times New Roman" w:hAnsi="Times New Roman"/>
          <w:noProof/>
          <w:sz w:val="24"/>
          <w:szCs w:val="24"/>
        </w:rPr>
        <w:t>;</w:t>
      </w:r>
    </w:p>
    <w:p w14:paraId="3B09FFB0" w14:textId="77777777" w:rsidR="00C76702" w:rsidRPr="00002027" w:rsidRDefault="00C76702" w:rsidP="00E760E4">
      <w:pPr>
        <w:pStyle w:val="Body"/>
        <w:numPr>
          <w:ilvl w:val="0"/>
          <w:numId w:val="20"/>
        </w:numPr>
        <w:spacing w:after="120"/>
        <w:jc w:val="both"/>
        <w:rPr>
          <w:rFonts w:ascii="Times New Roman" w:hAnsi="Times New Roman"/>
          <w:noProof/>
          <w:sz w:val="24"/>
          <w:szCs w:val="24"/>
        </w:rPr>
      </w:pPr>
      <w:r w:rsidRPr="00002027">
        <w:rPr>
          <w:rFonts w:ascii="Times New Roman" w:hAnsi="Times New Roman"/>
          <w:noProof/>
          <w:sz w:val="24"/>
          <w:szCs w:val="24"/>
        </w:rPr>
        <w:t xml:space="preserve">Extension of the functionalities of SIENA, such as the introduction of an automated display of a hit/no hit indication (plus a possibility </w:t>
      </w:r>
      <w:r>
        <w:rPr>
          <w:rFonts w:ascii="Times New Roman" w:hAnsi="Times New Roman"/>
          <w:noProof/>
          <w:sz w:val="24"/>
          <w:szCs w:val="24"/>
        </w:rPr>
        <w:t>to request further information).</w:t>
      </w:r>
    </w:p>
    <w:p w14:paraId="09A2D5E3" w14:textId="77777777" w:rsidR="00C76702" w:rsidRPr="00392FE4" w:rsidRDefault="00C76702" w:rsidP="00017EF8">
      <w:pPr>
        <w:pStyle w:val="Body"/>
        <w:jc w:val="both"/>
        <w:rPr>
          <w:rFonts w:ascii="Times New Roman" w:hAnsi="Times New Roman"/>
          <w:noProof/>
          <w:sz w:val="28"/>
          <w:szCs w:val="24"/>
        </w:rPr>
      </w:pPr>
      <w:r w:rsidRPr="00392FE4">
        <w:rPr>
          <w:rFonts w:ascii="Times New Roman" w:hAnsi="Times New Roman"/>
          <w:noProof/>
          <w:sz w:val="24"/>
          <w:szCs w:val="16"/>
        </w:rPr>
        <w:t>Updating existing Council guidelines in view to achieve further approximation of practices will require an active support from the Member States given national specificities and related technicalities.</w:t>
      </w:r>
    </w:p>
    <w:p w14:paraId="46F41BDD" w14:textId="3536AE25" w:rsidR="00C76702" w:rsidRPr="00990476"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120"/>
        <w:ind w:left="0"/>
        <w:rPr>
          <w:b/>
          <w:noProof/>
          <w:szCs w:val="24"/>
        </w:rPr>
      </w:pPr>
      <w:r>
        <w:rPr>
          <w:b/>
          <w:noProof/>
          <w:szCs w:val="24"/>
          <w:u w:val="single"/>
        </w:rPr>
        <w:t xml:space="preserve">Policy option </w:t>
      </w:r>
      <w:r w:rsidR="002D599A">
        <w:rPr>
          <w:b/>
          <w:noProof/>
          <w:szCs w:val="24"/>
          <w:u w:val="single"/>
        </w:rPr>
        <w:t>3.2</w:t>
      </w:r>
      <w:r w:rsidRPr="00514E93">
        <w:rPr>
          <w:b/>
          <w:noProof/>
          <w:szCs w:val="24"/>
          <w:u w:val="single"/>
        </w:rPr>
        <w:t>:</w:t>
      </w:r>
      <w:r w:rsidRPr="00990476">
        <w:rPr>
          <w:b/>
          <w:noProof/>
          <w:szCs w:val="24"/>
        </w:rPr>
        <w:t xml:space="preserve"> </w:t>
      </w:r>
      <w:r w:rsidRPr="004A4E16">
        <w:rPr>
          <w:b/>
          <w:noProof/>
          <w:szCs w:val="24"/>
        </w:rPr>
        <w:t xml:space="preserve">Obligation to use </w:t>
      </w:r>
      <w:r w:rsidR="000001C0" w:rsidRPr="00704502">
        <w:rPr>
          <w:b/>
          <w:noProof/>
          <w:szCs w:val="24"/>
        </w:rPr>
        <w:t xml:space="preserve">SIENA </w:t>
      </w:r>
      <w:r w:rsidR="00500A35">
        <w:rPr>
          <w:b/>
          <w:noProof/>
          <w:szCs w:val="24"/>
        </w:rPr>
        <w:t xml:space="preserve">as </w:t>
      </w:r>
      <w:r w:rsidR="000001C0" w:rsidRPr="00704502">
        <w:rPr>
          <w:b/>
          <w:noProof/>
          <w:szCs w:val="24"/>
        </w:rPr>
        <w:t xml:space="preserve">the preferred </w:t>
      </w:r>
      <w:r w:rsidR="00500A35">
        <w:rPr>
          <w:b/>
          <w:noProof/>
          <w:szCs w:val="24"/>
        </w:rPr>
        <w:t xml:space="preserve">communication </w:t>
      </w:r>
      <w:r w:rsidR="000001C0" w:rsidRPr="00704502">
        <w:rPr>
          <w:b/>
          <w:noProof/>
          <w:szCs w:val="24"/>
        </w:rPr>
        <w:t>channel</w:t>
      </w:r>
      <w:r w:rsidR="00062B1E">
        <w:rPr>
          <w:b/>
          <w:noProof/>
          <w:szCs w:val="24"/>
        </w:rPr>
        <w:t xml:space="preserve"> </w:t>
      </w:r>
      <w:r w:rsidRPr="004A4E16">
        <w:rPr>
          <w:b/>
          <w:noProof/>
          <w:szCs w:val="24"/>
        </w:rPr>
        <w:t xml:space="preserve">+ obligation to put Europol in copy when using SIENA in cases within Europol's mandate + </w:t>
      </w:r>
      <w:r w:rsidR="001E26F1">
        <w:rPr>
          <w:b/>
          <w:noProof/>
          <w:szCs w:val="24"/>
        </w:rPr>
        <w:t xml:space="preserve">new  </w:t>
      </w:r>
      <w:r w:rsidR="00C132D4">
        <w:rPr>
          <w:b/>
          <w:noProof/>
          <w:szCs w:val="24"/>
        </w:rPr>
        <w:t>f</w:t>
      </w:r>
      <w:r w:rsidRPr="004A4E16">
        <w:rPr>
          <w:b/>
          <w:noProof/>
          <w:szCs w:val="24"/>
        </w:rPr>
        <w:t>lanking soft measures (</w:t>
      </w:r>
      <w:r w:rsidR="00A608D8">
        <w:rPr>
          <w:b/>
          <w:noProof/>
          <w:szCs w:val="24"/>
        </w:rPr>
        <w:t xml:space="preserve">as in </w:t>
      </w:r>
      <w:r w:rsidRPr="004A4E16">
        <w:rPr>
          <w:b/>
          <w:noProof/>
          <w:szCs w:val="24"/>
        </w:rPr>
        <w:t xml:space="preserve">option </w:t>
      </w:r>
      <w:r w:rsidR="00D81A3D">
        <w:rPr>
          <w:b/>
          <w:noProof/>
          <w:szCs w:val="24"/>
        </w:rPr>
        <w:t>3.1</w:t>
      </w:r>
      <w:r w:rsidRPr="004A4E16">
        <w:rPr>
          <w:b/>
          <w:noProof/>
          <w:szCs w:val="24"/>
        </w:rPr>
        <w:t>)</w:t>
      </w:r>
    </w:p>
    <w:p w14:paraId="1DDDC22E" w14:textId="77777777" w:rsidR="00C76702" w:rsidRDefault="00C76702" w:rsidP="004B37BF">
      <w:pPr>
        <w:pStyle w:val="Text2"/>
        <w:spacing w:after="120"/>
        <w:ind w:left="0"/>
        <w:rPr>
          <w:noProof/>
        </w:rPr>
      </w:pPr>
      <w:r>
        <w:rPr>
          <w:noProof/>
        </w:rPr>
        <w:t xml:space="preserve">Policy option </w:t>
      </w:r>
      <w:r w:rsidR="002D599A">
        <w:rPr>
          <w:noProof/>
        </w:rPr>
        <w:t>3.2</w:t>
      </w:r>
      <w:r>
        <w:rPr>
          <w:noProof/>
        </w:rPr>
        <w:t xml:space="preserve"> will clarify existing guidelines on the preferred channels of communication.</w:t>
      </w:r>
      <w:r w:rsidR="00236C44">
        <w:rPr>
          <w:noProof/>
        </w:rPr>
        <w:t xml:space="preserve"> </w:t>
      </w:r>
      <w:r>
        <w:rPr>
          <w:noProof/>
        </w:rPr>
        <w:t>These provisions will cover:</w:t>
      </w:r>
    </w:p>
    <w:p w14:paraId="5F6F30D5" w14:textId="1E20526F" w:rsidR="00104E62" w:rsidRDefault="00C76702" w:rsidP="00017EF8">
      <w:pPr>
        <w:pStyle w:val="Body"/>
        <w:numPr>
          <w:ilvl w:val="0"/>
          <w:numId w:val="27"/>
        </w:numPr>
        <w:ind w:left="714" w:hanging="357"/>
        <w:jc w:val="both"/>
        <w:rPr>
          <w:rFonts w:ascii="Times New Roman" w:hAnsi="Times New Roman"/>
          <w:i/>
          <w:noProof/>
          <w:sz w:val="24"/>
          <w:szCs w:val="24"/>
        </w:rPr>
      </w:pPr>
      <w:r w:rsidRPr="00002027">
        <w:rPr>
          <w:rFonts w:ascii="Times New Roman" w:hAnsi="Times New Roman"/>
          <w:i/>
          <w:noProof/>
          <w:sz w:val="24"/>
          <w:szCs w:val="24"/>
        </w:rPr>
        <w:t>Establishment o</w:t>
      </w:r>
      <w:r w:rsidR="00182B1E">
        <w:rPr>
          <w:rFonts w:ascii="Times New Roman" w:hAnsi="Times New Roman"/>
          <w:i/>
          <w:noProof/>
          <w:sz w:val="24"/>
          <w:szCs w:val="24"/>
        </w:rPr>
        <w:t xml:space="preserve">f the information channel to be </w:t>
      </w:r>
      <w:r w:rsidRPr="00002027">
        <w:rPr>
          <w:rFonts w:ascii="Times New Roman" w:hAnsi="Times New Roman"/>
          <w:i/>
          <w:noProof/>
          <w:sz w:val="24"/>
          <w:szCs w:val="24"/>
        </w:rPr>
        <w:t xml:space="preserve">used: </w:t>
      </w:r>
      <w:r w:rsidRPr="00002027">
        <w:rPr>
          <w:rFonts w:ascii="Times New Roman" w:hAnsi="Times New Roman"/>
          <w:noProof/>
          <w:sz w:val="24"/>
          <w:szCs w:val="24"/>
        </w:rPr>
        <w:t xml:space="preserve">Establishment of SIENA as the </w:t>
      </w:r>
      <w:r w:rsidRPr="00002027">
        <w:rPr>
          <w:rFonts w:ascii="Times New Roman" w:hAnsi="Times New Roman"/>
          <w:i/>
          <w:noProof/>
          <w:sz w:val="24"/>
          <w:szCs w:val="24"/>
        </w:rPr>
        <w:t>preferred channel</w:t>
      </w:r>
      <w:r w:rsidRPr="00002027">
        <w:rPr>
          <w:rFonts w:ascii="Times New Roman" w:hAnsi="Times New Roman"/>
          <w:noProof/>
          <w:sz w:val="24"/>
          <w:szCs w:val="24"/>
        </w:rPr>
        <w:t xml:space="preserve"> of communication for information exchange in an intra-EU context</w:t>
      </w:r>
      <w:r w:rsidR="00120D94">
        <w:rPr>
          <w:rFonts w:ascii="Times New Roman" w:hAnsi="Times New Roman"/>
          <w:noProof/>
          <w:sz w:val="24"/>
          <w:szCs w:val="24"/>
        </w:rPr>
        <w:t xml:space="preserve">, while maintaining </w:t>
      </w:r>
      <w:r w:rsidR="00120D94" w:rsidRPr="00880548">
        <w:rPr>
          <w:rFonts w:ascii="Times New Roman" w:hAnsi="Times New Roman"/>
          <w:noProof/>
          <w:sz w:val="24"/>
          <w:szCs w:val="24"/>
        </w:rPr>
        <w:t>Member States</w:t>
      </w:r>
      <w:r w:rsidR="00120D94">
        <w:rPr>
          <w:rFonts w:ascii="Times New Roman" w:hAnsi="Times New Roman"/>
          <w:noProof/>
          <w:sz w:val="24"/>
          <w:szCs w:val="24"/>
        </w:rPr>
        <w:t>’ possibility to</w:t>
      </w:r>
      <w:r w:rsidR="00120D94" w:rsidRPr="00880548">
        <w:rPr>
          <w:rFonts w:ascii="Times New Roman" w:hAnsi="Times New Roman"/>
          <w:noProof/>
          <w:sz w:val="24"/>
          <w:szCs w:val="24"/>
        </w:rPr>
        <w:t xml:space="preserve"> choose another communication channel</w:t>
      </w:r>
      <w:r w:rsidRPr="00002027">
        <w:rPr>
          <w:rFonts w:ascii="Times New Roman" w:hAnsi="Times New Roman"/>
          <w:noProof/>
          <w:sz w:val="24"/>
          <w:szCs w:val="24"/>
        </w:rPr>
        <w:t>. I</w:t>
      </w:r>
      <w:r>
        <w:rPr>
          <w:rFonts w:ascii="Times New Roman" w:hAnsi="Times New Roman"/>
          <w:noProof/>
          <w:sz w:val="24"/>
          <w:szCs w:val="24"/>
        </w:rPr>
        <w:t>NTERPOL I</w:t>
      </w:r>
      <w:r w:rsidRPr="00002027">
        <w:rPr>
          <w:rFonts w:ascii="Times New Roman" w:hAnsi="Times New Roman"/>
          <w:noProof/>
          <w:sz w:val="24"/>
          <w:szCs w:val="24"/>
        </w:rPr>
        <w:t>24/7 should be used in cases where third countries are involved in the exchange of information. SIENA would need to be monitored 24/7</w:t>
      </w:r>
      <w:r w:rsidR="00F4524E">
        <w:rPr>
          <w:rFonts w:ascii="Times New Roman" w:hAnsi="Times New Roman"/>
          <w:noProof/>
          <w:sz w:val="24"/>
          <w:szCs w:val="24"/>
        </w:rPr>
        <w:t xml:space="preserve"> at national level</w:t>
      </w:r>
      <w:r w:rsidRPr="00002027">
        <w:rPr>
          <w:rFonts w:ascii="Times New Roman" w:hAnsi="Times New Roman"/>
          <w:noProof/>
          <w:sz w:val="24"/>
          <w:szCs w:val="24"/>
        </w:rPr>
        <w:t>. There would also be an obligation to put Europol in copy in cases concerning information exchange within Europol's mandate.</w:t>
      </w:r>
    </w:p>
    <w:p w14:paraId="74C671D7" w14:textId="31471ACE" w:rsidR="00C76702" w:rsidRPr="00990476"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120"/>
        <w:ind w:left="0"/>
        <w:rPr>
          <w:b/>
          <w:noProof/>
          <w:szCs w:val="24"/>
        </w:rPr>
      </w:pPr>
      <w:r>
        <w:rPr>
          <w:b/>
          <w:noProof/>
          <w:szCs w:val="24"/>
          <w:u w:val="single"/>
        </w:rPr>
        <w:t xml:space="preserve">Policy option </w:t>
      </w:r>
      <w:r w:rsidR="002D599A">
        <w:rPr>
          <w:b/>
          <w:noProof/>
          <w:szCs w:val="24"/>
          <w:u w:val="single"/>
        </w:rPr>
        <w:t>3.3</w:t>
      </w:r>
      <w:r w:rsidRPr="00514E93">
        <w:rPr>
          <w:b/>
          <w:noProof/>
          <w:szCs w:val="24"/>
          <w:u w:val="single"/>
        </w:rPr>
        <w:t>:</w:t>
      </w:r>
      <w:r w:rsidRPr="00990476">
        <w:rPr>
          <w:b/>
          <w:noProof/>
          <w:szCs w:val="24"/>
        </w:rPr>
        <w:t xml:space="preserve"> </w:t>
      </w:r>
      <w:r w:rsidRPr="008C0EEF">
        <w:rPr>
          <w:b/>
          <w:noProof/>
          <w:szCs w:val="24"/>
        </w:rPr>
        <w:t>obligation to use SIENA</w:t>
      </w:r>
      <w:r>
        <w:rPr>
          <w:b/>
          <w:noProof/>
          <w:szCs w:val="24"/>
        </w:rPr>
        <w:t xml:space="preserve"> by default for all bilateral information exchange</w:t>
      </w:r>
      <w:r>
        <w:rPr>
          <w:noProof/>
          <w:szCs w:val="24"/>
        </w:rPr>
        <w:t xml:space="preserve"> </w:t>
      </w:r>
      <w:r w:rsidRPr="004A4E16">
        <w:rPr>
          <w:b/>
          <w:noProof/>
          <w:szCs w:val="24"/>
        </w:rPr>
        <w:t>(unless otherwise regulated by EU law) + obligation to put Europol in copy when in cases within Europol's mandate, both after the end of a</w:t>
      </w:r>
      <w:r>
        <w:rPr>
          <w:noProof/>
          <w:szCs w:val="24"/>
        </w:rPr>
        <w:t xml:space="preserve"> </w:t>
      </w:r>
      <w:r>
        <w:rPr>
          <w:b/>
          <w:noProof/>
          <w:szCs w:val="24"/>
        </w:rPr>
        <w:t>transition period and with Internal Security Fund support for the SIENA roll-out</w:t>
      </w:r>
      <w:r w:rsidR="00D81A3D">
        <w:rPr>
          <w:b/>
          <w:noProof/>
          <w:szCs w:val="24"/>
        </w:rPr>
        <w:t xml:space="preserve"> + </w:t>
      </w:r>
      <w:r w:rsidR="001E26F1">
        <w:rPr>
          <w:b/>
          <w:noProof/>
          <w:szCs w:val="24"/>
        </w:rPr>
        <w:t>new f</w:t>
      </w:r>
      <w:r w:rsidR="00D81A3D" w:rsidRPr="004A4E16">
        <w:rPr>
          <w:b/>
          <w:noProof/>
          <w:szCs w:val="24"/>
        </w:rPr>
        <w:t>lanking soft measures (</w:t>
      </w:r>
      <w:r w:rsidR="00D81A3D">
        <w:rPr>
          <w:b/>
          <w:noProof/>
          <w:szCs w:val="24"/>
        </w:rPr>
        <w:t xml:space="preserve">as in </w:t>
      </w:r>
      <w:r w:rsidR="00D81A3D" w:rsidRPr="004A4E16">
        <w:rPr>
          <w:b/>
          <w:noProof/>
          <w:szCs w:val="24"/>
        </w:rPr>
        <w:t xml:space="preserve">option </w:t>
      </w:r>
      <w:r w:rsidR="00D81A3D">
        <w:rPr>
          <w:b/>
          <w:noProof/>
          <w:szCs w:val="24"/>
        </w:rPr>
        <w:t>3.1</w:t>
      </w:r>
      <w:r w:rsidR="00D81A3D" w:rsidRPr="004A4E16">
        <w:rPr>
          <w:b/>
          <w:noProof/>
          <w:szCs w:val="24"/>
        </w:rPr>
        <w:t>)</w:t>
      </w:r>
    </w:p>
    <w:p w14:paraId="7C0A3977" w14:textId="2B907800" w:rsidR="00C76702" w:rsidRDefault="00C76702" w:rsidP="00C76702">
      <w:pPr>
        <w:pStyle w:val="Text2"/>
        <w:spacing w:after="120"/>
        <w:ind w:left="0"/>
        <w:rPr>
          <w:noProof/>
          <w:szCs w:val="24"/>
        </w:rPr>
      </w:pPr>
      <w:r>
        <w:rPr>
          <w:noProof/>
        </w:rPr>
        <w:t xml:space="preserve">With Policy option </w:t>
      </w:r>
      <w:r w:rsidR="002D599A">
        <w:rPr>
          <w:noProof/>
        </w:rPr>
        <w:t>3.3</w:t>
      </w:r>
      <w:r>
        <w:rPr>
          <w:noProof/>
        </w:rPr>
        <w:t xml:space="preserve">, </w:t>
      </w:r>
      <w:r w:rsidR="000001C0">
        <w:rPr>
          <w:noProof/>
        </w:rPr>
        <w:t xml:space="preserve">Europol </w:t>
      </w:r>
      <w:r>
        <w:rPr>
          <w:noProof/>
        </w:rPr>
        <w:t xml:space="preserve">SIENA will become the </w:t>
      </w:r>
      <w:r w:rsidR="00055DB0">
        <w:rPr>
          <w:noProof/>
        </w:rPr>
        <w:t xml:space="preserve">mandatory </w:t>
      </w:r>
      <w:r>
        <w:rPr>
          <w:noProof/>
        </w:rPr>
        <w:t>channel of communication by default</w:t>
      </w:r>
      <w:r w:rsidR="00120D94">
        <w:rPr>
          <w:noProof/>
        </w:rPr>
        <w:t xml:space="preserve"> for police cooperation</w:t>
      </w:r>
      <w:r w:rsidR="00120D94">
        <w:rPr>
          <w:rStyle w:val="FootnoteReference"/>
          <w:noProof/>
        </w:rPr>
        <w:footnoteReference w:id="90"/>
      </w:r>
      <w:r>
        <w:rPr>
          <w:noProof/>
        </w:rPr>
        <w:t xml:space="preserve"> between EU Member States</w:t>
      </w:r>
      <w:r>
        <w:rPr>
          <w:rStyle w:val="FootnoteReference"/>
          <w:noProof/>
        </w:rPr>
        <w:footnoteReference w:id="91"/>
      </w:r>
      <w:r>
        <w:rPr>
          <w:noProof/>
        </w:rPr>
        <w:t xml:space="preserve"> </w:t>
      </w:r>
      <w:r w:rsidRPr="004E7DEC">
        <w:rPr>
          <w:noProof/>
          <w:szCs w:val="24"/>
        </w:rPr>
        <w:t>(excluding those situations where other channels are required by EU law</w:t>
      </w:r>
      <w:r>
        <w:rPr>
          <w:noProof/>
          <w:szCs w:val="24"/>
        </w:rPr>
        <w:t>, e.g. SIS</w:t>
      </w:r>
      <w:r w:rsidRPr="004E7DEC">
        <w:rPr>
          <w:noProof/>
          <w:szCs w:val="24"/>
        </w:rPr>
        <w:t>).</w:t>
      </w:r>
      <w:r>
        <w:rPr>
          <w:noProof/>
          <w:szCs w:val="24"/>
        </w:rPr>
        <w:t xml:space="preserve"> </w:t>
      </w:r>
      <w:r w:rsidR="00055DB0" w:rsidRPr="00B83782">
        <w:rPr>
          <w:noProof/>
        </w:rPr>
        <w:t>This means that for cases that only have an EU dimension or in relation to which it is not (yet) clear if they also concern third countries, SIENA should be used as channel for information exchange</w:t>
      </w:r>
      <w:r w:rsidR="00302C08">
        <w:rPr>
          <w:rStyle w:val="FootnoteReference"/>
          <w:noProof/>
        </w:rPr>
        <w:footnoteReference w:id="92"/>
      </w:r>
      <w:r w:rsidR="00055DB0">
        <w:rPr>
          <w:noProof/>
        </w:rPr>
        <w:t>.</w:t>
      </w:r>
    </w:p>
    <w:p w14:paraId="01D317DF" w14:textId="77777777" w:rsidR="00C76702" w:rsidRDefault="00C76702" w:rsidP="00833004">
      <w:pPr>
        <w:pStyle w:val="Text2"/>
        <w:ind w:left="0"/>
        <w:rPr>
          <w:noProof/>
        </w:rPr>
      </w:pPr>
      <w:r>
        <w:rPr>
          <w:noProof/>
          <w:szCs w:val="24"/>
        </w:rPr>
        <w:t>This obligation will only come into force after a necessary transition period allowing the full roll-out of SIENA to all relevant end</w:t>
      </w:r>
      <w:r w:rsidR="00833004">
        <w:rPr>
          <w:noProof/>
        </w:rPr>
        <w:t xml:space="preserve"> </w:t>
      </w:r>
      <w:r w:rsidR="00833004">
        <w:rPr>
          <w:noProof/>
          <w:szCs w:val="24"/>
        </w:rPr>
        <w:t>users.</w:t>
      </w:r>
      <w:r w:rsidR="00833004">
        <w:rPr>
          <w:noProof/>
        </w:rPr>
        <w:t xml:space="preserve"> Funding</w:t>
      </w:r>
      <w:r>
        <w:rPr>
          <w:noProof/>
        </w:rPr>
        <w:t xml:space="preserve"> will be made available to support Member States necessary IT upgrades. Additional </w:t>
      </w:r>
      <w:r w:rsidR="00621DC6">
        <w:rPr>
          <w:noProof/>
        </w:rPr>
        <w:t xml:space="preserve">(flanking) </w:t>
      </w:r>
      <w:r>
        <w:rPr>
          <w:noProof/>
        </w:rPr>
        <w:t xml:space="preserve">measures correspond to policy option </w:t>
      </w:r>
      <w:r w:rsidR="002D599A">
        <w:rPr>
          <w:noProof/>
        </w:rPr>
        <w:t>3.</w:t>
      </w:r>
      <w:r w:rsidR="00E26176">
        <w:rPr>
          <w:noProof/>
        </w:rPr>
        <w:t>1</w:t>
      </w:r>
      <w:r>
        <w:rPr>
          <w:noProof/>
        </w:rPr>
        <w:t xml:space="preserve">. </w:t>
      </w:r>
    </w:p>
    <w:p w14:paraId="1A477AFD" w14:textId="77777777" w:rsidR="00C76702" w:rsidRPr="002F22A9" w:rsidRDefault="008E75D7" w:rsidP="00094199">
      <w:pPr>
        <w:pStyle w:val="Heading2"/>
        <w:rPr>
          <w:noProof/>
        </w:rPr>
      </w:pPr>
      <w:bookmarkStart w:id="91" w:name="_Toc78189695"/>
      <w:bookmarkStart w:id="92" w:name="_Toc74838175"/>
      <w:bookmarkEnd w:id="91"/>
      <w:r>
        <w:rPr>
          <w:noProof/>
        </w:rPr>
        <w:t xml:space="preserve"> </w:t>
      </w:r>
      <w:bookmarkStart w:id="93" w:name="_Toc83801037"/>
      <w:r w:rsidR="00C76702" w:rsidRPr="002F22A9">
        <w:rPr>
          <w:noProof/>
        </w:rPr>
        <w:t xml:space="preserve">Options discarded at </w:t>
      </w:r>
      <w:r w:rsidR="000118D0">
        <w:rPr>
          <w:noProof/>
        </w:rPr>
        <w:t>a</w:t>
      </w:r>
      <w:r w:rsidR="00C76702" w:rsidRPr="002F22A9">
        <w:rPr>
          <w:noProof/>
        </w:rPr>
        <w:t>n early stage</w:t>
      </w:r>
      <w:bookmarkEnd w:id="92"/>
      <w:bookmarkEnd w:id="93"/>
    </w:p>
    <w:p w14:paraId="43460AFF" w14:textId="77777777" w:rsidR="00C76702" w:rsidRDefault="00C76702" w:rsidP="00C76702">
      <w:pPr>
        <w:pStyle w:val="Text2"/>
        <w:spacing w:after="120"/>
        <w:ind w:left="0"/>
        <w:rPr>
          <w:noProof/>
        </w:rPr>
      </w:pPr>
      <w:r>
        <w:rPr>
          <w:noProof/>
        </w:rPr>
        <w:t>Following the consultation of stakeholders, the Commission discarded</w:t>
      </w:r>
      <w:r w:rsidR="00236C44">
        <w:rPr>
          <w:rStyle w:val="FootnoteReference"/>
          <w:noProof/>
        </w:rPr>
        <w:footnoteReference w:id="93"/>
      </w:r>
      <w:r>
        <w:rPr>
          <w:noProof/>
        </w:rPr>
        <w:t xml:space="preserve"> the option of expanding legislative changes to the </w:t>
      </w:r>
      <w:r w:rsidRPr="002F3F83">
        <w:rPr>
          <w:noProof/>
          <w:szCs w:val="24"/>
        </w:rPr>
        <w:t>1998</w:t>
      </w:r>
      <w:r>
        <w:rPr>
          <w:noProof/>
          <w:szCs w:val="24"/>
        </w:rPr>
        <w:t xml:space="preserve"> </w:t>
      </w:r>
      <w:r>
        <w:rPr>
          <w:noProof/>
        </w:rPr>
        <w:t xml:space="preserve">Naples II Convention </w:t>
      </w:r>
      <w:r w:rsidRPr="002F3F83">
        <w:rPr>
          <w:noProof/>
          <w:szCs w:val="24"/>
        </w:rPr>
        <w:t>on mutual assistance and cooperation between customs administrations</w:t>
      </w:r>
      <w:r>
        <w:rPr>
          <w:noProof/>
        </w:rPr>
        <w:t>. This decision has been taken in view of necessity and proportionality considerations, customs cooperation being mostly of administrative nature.</w:t>
      </w:r>
    </w:p>
    <w:p w14:paraId="0C3F8CFC" w14:textId="77777777" w:rsidR="00C76702" w:rsidRDefault="00C76702" w:rsidP="00C76702">
      <w:pPr>
        <w:pStyle w:val="Text2"/>
        <w:spacing w:after="120"/>
        <w:ind w:left="0"/>
        <w:rPr>
          <w:noProof/>
        </w:rPr>
      </w:pPr>
      <w:r>
        <w:rPr>
          <w:noProof/>
        </w:rPr>
        <w:t>Customs administrations are nevertheless fully covered as competent authorities under the objectives of this initiative with a view to improve cooperation between relevant law enforcement authorities</w:t>
      </w:r>
      <w:r w:rsidR="00DA05F0">
        <w:rPr>
          <w:noProof/>
        </w:rPr>
        <w:t xml:space="preserve"> (notably against tax crimes e.g. tobacco smuggling)</w:t>
      </w:r>
      <w:r>
        <w:rPr>
          <w:noProof/>
        </w:rPr>
        <w:t>:</w:t>
      </w:r>
    </w:p>
    <w:p w14:paraId="7D104708" w14:textId="77777777" w:rsidR="00C76702" w:rsidRPr="001E7C0C" w:rsidRDefault="00C76702" w:rsidP="00900BC7">
      <w:pPr>
        <w:pStyle w:val="Text2"/>
        <w:numPr>
          <w:ilvl w:val="0"/>
          <w:numId w:val="35"/>
        </w:numPr>
        <w:spacing w:after="0"/>
        <w:ind w:left="777" w:hanging="357"/>
        <w:rPr>
          <w:b/>
          <w:noProof/>
        </w:rPr>
      </w:pPr>
      <w:r w:rsidRPr="00110ADB">
        <w:rPr>
          <w:i/>
          <w:noProof/>
        </w:rPr>
        <w:t>Objective I:</w:t>
      </w:r>
      <w:r>
        <w:rPr>
          <w:noProof/>
        </w:rPr>
        <w:t xml:space="preserve"> Customs administrations are competent under the Swedish Framework Decision. Its revision by means of a Directive thus covers its use by customs administrations;</w:t>
      </w:r>
    </w:p>
    <w:p w14:paraId="7481F38A" w14:textId="77777777" w:rsidR="00C76702" w:rsidRPr="004E1767" w:rsidRDefault="00C76702" w:rsidP="00900BC7">
      <w:pPr>
        <w:pStyle w:val="Text2"/>
        <w:numPr>
          <w:ilvl w:val="0"/>
          <w:numId w:val="35"/>
        </w:numPr>
        <w:spacing w:after="0"/>
        <w:ind w:left="777" w:hanging="357"/>
        <w:rPr>
          <w:b/>
          <w:noProof/>
        </w:rPr>
      </w:pPr>
      <w:r w:rsidRPr="00110ADB">
        <w:rPr>
          <w:i/>
          <w:noProof/>
        </w:rPr>
        <w:t>Objective II:</w:t>
      </w:r>
      <w:r>
        <w:rPr>
          <w:noProof/>
        </w:rPr>
        <w:t xml:space="preserve"> customs administrations</w:t>
      </w:r>
      <w:r w:rsidR="00197D3A">
        <w:rPr>
          <w:noProof/>
        </w:rPr>
        <w:t xml:space="preserve"> are</w:t>
      </w:r>
      <w:r>
        <w:rPr>
          <w:noProof/>
        </w:rPr>
        <w:t xml:space="preserve"> to become part of the SPOC where </w:t>
      </w:r>
      <w:r w:rsidR="00197D3A">
        <w:rPr>
          <w:noProof/>
        </w:rPr>
        <w:t xml:space="preserve">this is </w:t>
      </w:r>
      <w:r>
        <w:rPr>
          <w:noProof/>
        </w:rPr>
        <w:t>not yet the case</w:t>
      </w:r>
      <w:r w:rsidR="00621DC6">
        <w:rPr>
          <w:noProof/>
        </w:rPr>
        <w:t xml:space="preserve"> and where relevant</w:t>
      </w:r>
      <w:r>
        <w:rPr>
          <w:noProof/>
        </w:rPr>
        <w:t>. This includes necessary access to relevant customs databases and case management system (also in Police and Customs Cooperation Centres – where they exist);</w:t>
      </w:r>
    </w:p>
    <w:p w14:paraId="3868FC3B" w14:textId="4D5C8935" w:rsidR="00C76702" w:rsidRPr="00874599" w:rsidRDefault="00C76702" w:rsidP="00900BC7">
      <w:pPr>
        <w:pStyle w:val="Text2"/>
        <w:numPr>
          <w:ilvl w:val="0"/>
          <w:numId w:val="35"/>
        </w:numPr>
        <w:spacing w:after="0"/>
        <w:ind w:left="777" w:hanging="357"/>
        <w:rPr>
          <w:b/>
          <w:noProof/>
        </w:rPr>
      </w:pPr>
      <w:r w:rsidRPr="00110ADB">
        <w:rPr>
          <w:i/>
          <w:noProof/>
        </w:rPr>
        <w:t>Objective III:</w:t>
      </w:r>
      <w:r>
        <w:rPr>
          <w:noProof/>
        </w:rPr>
        <w:t xml:space="preserve"> customs administrations, as part of the SPOC, </w:t>
      </w:r>
      <w:r w:rsidR="00197D3A">
        <w:rPr>
          <w:noProof/>
        </w:rPr>
        <w:t xml:space="preserve">are </w:t>
      </w:r>
      <w:r>
        <w:rPr>
          <w:noProof/>
        </w:rPr>
        <w:t>to use Europol SIENA by default when engaging with another Member State and copy Europol when concerning an offence within Europol'</w:t>
      </w:r>
      <w:r w:rsidR="000B251B">
        <w:rPr>
          <w:noProof/>
        </w:rPr>
        <w:t>s</w:t>
      </w:r>
      <w:r>
        <w:rPr>
          <w:noProof/>
        </w:rPr>
        <w:t xml:space="preserve"> mandate. </w:t>
      </w:r>
    </w:p>
    <w:p w14:paraId="2EA12A18" w14:textId="5F10745C" w:rsidR="00C76702" w:rsidRPr="00BA0C13" w:rsidRDefault="00173E60" w:rsidP="00173E60">
      <w:pPr>
        <w:pStyle w:val="Heading1"/>
        <w:rPr>
          <w:noProof/>
        </w:rPr>
      </w:pPr>
      <w:bookmarkStart w:id="94" w:name="_Toc74838176"/>
      <w:bookmarkStart w:id="95" w:name="_Toc48897640"/>
      <w:bookmarkStart w:id="96" w:name="_Toc83801038"/>
      <w:bookmarkEnd w:id="83"/>
      <w:r w:rsidRPr="00173E60">
        <w:t>6.</w:t>
      </w:r>
      <w:r w:rsidRPr="00173E60">
        <w:tab/>
      </w:r>
      <w:r w:rsidR="00C76702" w:rsidRPr="00BA0C13">
        <w:rPr>
          <w:noProof/>
        </w:rPr>
        <w:t>What are the impacts of the policy options?</w:t>
      </w:r>
      <w:bookmarkEnd w:id="94"/>
      <w:bookmarkEnd w:id="95"/>
      <w:bookmarkEnd w:id="96"/>
    </w:p>
    <w:p w14:paraId="77D89935" w14:textId="0FA0C9C8" w:rsidR="00C76702" w:rsidRDefault="00C76702" w:rsidP="00C76702">
      <w:pPr>
        <w:pStyle w:val="Text1"/>
        <w:spacing w:after="120"/>
        <w:ind w:left="0"/>
        <w:rPr>
          <w:noProof/>
        </w:rPr>
      </w:pPr>
      <w:r>
        <w:rPr>
          <w:noProof/>
        </w:rPr>
        <w:t xml:space="preserve">This chapter assesses all policy options identified in section </w:t>
      </w:r>
      <w:r w:rsidRPr="0083684C">
        <w:rPr>
          <w:noProof/>
        </w:rPr>
        <w:t>5.2</w:t>
      </w:r>
      <w:r>
        <w:rPr>
          <w:noProof/>
        </w:rPr>
        <w:t xml:space="preserve"> against the baseline options identified in section 5.1. Given that the baseline scenario is evidently unsuited to address the problems identified in chapter 2 (problem definition), this impact assessment will not assess the baseline scenario any further</w:t>
      </w:r>
      <w:r>
        <w:rPr>
          <w:rStyle w:val="FootnoteReference"/>
          <w:noProof/>
        </w:rPr>
        <w:footnoteReference w:id="94"/>
      </w:r>
      <w:r>
        <w:rPr>
          <w:noProof/>
        </w:rPr>
        <w:t>.</w:t>
      </w:r>
    </w:p>
    <w:p w14:paraId="2669B15C" w14:textId="3FDB0C27" w:rsidR="005C56D4" w:rsidRDefault="005C56D4" w:rsidP="00C76702">
      <w:pPr>
        <w:pStyle w:val="Text1"/>
        <w:spacing w:after="120"/>
        <w:ind w:left="0"/>
        <w:rPr>
          <w:noProof/>
        </w:rPr>
      </w:pPr>
      <w:r>
        <w:rPr>
          <w:noProof/>
        </w:rPr>
        <w:t>These impacts cover a wide range of parameters, including effectiveness, efficiency, EU added value, proportionality and coherence. These criteria are further elaborated upon regarding the combined preferred option.</w:t>
      </w:r>
    </w:p>
    <w:p w14:paraId="3393EA23" w14:textId="77777777" w:rsidR="00C76702" w:rsidRDefault="00F003DC" w:rsidP="00C76702">
      <w:pPr>
        <w:pStyle w:val="Text1"/>
        <w:spacing w:after="120"/>
        <w:ind w:left="0"/>
        <w:rPr>
          <w:noProof/>
        </w:rPr>
      </w:pPr>
      <w:r>
        <w:rPr>
          <w:noProof/>
        </w:rPr>
        <w:t>No direct environmental and economic impacts were clearly identified</w:t>
      </w:r>
      <w:r w:rsidR="00575908" w:rsidRPr="00575908">
        <w:rPr>
          <w:noProof/>
        </w:rPr>
        <w:t xml:space="preserve"> </w:t>
      </w:r>
      <w:r w:rsidR="00575908">
        <w:rPr>
          <w:noProof/>
        </w:rPr>
        <w:t>per policy option</w:t>
      </w:r>
      <w:r>
        <w:rPr>
          <w:noProof/>
        </w:rPr>
        <w:t>.</w:t>
      </w:r>
      <w:r w:rsidR="00575908">
        <w:rPr>
          <w:noProof/>
        </w:rPr>
        <w:t xml:space="preserve"> Nevertheless, the following high-level impacts could be mentioned:</w:t>
      </w:r>
    </w:p>
    <w:p w14:paraId="4C8A0041" w14:textId="4AE7796F" w:rsidR="00C76702" w:rsidRDefault="00C76702" w:rsidP="00E760E4">
      <w:pPr>
        <w:pStyle w:val="Text1"/>
        <w:numPr>
          <w:ilvl w:val="0"/>
          <w:numId w:val="28"/>
        </w:numPr>
        <w:spacing w:after="120"/>
        <w:rPr>
          <w:noProof/>
        </w:rPr>
      </w:pPr>
      <w:r w:rsidRPr="00DF05EC">
        <w:rPr>
          <w:b/>
          <w:noProof/>
        </w:rPr>
        <w:t>Environmental impact:</w:t>
      </w:r>
      <w:r>
        <w:rPr>
          <w:noProof/>
        </w:rPr>
        <w:t xml:space="preserve"> </w:t>
      </w:r>
      <w:r w:rsidR="00790DBE">
        <w:rPr>
          <w:noProof/>
        </w:rPr>
        <w:t xml:space="preserve">A small negative </w:t>
      </w:r>
      <w:r>
        <w:rPr>
          <w:noProof/>
        </w:rPr>
        <w:t>impact is expected on the environment</w:t>
      </w:r>
      <w:r w:rsidR="00790DBE">
        <w:rPr>
          <w:noProof/>
        </w:rPr>
        <w:t xml:space="preserve"> due to the expected increase in electricity consumption </w:t>
      </w:r>
      <w:r w:rsidR="00790DBE" w:rsidRPr="00AC24E2">
        <w:rPr>
          <w:bCs/>
          <w:noProof/>
        </w:rPr>
        <w:t>in relation to computers and servers used for information exchange</w:t>
      </w:r>
      <w:r w:rsidR="00575908">
        <w:rPr>
          <w:bCs/>
          <w:noProof/>
        </w:rPr>
        <w:t>.</w:t>
      </w:r>
    </w:p>
    <w:p w14:paraId="653898A6" w14:textId="77777777" w:rsidR="00C76702" w:rsidRDefault="00C76702" w:rsidP="00E760E4">
      <w:pPr>
        <w:pStyle w:val="Text1"/>
        <w:numPr>
          <w:ilvl w:val="0"/>
          <w:numId w:val="28"/>
        </w:numPr>
        <w:ind w:left="714" w:hanging="357"/>
        <w:rPr>
          <w:noProof/>
          <w:szCs w:val="24"/>
        </w:rPr>
      </w:pPr>
      <w:r w:rsidRPr="00DF05EC">
        <w:rPr>
          <w:b/>
          <w:noProof/>
        </w:rPr>
        <w:t>Economic impact:</w:t>
      </w:r>
      <w:r>
        <w:rPr>
          <w:noProof/>
        </w:rPr>
        <w:t xml:space="preserve"> </w:t>
      </w:r>
      <w:r>
        <w:rPr>
          <w:noProof/>
          <w:szCs w:val="24"/>
        </w:rPr>
        <w:t xml:space="preserve">Immediate economic impacts of any of the above options will be limited to the design, development and operation of the new processes. The costs will fall to the EU budget and to Member State authorities operating the systems. They will vary depending on the Member States national specificities and needs. </w:t>
      </w:r>
      <w:r w:rsidR="007C4A83">
        <w:rPr>
          <w:noProof/>
          <w:szCs w:val="24"/>
        </w:rPr>
        <w:t>ISF</w:t>
      </w:r>
      <w:r w:rsidR="007C4A83">
        <w:rPr>
          <w:rStyle w:val="FootnoteReference"/>
          <w:noProof/>
          <w:szCs w:val="24"/>
        </w:rPr>
        <w:footnoteReference w:id="95"/>
      </w:r>
      <w:r w:rsidR="007C4A83">
        <w:rPr>
          <w:noProof/>
          <w:szCs w:val="24"/>
        </w:rPr>
        <w:t xml:space="preserve"> </w:t>
      </w:r>
      <w:r w:rsidR="004B55A3">
        <w:rPr>
          <w:noProof/>
        </w:rPr>
        <w:t>f</w:t>
      </w:r>
      <w:r>
        <w:rPr>
          <w:noProof/>
        </w:rPr>
        <w:t>unding will be made available to support Member States necessary IT upgrades</w:t>
      </w:r>
      <w:r>
        <w:rPr>
          <w:noProof/>
          <w:szCs w:val="24"/>
        </w:rPr>
        <w:t>. The proposed measures</w:t>
      </w:r>
      <w:r w:rsidR="004B55A3">
        <w:rPr>
          <w:noProof/>
          <w:szCs w:val="24"/>
        </w:rPr>
        <w:t xml:space="preserve"> may have a positive </w:t>
      </w:r>
      <w:r>
        <w:rPr>
          <w:noProof/>
          <w:szCs w:val="24"/>
        </w:rPr>
        <w:t xml:space="preserve">impact on </w:t>
      </w:r>
      <w:r w:rsidRPr="004B55A3">
        <w:rPr>
          <w:b/>
          <w:noProof/>
          <w:szCs w:val="24"/>
        </w:rPr>
        <w:t>small and medium-sized enterprises</w:t>
      </w:r>
      <w:r w:rsidR="004B55A3">
        <w:rPr>
          <w:noProof/>
          <w:szCs w:val="24"/>
        </w:rPr>
        <w:t xml:space="preserve"> given the need for IT-related products</w:t>
      </w:r>
      <w:r>
        <w:rPr>
          <w:noProof/>
          <w:szCs w:val="24"/>
        </w:rPr>
        <w:t>.</w:t>
      </w:r>
      <w:r w:rsidR="00575908">
        <w:rPr>
          <w:noProof/>
          <w:szCs w:val="24"/>
        </w:rPr>
        <w:t xml:space="preserve"> An indirect positive economic impact could be found in a more effective fight against counterfeited good</w:t>
      </w:r>
      <w:r w:rsidR="006122BC">
        <w:rPr>
          <w:noProof/>
          <w:szCs w:val="24"/>
        </w:rPr>
        <w:t xml:space="preserve">, </w:t>
      </w:r>
      <w:r w:rsidR="00575908">
        <w:rPr>
          <w:noProof/>
          <w:szCs w:val="24"/>
        </w:rPr>
        <w:t>thereby better protecting SMEs</w:t>
      </w:r>
      <w:r w:rsidR="00FB474F">
        <w:rPr>
          <w:noProof/>
          <w:szCs w:val="24"/>
        </w:rPr>
        <w:t>'</w:t>
      </w:r>
      <w:r w:rsidR="00575908">
        <w:rPr>
          <w:noProof/>
          <w:szCs w:val="24"/>
        </w:rPr>
        <w:t xml:space="preserve"> intellectual property rights.</w:t>
      </w:r>
    </w:p>
    <w:p w14:paraId="3F06B934" w14:textId="77777777" w:rsidR="008E75D7" w:rsidRPr="008E75D7" w:rsidRDefault="008E75D7" w:rsidP="008E75D7">
      <w:pPr>
        <w:pStyle w:val="ListParagraph"/>
        <w:numPr>
          <w:ilvl w:val="0"/>
          <w:numId w:val="77"/>
        </w:numPr>
        <w:spacing w:after="120" w:line="240" w:lineRule="auto"/>
        <w:contextualSpacing w:val="0"/>
        <w:jc w:val="both"/>
        <w:outlineLvl w:val="1"/>
        <w:rPr>
          <w:rFonts w:ascii="Times New Roman" w:eastAsia="Times New Roman" w:hAnsi="Times New Roman" w:cs="Times New Roman"/>
          <w:b/>
          <w:noProof/>
          <w:vanish/>
          <w:sz w:val="24"/>
          <w:szCs w:val="24"/>
          <w:shd w:val="clear" w:color="auto" w:fill="FFFFFF"/>
        </w:rPr>
      </w:pPr>
      <w:bookmarkStart w:id="97" w:name="_Toc74838177"/>
    </w:p>
    <w:p w14:paraId="7FFBD41B" w14:textId="77777777" w:rsidR="00C76702" w:rsidRPr="002F22A9" w:rsidRDefault="008E75D7" w:rsidP="00094199">
      <w:pPr>
        <w:pStyle w:val="Heading2"/>
        <w:rPr>
          <w:noProof/>
        </w:rPr>
      </w:pPr>
      <w:r>
        <w:rPr>
          <w:noProof/>
        </w:rPr>
        <w:t xml:space="preserve">  </w:t>
      </w:r>
      <w:bookmarkStart w:id="98" w:name="_Toc83801039"/>
      <w:r w:rsidR="00C76702" w:rsidRPr="002F22A9">
        <w:rPr>
          <w:noProof/>
        </w:rPr>
        <w:t xml:space="preserve">Fundamental </w:t>
      </w:r>
      <w:r w:rsidR="00BE145E">
        <w:rPr>
          <w:noProof/>
        </w:rPr>
        <w:t>R</w:t>
      </w:r>
      <w:r w:rsidR="00C76702" w:rsidRPr="002F22A9">
        <w:rPr>
          <w:noProof/>
        </w:rPr>
        <w:t>ight expected impacts</w:t>
      </w:r>
      <w:bookmarkEnd w:id="97"/>
      <w:bookmarkEnd w:id="98"/>
      <w:r w:rsidR="00C76702" w:rsidRPr="002F22A9">
        <w:rPr>
          <w:noProof/>
        </w:rPr>
        <w:t xml:space="preserve"> </w:t>
      </w:r>
    </w:p>
    <w:p w14:paraId="5216268D" w14:textId="77777777" w:rsidR="007D5998" w:rsidRDefault="00FB474F" w:rsidP="007D5998">
      <w:pPr>
        <w:pStyle w:val="Body"/>
        <w:spacing w:after="120"/>
        <w:jc w:val="both"/>
        <w:rPr>
          <w:rFonts w:ascii="Times New Roman" w:hAnsi="Times New Roman"/>
          <w:bCs/>
          <w:noProof/>
          <w:sz w:val="24"/>
          <w:szCs w:val="24"/>
        </w:rPr>
      </w:pPr>
      <w:r>
        <w:rPr>
          <w:rFonts w:ascii="Times New Roman" w:hAnsi="Times New Roman"/>
          <w:bCs/>
          <w:noProof/>
          <w:sz w:val="24"/>
          <w:szCs w:val="24"/>
        </w:rPr>
        <w:t>T</w:t>
      </w:r>
      <w:r w:rsidR="00C76702" w:rsidRPr="00FB7A03">
        <w:rPr>
          <w:rFonts w:ascii="Times New Roman" w:hAnsi="Times New Roman"/>
          <w:bCs/>
          <w:noProof/>
          <w:sz w:val="24"/>
          <w:szCs w:val="24"/>
        </w:rPr>
        <w:t>he provisions on data protection and privacy</w:t>
      </w:r>
      <w:r w:rsidR="00C76702">
        <w:rPr>
          <w:rFonts w:ascii="Times New Roman" w:hAnsi="Times New Roman"/>
          <w:bCs/>
          <w:noProof/>
          <w:sz w:val="24"/>
          <w:szCs w:val="24"/>
        </w:rPr>
        <w:t xml:space="preserve"> contained in the </w:t>
      </w:r>
      <w:r>
        <w:rPr>
          <w:rFonts w:ascii="Times New Roman" w:hAnsi="Times New Roman"/>
          <w:bCs/>
          <w:noProof/>
          <w:sz w:val="24"/>
          <w:szCs w:val="24"/>
        </w:rPr>
        <w:t xml:space="preserve">2006 </w:t>
      </w:r>
      <w:r w:rsidR="00C76702">
        <w:rPr>
          <w:rFonts w:ascii="Times New Roman" w:hAnsi="Times New Roman"/>
          <w:bCs/>
          <w:noProof/>
          <w:sz w:val="24"/>
          <w:szCs w:val="24"/>
        </w:rPr>
        <w:t>S</w:t>
      </w:r>
      <w:r>
        <w:rPr>
          <w:rFonts w:ascii="Times New Roman" w:hAnsi="Times New Roman"/>
          <w:bCs/>
          <w:noProof/>
          <w:sz w:val="24"/>
          <w:szCs w:val="24"/>
        </w:rPr>
        <w:t xml:space="preserve">wedish Framework </w:t>
      </w:r>
      <w:r w:rsidR="00C76702">
        <w:rPr>
          <w:rFonts w:ascii="Times New Roman" w:hAnsi="Times New Roman"/>
          <w:bCs/>
          <w:noProof/>
          <w:sz w:val="24"/>
          <w:szCs w:val="24"/>
        </w:rPr>
        <w:t>D</w:t>
      </w:r>
      <w:r>
        <w:rPr>
          <w:rFonts w:ascii="Times New Roman" w:hAnsi="Times New Roman"/>
          <w:bCs/>
          <w:noProof/>
          <w:sz w:val="24"/>
          <w:szCs w:val="24"/>
        </w:rPr>
        <w:t>ecision (SFD)</w:t>
      </w:r>
      <w:r w:rsidRPr="00FB474F">
        <w:rPr>
          <w:rFonts w:ascii="Times New Roman" w:hAnsi="Times New Roman"/>
          <w:bCs/>
          <w:noProof/>
          <w:sz w:val="24"/>
          <w:szCs w:val="24"/>
        </w:rPr>
        <w:t xml:space="preserve"> </w:t>
      </w:r>
      <w:r>
        <w:rPr>
          <w:rFonts w:ascii="Times New Roman" w:hAnsi="Times New Roman"/>
          <w:bCs/>
          <w:noProof/>
          <w:sz w:val="24"/>
          <w:szCs w:val="24"/>
        </w:rPr>
        <w:t xml:space="preserve">are </w:t>
      </w:r>
      <w:r w:rsidRPr="00FB7A03">
        <w:rPr>
          <w:rFonts w:ascii="Times New Roman" w:hAnsi="Times New Roman"/>
          <w:bCs/>
          <w:noProof/>
          <w:sz w:val="24"/>
          <w:szCs w:val="24"/>
        </w:rPr>
        <w:t>outdated</w:t>
      </w:r>
      <w:r>
        <w:rPr>
          <w:rFonts w:ascii="Times New Roman" w:hAnsi="Times New Roman"/>
          <w:bCs/>
          <w:noProof/>
          <w:sz w:val="24"/>
          <w:szCs w:val="24"/>
        </w:rPr>
        <w:t xml:space="preserve">. </w:t>
      </w:r>
      <w:r w:rsidR="00D053BA">
        <w:rPr>
          <w:rFonts w:ascii="Times New Roman" w:hAnsi="Times New Roman"/>
          <w:bCs/>
          <w:noProof/>
          <w:sz w:val="24"/>
          <w:szCs w:val="24"/>
        </w:rPr>
        <w:t>The full alignment</w:t>
      </w:r>
      <w:r w:rsidR="00D053BA" w:rsidRPr="00D053BA">
        <w:rPr>
          <w:rFonts w:ascii="Times New Roman" w:hAnsi="Times New Roman"/>
          <w:bCs/>
          <w:noProof/>
          <w:sz w:val="24"/>
          <w:szCs w:val="24"/>
        </w:rPr>
        <w:t xml:space="preserve"> with the 2016 Data Protection </w:t>
      </w:r>
      <w:r w:rsidR="00D053BA">
        <w:rPr>
          <w:rFonts w:ascii="Times New Roman" w:hAnsi="Times New Roman"/>
          <w:bCs/>
          <w:noProof/>
          <w:sz w:val="24"/>
          <w:szCs w:val="24"/>
        </w:rPr>
        <w:t>Law Enforcement Directive (LED)</w:t>
      </w:r>
      <w:r w:rsidR="00D053BA" w:rsidRPr="00D053BA">
        <w:rPr>
          <w:rFonts w:ascii="Times New Roman" w:hAnsi="Times New Roman"/>
          <w:bCs/>
          <w:noProof/>
          <w:sz w:val="24"/>
          <w:szCs w:val="24"/>
        </w:rPr>
        <w:t xml:space="preserve"> is a legal obligation</w:t>
      </w:r>
      <w:r w:rsidR="00D053BA">
        <w:rPr>
          <w:rFonts w:ascii="Times New Roman" w:hAnsi="Times New Roman"/>
          <w:bCs/>
          <w:noProof/>
          <w:sz w:val="24"/>
          <w:szCs w:val="24"/>
        </w:rPr>
        <w:t>. This</w:t>
      </w:r>
      <w:r w:rsidR="00D053BA" w:rsidRPr="00AC0345">
        <w:rPr>
          <w:rFonts w:ascii="Times New Roman" w:hAnsi="Times New Roman"/>
          <w:bCs/>
          <w:noProof/>
          <w:sz w:val="24"/>
        </w:rPr>
        <w:t xml:space="preserve"> </w:t>
      </w:r>
      <w:r w:rsidR="0030787E" w:rsidRPr="00AC0345">
        <w:rPr>
          <w:rFonts w:ascii="Times New Roman" w:hAnsi="Times New Roman"/>
          <w:bCs/>
          <w:noProof/>
          <w:sz w:val="24"/>
        </w:rPr>
        <w:t xml:space="preserve">is </w:t>
      </w:r>
      <w:r w:rsidR="00D053BA">
        <w:rPr>
          <w:rFonts w:ascii="Times New Roman" w:hAnsi="Times New Roman"/>
          <w:bCs/>
          <w:noProof/>
          <w:sz w:val="24"/>
        </w:rPr>
        <w:t>relevant with regard</w:t>
      </w:r>
      <w:r w:rsidR="0030787E" w:rsidRPr="00AC0345">
        <w:rPr>
          <w:rFonts w:ascii="Times New Roman" w:hAnsi="Times New Roman"/>
          <w:bCs/>
          <w:noProof/>
          <w:sz w:val="24"/>
        </w:rPr>
        <w:t xml:space="preserve"> to</w:t>
      </w:r>
      <w:r w:rsidR="00066909">
        <w:rPr>
          <w:rFonts w:ascii="Times New Roman" w:hAnsi="Times New Roman"/>
          <w:bCs/>
          <w:noProof/>
          <w:sz w:val="24"/>
        </w:rPr>
        <w:t xml:space="preserve"> </w:t>
      </w:r>
      <w:r w:rsidR="00C76702" w:rsidRPr="00066909">
        <w:rPr>
          <w:rFonts w:ascii="Times New Roman" w:hAnsi="Times New Roman"/>
          <w:bCs/>
          <w:noProof/>
          <w:sz w:val="24"/>
          <w:szCs w:val="24"/>
        </w:rPr>
        <w:t>Art</w:t>
      </w:r>
      <w:r w:rsidR="00FF4568">
        <w:rPr>
          <w:rFonts w:ascii="Times New Roman" w:hAnsi="Times New Roman"/>
          <w:bCs/>
          <w:noProof/>
          <w:sz w:val="24"/>
          <w:szCs w:val="24"/>
        </w:rPr>
        <w:t>icle</w:t>
      </w:r>
      <w:r w:rsidR="00C76702" w:rsidRPr="00066909">
        <w:rPr>
          <w:rFonts w:ascii="Times New Roman" w:hAnsi="Times New Roman"/>
          <w:bCs/>
          <w:noProof/>
          <w:sz w:val="24"/>
          <w:szCs w:val="24"/>
        </w:rPr>
        <w:t xml:space="preserve"> 7</w:t>
      </w:r>
      <w:r w:rsidR="00066909">
        <w:rPr>
          <w:rFonts w:ascii="Times New Roman" w:hAnsi="Times New Roman"/>
          <w:bCs/>
          <w:noProof/>
          <w:sz w:val="24"/>
          <w:szCs w:val="24"/>
        </w:rPr>
        <w:t xml:space="preserve"> (</w:t>
      </w:r>
      <w:r w:rsidR="00C76702" w:rsidRPr="00066909">
        <w:rPr>
          <w:rFonts w:ascii="Times New Roman" w:hAnsi="Times New Roman"/>
          <w:bCs/>
          <w:noProof/>
          <w:sz w:val="24"/>
          <w:szCs w:val="24"/>
        </w:rPr>
        <w:t>Respect for private and family life</w:t>
      </w:r>
      <w:r w:rsidR="00066909">
        <w:rPr>
          <w:rFonts w:ascii="Times New Roman" w:hAnsi="Times New Roman"/>
          <w:bCs/>
          <w:noProof/>
          <w:sz w:val="24"/>
          <w:szCs w:val="24"/>
        </w:rPr>
        <w:t xml:space="preserve">) and </w:t>
      </w:r>
      <w:r w:rsidR="00C76702" w:rsidRPr="00066909">
        <w:rPr>
          <w:rFonts w:ascii="Times New Roman" w:hAnsi="Times New Roman"/>
          <w:bCs/>
          <w:noProof/>
          <w:sz w:val="24"/>
          <w:szCs w:val="24"/>
        </w:rPr>
        <w:t>Art</w:t>
      </w:r>
      <w:r w:rsidR="00FF4568">
        <w:rPr>
          <w:rFonts w:ascii="Times New Roman" w:hAnsi="Times New Roman"/>
          <w:bCs/>
          <w:noProof/>
          <w:sz w:val="24"/>
          <w:szCs w:val="24"/>
        </w:rPr>
        <w:t>icle</w:t>
      </w:r>
      <w:r w:rsidR="00C76702" w:rsidRPr="00066909">
        <w:rPr>
          <w:rFonts w:ascii="Times New Roman" w:hAnsi="Times New Roman"/>
          <w:bCs/>
          <w:noProof/>
          <w:sz w:val="24"/>
          <w:szCs w:val="24"/>
        </w:rPr>
        <w:t xml:space="preserve"> 8</w:t>
      </w:r>
      <w:r w:rsidR="00066909">
        <w:rPr>
          <w:rFonts w:ascii="Times New Roman" w:hAnsi="Times New Roman"/>
          <w:bCs/>
          <w:noProof/>
          <w:sz w:val="24"/>
          <w:szCs w:val="24"/>
        </w:rPr>
        <w:t xml:space="preserve"> (</w:t>
      </w:r>
      <w:r w:rsidR="00C76702" w:rsidRPr="00066909">
        <w:rPr>
          <w:rFonts w:ascii="Times New Roman" w:hAnsi="Times New Roman"/>
          <w:bCs/>
          <w:noProof/>
          <w:sz w:val="24"/>
          <w:szCs w:val="24"/>
        </w:rPr>
        <w:t>Protection of personal data</w:t>
      </w:r>
      <w:r w:rsidR="00066909">
        <w:rPr>
          <w:rFonts w:ascii="Times New Roman" w:hAnsi="Times New Roman"/>
          <w:bCs/>
          <w:noProof/>
          <w:sz w:val="24"/>
          <w:szCs w:val="24"/>
        </w:rPr>
        <w:t>)</w:t>
      </w:r>
      <w:r w:rsidR="00D053BA">
        <w:rPr>
          <w:rFonts w:ascii="Times New Roman" w:hAnsi="Times New Roman"/>
          <w:bCs/>
          <w:noProof/>
          <w:sz w:val="24"/>
          <w:szCs w:val="24"/>
        </w:rPr>
        <w:t xml:space="preserve"> of the </w:t>
      </w:r>
      <w:r w:rsidR="00D053BA" w:rsidRPr="00501FF3">
        <w:rPr>
          <w:rFonts w:ascii="Times New Roman" w:hAnsi="Times New Roman"/>
          <w:noProof/>
          <w:sz w:val="24"/>
          <w:szCs w:val="24"/>
        </w:rPr>
        <w:t>EU Charter of Fundamental</w:t>
      </w:r>
      <w:r w:rsidR="00D053BA">
        <w:rPr>
          <w:rFonts w:ascii="Times New Roman" w:hAnsi="Times New Roman"/>
          <w:noProof/>
          <w:sz w:val="24"/>
          <w:szCs w:val="24"/>
        </w:rPr>
        <w:t xml:space="preserve"> Rights</w:t>
      </w:r>
      <w:r w:rsidR="00D053BA">
        <w:rPr>
          <w:rFonts w:ascii="Times New Roman" w:hAnsi="Times New Roman"/>
          <w:bCs/>
          <w:noProof/>
          <w:sz w:val="24"/>
          <w:szCs w:val="24"/>
        </w:rPr>
        <w:t xml:space="preserve">. In line with that, </w:t>
      </w:r>
      <w:r>
        <w:rPr>
          <w:rFonts w:ascii="Times New Roman" w:hAnsi="Times New Roman"/>
          <w:bCs/>
          <w:noProof/>
          <w:sz w:val="24"/>
          <w:szCs w:val="24"/>
        </w:rPr>
        <w:t xml:space="preserve"> </w:t>
      </w:r>
      <w:r w:rsidR="00D053BA">
        <w:rPr>
          <w:rFonts w:ascii="Times New Roman" w:hAnsi="Times New Roman"/>
          <w:bCs/>
          <w:noProof/>
          <w:sz w:val="24"/>
          <w:szCs w:val="24"/>
        </w:rPr>
        <w:t xml:space="preserve">the Commission committed in a </w:t>
      </w:r>
      <w:r>
        <w:rPr>
          <w:rFonts w:ascii="Times New Roman" w:hAnsi="Times New Roman"/>
          <w:bCs/>
          <w:noProof/>
          <w:sz w:val="24"/>
          <w:szCs w:val="24"/>
        </w:rPr>
        <w:t xml:space="preserve">2020 Communication </w:t>
      </w:r>
      <w:r>
        <w:rPr>
          <w:rFonts w:ascii="Times New Roman" w:hAnsi="Times New Roman"/>
          <w:noProof/>
          <w:sz w:val="24"/>
          <w:szCs w:val="24"/>
        </w:rPr>
        <w:t>to "</w:t>
      </w:r>
      <w:r w:rsidRPr="00917564">
        <w:rPr>
          <w:rFonts w:ascii="Times New Roman" w:hAnsi="Times New Roman"/>
          <w:i/>
          <w:noProof/>
          <w:sz w:val="24"/>
          <w:szCs w:val="24"/>
        </w:rPr>
        <w:t>make a legislative proposal, which as a minimum will entail an amendment of Council Framework Decision 2006/960/JHA to ensure the necessary data protection alignment, in the last quarter of 2021</w:t>
      </w:r>
      <w:r w:rsidRPr="00FB474F">
        <w:rPr>
          <w:rStyle w:val="FootnoteReference"/>
          <w:rFonts w:ascii="Times New Roman" w:hAnsi="Times New Roman"/>
          <w:bCs/>
          <w:noProof/>
          <w:sz w:val="24"/>
          <w:szCs w:val="24"/>
        </w:rPr>
        <w:t xml:space="preserve"> </w:t>
      </w:r>
      <w:r>
        <w:rPr>
          <w:rStyle w:val="FootnoteReference"/>
          <w:rFonts w:ascii="Times New Roman" w:hAnsi="Times New Roman"/>
          <w:bCs/>
          <w:noProof/>
          <w:sz w:val="24"/>
          <w:szCs w:val="24"/>
        </w:rPr>
        <w:footnoteReference w:id="96"/>
      </w:r>
      <w:r w:rsidR="00501FF3">
        <w:rPr>
          <w:rFonts w:ascii="Times New Roman" w:hAnsi="Times New Roman"/>
          <w:bCs/>
          <w:noProof/>
          <w:sz w:val="24"/>
          <w:szCs w:val="24"/>
        </w:rPr>
        <w:t xml:space="preserve">. </w:t>
      </w:r>
    </w:p>
    <w:p w14:paraId="7B05164D" w14:textId="61607D86" w:rsidR="00501FF3" w:rsidRDefault="00501FF3" w:rsidP="00501FF3">
      <w:pPr>
        <w:pStyle w:val="Body"/>
        <w:spacing w:after="120"/>
        <w:jc w:val="both"/>
        <w:rPr>
          <w:rFonts w:ascii="Times New Roman" w:hAnsi="Times New Roman"/>
          <w:bCs/>
          <w:noProof/>
          <w:sz w:val="24"/>
          <w:szCs w:val="24"/>
        </w:rPr>
      </w:pPr>
      <w:r>
        <w:rPr>
          <w:rFonts w:ascii="Times New Roman" w:hAnsi="Times New Roman"/>
          <w:bCs/>
          <w:noProof/>
          <w:sz w:val="24"/>
          <w:szCs w:val="24"/>
        </w:rPr>
        <w:t xml:space="preserve">The sharing of information between Law Enforcement Authorities </w:t>
      </w:r>
      <w:r w:rsidR="000B251B">
        <w:rPr>
          <w:rFonts w:ascii="Times New Roman" w:hAnsi="Times New Roman"/>
          <w:bCs/>
          <w:noProof/>
          <w:sz w:val="24"/>
          <w:szCs w:val="24"/>
        </w:rPr>
        <w:t>has</w:t>
      </w:r>
      <w:r>
        <w:rPr>
          <w:rFonts w:ascii="Times New Roman" w:hAnsi="Times New Roman"/>
          <w:bCs/>
          <w:noProof/>
          <w:sz w:val="24"/>
          <w:szCs w:val="24"/>
        </w:rPr>
        <w:t xml:space="preserve"> a potential impact on Fundamental Rights. This concerns</w:t>
      </w:r>
      <w:r w:rsidRPr="00501FF3">
        <w:rPr>
          <w:rFonts w:ascii="Times New Roman" w:hAnsi="Times New Roman"/>
          <w:noProof/>
          <w:sz w:val="24"/>
          <w:szCs w:val="24"/>
        </w:rPr>
        <w:t xml:space="preserve"> </w:t>
      </w:r>
      <w:r w:rsidRPr="00FB474F">
        <w:rPr>
          <w:rFonts w:ascii="Times New Roman" w:hAnsi="Times New Roman"/>
          <w:noProof/>
          <w:sz w:val="24"/>
          <w:szCs w:val="24"/>
        </w:rPr>
        <w:t>the Articles 2 (</w:t>
      </w:r>
      <w:r w:rsidRPr="00FB474F">
        <w:rPr>
          <w:rFonts w:ascii="Times New Roman" w:hAnsi="Times New Roman"/>
          <w:bCs/>
          <w:noProof/>
          <w:sz w:val="24"/>
          <w:szCs w:val="24"/>
        </w:rPr>
        <w:t>Right to life), 3</w:t>
      </w:r>
      <w:r w:rsidRPr="00FB474F">
        <w:rPr>
          <w:rFonts w:ascii="Times New Roman" w:hAnsi="Times New Roman"/>
          <w:noProof/>
          <w:sz w:val="24"/>
          <w:szCs w:val="24"/>
        </w:rPr>
        <w:t xml:space="preserve"> (</w:t>
      </w:r>
      <w:r w:rsidRPr="00FB474F">
        <w:rPr>
          <w:rFonts w:ascii="Times New Roman" w:hAnsi="Times New Roman"/>
          <w:bCs/>
          <w:noProof/>
          <w:sz w:val="24"/>
          <w:szCs w:val="24"/>
        </w:rPr>
        <w:t>Right to the integrity of the person), 6 (Right to liberty), 17 (Right to property) and 45 (Freedom of movement and of residence)</w:t>
      </w:r>
      <w:r w:rsidRPr="00501FF3">
        <w:rPr>
          <w:rFonts w:ascii="Times New Roman" w:hAnsi="Times New Roman"/>
          <w:noProof/>
          <w:sz w:val="24"/>
          <w:szCs w:val="24"/>
        </w:rPr>
        <w:t xml:space="preserve"> of the EU Charter of Fundamental</w:t>
      </w:r>
      <w:r>
        <w:rPr>
          <w:rFonts w:ascii="Times New Roman" w:hAnsi="Times New Roman"/>
          <w:noProof/>
          <w:sz w:val="24"/>
          <w:szCs w:val="24"/>
        </w:rPr>
        <w:t xml:space="preserve"> Rights.</w:t>
      </w:r>
    </w:p>
    <w:p w14:paraId="59FAF4FD" w14:textId="77777777" w:rsidR="00C76702" w:rsidRPr="00704502" w:rsidRDefault="00C76702" w:rsidP="00501FF3">
      <w:pPr>
        <w:pStyle w:val="Body"/>
        <w:spacing w:after="120"/>
        <w:jc w:val="both"/>
        <w:rPr>
          <w:rFonts w:ascii="Times New Roman" w:hAnsi="Times New Roman"/>
          <w:noProof/>
          <w:sz w:val="24"/>
          <w:szCs w:val="24"/>
        </w:rPr>
      </w:pPr>
      <w:r w:rsidRPr="00704502">
        <w:rPr>
          <w:rFonts w:ascii="Times New Roman" w:hAnsi="Times New Roman"/>
          <w:b/>
          <w:noProof/>
          <w:sz w:val="24"/>
          <w:szCs w:val="24"/>
        </w:rPr>
        <w:t>Data protection impact:</w:t>
      </w:r>
      <w:r w:rsidRPr="00704502">
        <w:rPr>
          <w:rFonts w:ascii="Times New Roman" w:hAnsi="Times New Roman"/>
          <w:noProof/>
          <w:sz w:val="24"/>
          <w:szCs w:val="24"/>
        </w:rPr>
        <w:t xml:space="preserve"> </w:t>
      </w:r>
      <w:r w:rsidR="00466C62" w:rsidRPr="00D12F15">
        <w:rPr>
          <w:rFonts w:ascii="Times New Roman" w:hAnsi="Times New Roman"/>
          <w:noProof/>
          <w:sz w:val="24"/>
          <w:szCs w:val="24"/>
        </w:rPr>
        <w:t>EU institutions and Member States</w:t>
      </w:r>
      <w:r w:rsidR="00466C62" w:rsidRPr="00501FF3">
        <w:rPr>
          <w:rFonts w:ascii="Times New Roman" w:hAnsi="Times New Roman"/>
          <w:noProof/>
          <w:sz w:val="24"/>
          <w:szCs w:val="24"/>
        </w:rPr>
        <w:t xml:space="preserve"> </w:t>
      </w:r>
      <w:r w:rsidR="00466C62" w:rsidRPr="002103C4">
        <w:rPr>
          <w:rFonts w:ascii="Times New Roman" w:hAnsi="Times New Roman"/>
          <w:noProof/>
          <w:sz w:val="24"/>
          <w:szCs w:val="24"/>
        </w:rPr>
        <w:t xml:space="preserve">are bound </w:t>
      </w:r>
      <w:r w:rsidR="00466C62">
        <w:rPr>
          <w:rFonts w:ascii="Times New Roman" w:hAnsi="Times New Roman"/>
          <w:noProof/>
          <w:sz w:val="24"/>
          <w:szCs w:val="24"/>
        </w:rPr>
        <w:t xml:space="preserve">to </w:t>
      </w:r>
      <w:r w:rsidRPr="00704502">
        <w:rPr>
          <w:rFonts w:ascii="Times New Roman" w:hAnsi="Times New Roman"/>
          <w:noProof/>
          <w:sz w:val="24"/>
          <w:szCs w:val="24"/>
        </w:rPr>
        <w:t>the Charter of Fundamental Rights of the EU when they implement EU law (Article 51(1) of the Charter)</w:t>
      </w:r>
      <w:r w:rsidR="00466C62">
        <w:rPr>
          <w:rFonts w:ascii="Times New Roman" w:hAnsi="Times New Roman"/>
          <w:noProof/>
          <w:sz w:val="24"/>
          <w:szCs w:val="24"/>
        </w:rPr>
        <w:t>. T</w:t>
      </w:r>
      <w:r w:rsidRPr="00704502">
        <w:rPr>
          <w:rFonts w:ascii="Times New Roman" w:hAnsi="Times New Roman"/>
          <w:noProof/>
          <w:sz w:val="24"/>
          <w:szCs w:val="24"/>
        </w:rPr>
        <w:t xml:space="preserve">he options presented </w:t>
      </w:r>
      <w:r w:rsidR="00466C62">
        <w:rPr>
          <w:rFonts w:ascii="Times New Roman" w:hAnsi="Times New Roman"/>
          <w:noProof/>
          <w:sz w:val="24"/>
          <w:szCs w:val="24"/>
        </w:rPr>
        <w:t xml:space="preserve">in this impact assessment </w:t>
      </w:r>
      <w:r w:rsidRPr="00704502">
        <w:rPr>
          <w:rFonts w:ascii="Times New Roman" w:hAnsi="Times New Roman"/>
          <w:noProof/>
          <w:sz w:val="24"/>
          <w:szCs w:val="24"/>
        </w:rPr>
        <w:t xml:space="preserve">need to be balanced with the obligation to ensure that interferences with </w:t>
      </w:r>
      <w:r w:rsidR="00AB7C65" w:rsidRPr="00704502">
        <w:rPr>
          <w:rFonts w:ascii="Times New Roman" w:hAnsi="Times New Roman"/>
          <w:noProof/>
          <w:sz w:val="24"/>
          <w:szCs w:val="24"/>
        </w:rPr>
        <w:t>F</w:t>
      </w:r>
      <w:r w:rsidRPr="00704502">
        <w:rPr>
          <w:rFonts w:ascii="Times New Roman" w:hAnsi="Times New Roman"/>
          <w:noProof/>
          <w:sz w:val="24"/>
          <w:szCs w:val="24"/>
        </w:rPr>
        <w:t xml:space="preserve">undamental </w:t>
      </w:r>
      <w:r w:rsidR="00AB7C65" w:rsidRPr="00704502">
        <w:rPr>
          <w:rFonts w:ascii="Times New Roman" w:hAnsi="Times New Roman"/>
          <w:noProof/>
          <w:sz w:val="24"/>
          <w:szCs w:val="24"/>
        </w:rPr>
        <w:t>R</w:t>
      </w:r>
      <w:r w:rsidRPr="00704502">
        <w:rPr>
          <w:rFonts w:ascii="Times New Roman" w:hAnsi="Times New Roman"/>
          <w:noProof/>
          <w:sz w:val="24"/>
          <w:szCs w:val="24"/>
        </w:rPr>
        <w:t xml:space="preserve">ights that may derive from them </w:t>
      </w:r>
      <w:r w:rsidR="00AB7C65" w:rsidRPr="00704502">
        <w:rPr>
          <w:rFonts w:ascii="Times New Roman" w:hAnsi="Times New Roman"/>
          <w:noProof/>
          <w:sz w:val="24"/>
          <w:szCs w:val="24"/>
        </w:rPr>
        <w:t xml:space="preserve">are </w:t>
      </w:r>
      <w:r w:rsidRPr="00704502">
        <w:rPr>
          <w:rFonts w:ascii="Times New Roman" w:hAnsi="Times New Roman"/>
          <w:noProof/>
          <w:sz w:val="24"/>
          <w:szCs w:val="24"/>
        </w:rPr>
        <w:t>limited to what is strictly necessary to genuinely meet the objectives of general interest pursued, subject to the principle of proportionality (Article 52(1) of the Charter).</w:t>
      </w:r>
      <w:r w:rsidR="00D51E14" w:rsidRPr="00704502">
        <w:rPr>
          <w:rFonts w:ascii="Times New Roman" w:hAnsi="Times New Roman"/>
          <w:noProof/>
          <w:sz w:val="24"/>
          <w:szCs w:val="24"/>
        </w:rPr>
        <w:t xml:space="preserve"> </w:t>
      </w:r>
    </w:p>
    <w:p w14:paraId="0B957E75" w14:textId="77777777" w:rsidR="00C76702" w:rsidRPr="00D908C7" w:rsidRDefault="00C76702" w:rsidP="00C76702">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rPr>
      </w:pPr>
      <w:r w:rsidRPr="00D908C7">
        <w:rPr>
          <w:rFonts w:ascii="Times New Roman" w:eastAsia="Times New Roman" w:hAnsi="Times New Roman" w:cs="Times New Roman"/>
          <w:noProof/>
          <w:sz w:val="24"/>
          <w:szCs w:val="24"/>
        </w:rPr>
        <w:t>Exchange of information has an impact on the right of protection of personal data. The latter is established by Article 8 of the Charter and Article 16 of the Treaty on the Functioning of the European Union. As underlined by the Court of Justice of the EU</w:t>
      </w:r>
      <w:r w:rsidRPr="00D908C7">
        <w:rPr>
          <w:rFonts w:ascii="Times New Roman" w:hAnsi="Times New Roman" w:cs="Times New Roman"/>
          <w:noProof/>
          <w:vertAlign w:val="superscript"/>
        </w:rPr>
        <w:footnoteReference w:id="97"/>
      </w:r>
      <w:r w:rsidRPr="00D908C7">
        <w:rPr>
          <w:rFonts w:ascii="Times New Roman" w:eastAsia="Times New Roman" w:hAnsi="Times New Roman" w:cs="Times New Roman"/>
          <w:noProof/>
          <w:sz w:val="24"/>
          <w:szCs w:val="24"/>
        </w:rPr>
        <w:t>, the right to the protection of personal data is not an absolute right, but must be considered in relation to its function in society.</w:t>
      </w:r>
      <w:r w:rsidRPr="00D908C7">
        <w:rPr>
          <w:rFonts w:ascii="Times New Roman" w:eastAsia="Times New Roman" w:hAnsi="Times New Roman" w:cs="Times New Roman"/>
          <w:noProof/>
          <w:sz w:val="32"/>
          <w:szCs w:val="24"/>
        </w:rPr>
        <w:t xml:space="preserve"> </w:t>
      </w:r>
      <w:r w:rsidRPr="00D908C7">
        <w:rPr>
          <w:rFonts w:ascii="Times New Roman" w:eastAsia="Times New Roman" w:hAnsi="Times New Roman" w:cs="Times New Roman"/>
          <w:noProof/>
          <w:sz w:val="24"/>
          <w:szCs w:val="24"/>
        </w:rPr>
        <w:t>Data protection is closely linked to respect for private and family life</w:t>
      </w:r>
      <w:r w:rsidR="00466C62">
        <w:rPr>
          <w:rFonts w:ascii="Times New Roman" w:eastAsia="Times New Roman" w:hAnsi="Times New Roman" w:cs="Times New Roman"/>
          <w:noProof/>
          <w:sz w:val="24"/>
          <w:szCs w:val="24"/>
        </w:rPr>
        <w:t xml:space="preserve">, </w:t>
      </w:r>
      <w:r w:rsidRPr="00D908C7">
        <w:rPr>
          <w:rFonts w:ascii="Times New Roman" w:eastAsia="Times New Roman" w:hAnsi="Times New Roman" w:cs="Times New Roman"/>
          <w:noProof/>
          <w:sz w:val="24"/>
          <w:szCs w:val="24"/>
        </w:rPr>
        <w:t>protected by Article 7 of the Charter</w:t>
      </w:r>
      <w:r w:rsidR="007A2C46" w:rsidRPr="00D908C7">
        <w:rPr>
          <w:rFonts w:ascii="Times New Roman" w:eastAsia="Times New Roman" w:hAnsi="Times New Roman" w:cs="Times New Roman"/>
          <w:noProof/>
          <w:sz w:val="24"/>
          <w:szCs w:val="24"/>
        </w:rPr>
        <w:t>, and in Article 8 of the European Convention on Human Rights</w:t>
      </w:r>
      <w:r w:rsidRPr="00D908C7">
        <w:rPr>
          <w:rFonts w:ascii="Times New Roman" w:eastAsia="Times New Roman" w:hAnsi="Times New Roman" w:cs="Times New Roman"/>
          <w:noProof/>
          <w:sz w:val="24"/>
          <w:szCs w:val="24"/>
        </w:rPr>
        <w:t xml:space="preserve">. </w:t>
      </w:r>
    </w:p>
    <w:p w14:paraId="6953177E" w14:textId="77777777" w:rsidR="00C76702" w:rsidRPr="00D908C7" w:rsidRDefault="00C76702" w:rsidP="00C76702">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rPr>
      </w:pPr>
      <w:r w:rsidRPr="00FB474F">
        <w:rPr>
          <w:rFonts w:ascii="Times New Roman" w:eastAsia="Times New Roman" w:hAnsi="Times New Roman" w:cs="Times New Roman"/>
          <w:noProof/>
          <w:sz w:val="24"/>
          <w:szCs w:val="24"/>
        </w:rPr>
        <w:t>No potential harmful effect of the policy options on other Fundamental Rights has been identified, as the impact of these policy options is limited to impacts on the right to the protection of personal data.</w:t>
      </w:r>
    </w:p>
    <w:p w14:paraId="33B92FCA" w14:textId="3392258F" w:rsidR="00C76702" w:rsidRDefault="00331455" w:rsidP="00433DDF">
      <w:pPr>
        <w:pStyle w:val="Body"/>
        <w:spacing w:after="120"/>
        <w:jc w:val="both"/>
        <w:rPr>
          <w:rFonts w:ascii="Times New Roman" w:hAnsi="Times New Roman"/>
          <w:noProof/>
          <w:sz w:val="24"/>
          <w:szCs w:val="24"/>
        </w:rPr>
      </w:pPr>
      <w:r w:rsidRPr="00782843">
        <w:rPr>
          <w:rFonts w:ascii="Times New Roman" w:hAnsi="Times New Roman"/>
          <w:noProof/>
          <w:sz w:val="24"/>
          <w:szCs w:val="24"/>
        </w:rPr>
        <w:t>T</w:t>
      </w:r>
      <w:r w:rsidR="008A4EA8" w:rsidRPr="00782843">
        <w:rPr>
          <w:rFonts w:ascii="Times New Roman" w:hAnsi="Times New Roman"/>
          <w:noProof/>
          <w:sz w:val="24"/>
          <w:szCs w:val="24"/>
        </w:rPr>
        <w:t>he</w:t>
      </w:r>
      <w:r w:rsidR="008A4EA8" w:rsidRPr="00C61697">
        <w:rPr>
          <w:rFonts w:ascii="Times New Roman" w:hAnsi="Times New Roman"/>
          <w:b/>
          <w:noProof/>
          <w:sz w:val="24"/>
          <w:szCs w:val="24"/>
        </w:rPr>
        <w:t xml:space="preserve"> Law Enforcement Data Protection Directive 2016/680 </w:t>
      </w:r>
      <w:r w:rsidR="008A4EA8" w:rsidRPr="00331455">
        <w:rPr>
          <w:rFonts w:ascii="Times New Roman" w:hAnsi="Times New Roman"/>
          <w:b/>
          <w:noProof/>
          <w:sz w:val="24"/>
          <w:szCs w:val="24"/>
        </w:rPr>
        <w:t>(LED)</w:t>
      </w:r>
      <w:r w:rsidR="008D0544" w:rsidRPr="006567B2">
        <w:rPr>
          <w:rStyle w:val="FootnoteReference"/>
          <w:rFonts w:ascii="Times New Roman" w:hAnsi="Times New Roman"/>
          <w:noProof/>
          <w:sz w:val="24"/>
          <w:szCs w:val="24"/>
        </w:rPr>
        <w:footnoteReference w:id="98"/>
      </w:r>
      <w:r w:rsidR="008A4EA8" w:rsidRPr="0031111A">
        <w:rPr>
          <w:rFonts w:ascii="Times New Roman" w:hAnsi="Times New Roman"/>
          <w:noProof/>
          <w:sz w:val="24"/>
          <w:szCs w:val="24"/>
        </w:rPr>
        <w:t xml:space="preserve"> </w:t>
      </w:r>
      <w:r w:rsidR="008A4EA8" w:rsidRPr="00331455">
        <w:rPr>
          <w:rFonts w:ascii="Times New Roman" w:hAnsi="Times New Roman"/>
          <w:b/>
          <w:noProof/>
          <w:sz w:val="24"/>
          <w:szCs w:val="24"/>
        </w:rPr>
        <w:t>already appl</w:t>
      </w:r>
      <w:r w:rsidR="00F4524E">
        <w:rPr>
          <w:rFonts w:ascii="Times New Roman" w:hAnsi="Times New Roman"/>
          <w:b/>
          <w:noProof/>
          <w:sz w:val="24"/>
          <w:szCs w:val="24"/>
        </w:rPr>
        <w:t>ies</w:t>
      </w:r>
      <w:r w:rsidR="008A4EA8" w:rsidRPr="00782843">
        <w:rPr>
          <w:rFonts w:ascii="Times New Roman" w:hAnsi="Times New Roman"/>
          <w:noProof/>
          <w:sz w:val="24"/>
          <w:szCs w:val="24"/>
        </w:rPr>
        <w:t xml:space="preserve"> to personal data processing activities carried out on the basis of the SFD</w:t>
      </w:r>
      <w:r>
        <w:rPr>
          <w:rFonts w:ascii="Times New Roman" w:hAnsi="Times New Roman"/>
          <w:noProof/>
          <w:sz w:val="24"/>
          <w:szCs w:val="24"/>
        </w:rPr>
        <w:t xml:space="preserve">. The </w:t>
      </w:r>
      <w:r w:rsidR="00C76702">
        <w:rPr>
          <w:rFonts w:ascii="Times New Roman" w:hAnsi="Times New Roman"/>
          <w:noProof/>
          <w:sz w:val="24"/>
          <w:szCs w:val="24"/>
        </w:rPr>
        <w:t xml:space="preserve">revision of the Swedish Framework Decision will ensure its </w:t>
      </w:r>
      <w:r w:rsidR="008D0544">
        <w:rPr>
          <w:rFonts w:ascii="Times New Roman" w:hAnsi="Times New Roman"/>
          <w:noProof/>
          <w:sz w:val="24"/>
          <w:szCs w:val="24"/>
        </w:rPr>
        <w:t xml:space="preserve">explicit </w:t>
      </w:r>
      <w:r w:rsidR="00C76702" w:rsidRPr="00B16024">
        <w:rPr>
          <w:rFonts w:ascii="Times New Roman" w:hAnsi="Times New Roman"/>
          <w:noProof/>
          <w:sz w:val="24"/>
          <w:szCs w:val="24"/>
        </w:rPr>
        <w:t>alignment with the</w:t>
      </w:r>
      <w:r w:rsidR="00C76702" w:rsidRPr="00B16024">
        <w:rPr>
          <w:rFonts w:ascii="Times New Roman" w:hAnsi="Times New Roman"/>
          <w:b/>
          <w:noProof/>
          <w:sz w:val="24"/>
          <w:szCs w:val="24"/>
        </w:rPr>
        <w:t xml:space="preserve"> </w:t>
      </w:r>
      <w:r w:rsidR="008A4EA8" w:rsidRPr="00380EEA">
        <w:rPr>
          <w:rFonts w:ascii="Times New Roman" w:hAnsi="Times New Roman"/>
          <w:noProof/>
          <w:sz w:val="24"/>
          <w:szCs w:val="24"/>
        </w:rPr>
        <w:t>LED</w:t>
      </w:r>
      <w:r w:rsidR="00C76702" w:rsidRPr="00380EEA">
        <w:rPr>
          <w:rFonts w:ascii="Times New Roman" w:hAnsi="Times New Roman"/>
          <w:noProof/>
          <w:sz w:val="24"/>
          <w:szCs w:val="24"/>
        </w:rPr>
        <w:t>.</w:t>
      </w:r>
      <w:r>
        <w:rPr>
          <w:rFonts w:ascii="Times New Roman" w:hAnsi="Times New Roman"/>
          <w:b/>
          <w:noProof/>
          <w:sz w:val="24"/>
          <w:szCs w:val="24"/>
        </w:rPr>
        <w:t xml:space="preserve"> </w:t>
      </w:r>
      <w:r w:rsidR="0019514A" w:rsidRPr="00782843">
        <w:rPr>
          <w:rFonts w:ascii="Times New Roman" w:hAnsi="Times New Roman"/>
          <w:noProof/>
          <w:sz w:val="24"/>
          <w:szCs w:val="24"/>
        </w:rPr>
        <w:t>It will contain a</w:t>
      </w:r>
      <w:r w:rsidR="00C76702">
        <w:rPr>
          <w:rFonts w:ascii="Times New Roman" w:hAnsi="Times New Roman"/>
          <w:noProof/>
          <w:sz w:val="24"/>
          <w:szCs w:val="24"/>
        </w:rPr>
        <w:t xml:space="preserve"> new provis</w:t>
      </w:r>
      <w:r w:rsidR="003B5604">
        <w:rPr>
          <w:rFonts w:ascii="Times New Roman" w:hAnsi="Times New Roman"/>
          <w:noProof/>
          <w:sz w:val="24"/>
          <w:szCs w:val="24"/>
        </w:rPr>
        <w:t>i</w:t>
      </w:r>
      <w:r w:rsidR="00C76702">
        <w:rPr>
          <w:rFonts w:ascii="Times New Roman" w:hAnsi="Times New Roman"/>
          <w:noProof/>
          <w:sz w:val="24"/>
          <w:szCs w:val="24"/>
        </w:rPr>
        <w:t>on</w:t>
      </w:r>
      <w:r w:rsidR="00C76702" w:rsidRPr="00B16024">
        <w:rPr>
          <w:rFonts w:ascii="Times New Roman" w:hAnsi="Times New Roman"/>
          <w:noProof/>
          <w:sz w:val="24"/>
          <w:szCs w:val="24"/>
        </w:rPr>
        <w:t xml:space="preserve"> </w:t>
      </w:r>
      <w:r w:rsidR="00782843">
        <w:rPr>
          <w:rFonts w:ascii="Times New Roman" w:hAnsi="Times New Roman"/>
          <w:noProof/>
          <w:sz w:val="24"/>
          <w:szCs w:val="24"/>
        </w:rPr>
        <w:t xml:space="preserve">stating </w:t>
      </w:r>
      <w:r w:rsidR="00C76702">
        <w:rPr>
          <w:rFonts w:ascii="Times New Roman" w:hAnsi="Times New Roman"/>
          <w:noProof/>
          <w:sz w:val="24"/>
          <w:szCs w:val="24"/>
        </w:rPr>
        <w:t xml:space="preserve">that the </w:t>
      </w:r>
      <w:r w:rsidR="001E26F1">
        <w:rPr>
          <w:rFonts w:ascii="Times New Roman" w:hAnsi="Times New Roman"/>
          <w:noProof/>
          <w:sz w:val="24"/>
          <w:szCs w:val="24"/>
        </w:rPr>
        <w:t xml:space="preserve">legal instrument </w:t>
      </w:r>
      <w:r w:rsidR="00C76702">
        <w:rPr>
          <w:rFonts w:ascii="Times New Roman" w:hAnsi="Times New Roman"/>
          <w:noProof/>
          <w:sz w:val="24"/>
          <w:szCs w:val="24"/>
        </w:rPr>
        <w:t xml:space="preserve">is </w:t>
      </w:r>
      <w:r w:rsidR="00C76702" w:rsidRPr="00B16024">
        <w:rPr>
          <w:rFonts w:ascii="Times New Roman" w:hAnsi="Times New Roman"/>
          <w:b/>
          <w:noProof/>
          <w:sz w:val="24"/>
          <w:szCs w:val="24"/>
        </w:rPr>
        <w:t>without prejudice to the LED</w:t>
      </w:r>
      <w:r w:rsidR="00C76702" w:rsidRPr="00B16024">
        <w:rPr>
          <w:rFonts w:ascii="Times New Roman" w:hAnsi="Times New Roman"/>
          <w:noProof/>
          <w:sz w:val="24"/>
          <w:szCs w:val="24"/>
        </w:rPr>
        <w:t xml:space="preserve">. </w:t>
      </w:r>
      <w:r w:rsidR="00433DDF" w:rsidRPr="002F4E8D">
        <w:rPr>
          <w:rFonts w:ascii="Times New Roman" w:hAnsi="Times New Roman"/>
          <w:noProof/>
          <w:sz w:val="24"/>
          <w:szCs w:val="24"/>
        </w:rPr>
        <w:t xml:space="preserve">The application of the </w:t>
      </w:r>
      <w:r w:rsidR="00433DDF" w:rsidRPr="002F4E8D">
        <w:rPr>
          <w:rFonts w:ascii="Times New Roman" w:hAnsi="Times New Roman"/>
          <w:noProof/>
          <w:sz w:val="24"/>
        </w:rPr>
        <w:t>Law Enforcement Data Protection Directive remains a matter of national competence when applying EU law.</w:t>
      </w:r>
      <w:r w:rsidR="00433DDF" w:rsidRPr="002F4E8D">
        <w:rPr>
          <w:rFonts w:ascii="Times New Roman" w:hAnsi="Times New Roman"/>
          <w:noProof/>
          <w:sz w:val="22"/>
        </w:rPr>
        <w:t xml:space="preserve"> </w:t>
      </w:r>
      <w:r w:rsidR="00433DDF" w:rsidRPr="002F4E8D">
        <w:rPr>
          <w:rFonts w:ascii="Times New Roman" w:hAnsi="Times New Roman"/>
          <w:noProof/>
          <w:sz w:val="24"/>
        </w:rPr>
        <w:t xml:space="preserve">Concerning data protection, national law transposing the Law Enforcement </w:t>
      </w:r>
      <w:r w:rsidR="00433DDF">
        <w:rPr>
          <w:rFonts w:ascii="Times New Roman" w:hAnsi="Times New Roman"/>
          <w:noProof/>
          <w:sz w:val="24"/>
        </w:rPr>
        <w:t xml:space="preserve">Data Protection </w:t>
      </w:r>
      <w:r w:rsidR="00433DDF" w:rsidRPr="002F4E8D">
        <w:rPr>
          <w:rFonts w:ascii="Times New Roman" w:hAnsi="Times New Roman"/>
          <w:noProof/>
          <w:sz w:val="24"/>
        </w:rPr>
        <w:t xml:space="preserve">Directive </w:t>
      </w:r>
      <w:r w:rsidR="00433DDF">
        <w:rPr>
          <w:rFonts w:ascii="Times New Roman" w:hAnsi="Times New Roman"/>
          <w:noProof/>
          <w:sz w:val="24"/>
        </w:rPr>
        <w:t>are</w:t>
      </w:r>
      <w:r w:rsidR="00433DDF" w:rsidRPr="002F4E8D">
        <w:rPr>
          <w:rFonts w:ascii="Times New Roman" w:hAnsi="Times New Roman"/>
          <w:noProof/>
          <w:sz w:val="24"/>
        </w:rPr>
        <w:t xml:space="preserve"> applicable to data exchanges between Member States</w:t>
      </w:r>
      <w:r w:rsidR="00C76702" w:rsidRPr="00B16024">
        <w:rPr>
          <w:rFonts w:ascii="Times New Roman" w:hAnsi="Times New Roman"/>
          <w:noProof/>
          <w:sz w:val="24"/>
          <w:szCs w:val="24"/>
        </w:rPr>
        <w:t>.</w:t>
      </w:r>
    </w:p>
    <w:p w14:paraId="494B8BEC" w14:textId="77777777" w:rsidR="00433DDF" w:rsidRPr="002F4E8D" w:rsidRDefault="00433DDF" w:rsidP="00433DDF">
      <w:pPr>
        <w:spacing w:after="120" w:line="240" w:lineRule="auto"/>
        <w:jc w:val="both"/>
        <w:rPr>
          <w:rFonts w:ascii="Times New Roman" w:hAnsi="Times New Roman" w:cs="Times New Roman"/>
          <w:noProof/>
          <w:sz w:val="24"/>
          <w:szCs w:val="24"/>
        </w:rPr>
      </w:pPr>
      <w:r w:rsidRPr="00433DDF">
        <w:rPr>
          <w:rFonts w:ascii="Times New Roman" w:hAnsi="Times New Roman" w:cs="Times New Roman"/>
          <w:noProof/>
          <w:sz w:val="24"/>
        </w:rPr>
        <w:t>The SFD will be aligned with the 2016 Law Enforcement Data Protection Directive (as part of the baseline scenario) thereby ensuring the high level of data protection provided by the wider EU data protection regime.</w:t>
      </w:r>
      <w:r w:rsidRPr="00433DDF">
        <w:rPr>
          <w:noProof/>
          <w:sz w:val="24"/>
        </w:rPr>
        <w:t xml:space="preserve"> </w:t>
      </w:r>
      <w:r>
        <w:rPr>
          <w:rFonts w:ascii="Times New Roman" w:hAnsi="Times New Roman" w:cs="Times New Roman"/>
          <w:noProof/>
          <w:sz w:val="24"/>
          <w:szCs w:val="24"/>
        </w:rPr>
        <w:t>While maintaining the specific data protection safeguards already provided for in the SFD, the</w:t>
      </w:r>
      <w:r w:rsidRPr="002F4E8D">
        <w:rPr>
          <w:rFonts w:ascii="Times New Roman" w:hAnsi="Times New Roman" w:cs="Times New Roman"/>
          <w:noProof/>
          <w:sz w:val="24"/>
          <w:szCs w:val="24"/>
        </w:rPr>
        <w:t xml:space="preserve"> alignment with the Law Enforcement Data Protection Directive</w:t>
      </w:r>
      <w:r>
        <w:rPr>
          <w:rFonts w:ascii="Times New Roman" w:hAnsi="Times New Roman" w:cs="Times New Roman"/>
          <w:noProof/>
          <w:sz w:val="24"/>
          <w:szCs w:val="24"/>
        </w:rPr>
        <w:t xml:space="preserve"> will</w:t>
      </w:r>
      <w:r w:rsidRPr="002F4E8D">
        <w:rPr>
          <w:rFonts w:ascii="Times New Roman" w:hAnsi="Times New Roman" w:cs="Times New Roman"/>
          <w:noProof/>
          <w:sz w:val="24"/>
          <w:szCs w:val="24"/>
        </w:rPr>
        <w:t xml:space="preserve"> </w:t>
      </w:r>
      <w:r>
        <w:rPr>
          <w:rFonts w:ascii="Times New Roman" w:hAnsi="Times New Roman" w:cs="Times New Roman"/>
          <w:noProof/>
          <w:sz w:val="24"/>
          <w:szCs w:val="24"/>
        </w:rPr>
        <w:t>provide</w:t>
      </w:r>
      <w:r w:rsidRPr="002F4E8D">
        <w:rPr>
          <w:rFonts w:ascii="Times New Roman" w:hAnsi="Times New Roman" w:cs="Times New Roman"/>
          <w:noProof/>
          <w:sz w:val="24"/>
          <w:szCs w:val="24"/>
        </w:rPr>
        <w:t xml:space="preserve"> the necessary safeguards for the cooperation between police authorities in the EU.</w:t>
      </w:r>
    </w:p>
    <w:p w14:paraId="7243C03D" w14:textId="114EA448" w:rsidR="00433DDF" w:rsidRPr="002F4E8D" w:rsidRDefault="00433DDF" w:rsidP="00433DDF">
      <w:pPr>
        <w:spacing w:after="120" w:line="240" w:lineRule="auto"/>
        <w:jc w:val="both"/>
        <w:rPr>
          <w:rFonts w:ascii="Times New Roman" w:hAnsi="Times New Roman" w:cs="Times New Roman"/>
          <w:noProof/>
          <w:sz w:val="24"/>
          <w:szCs w:val="24"/>
        </w:rPr>
      </w:pPr>
      <w:r w:rsidRPr="002F4E8D">
        <w:rPr>
          <w:rFonts w:ascii="Times New Roman" w:hAnsi="Times New Roman" w:cs="Times New Roman"/>
          <w:noProof/>
          <w:sz w:val="24"/>
          <w:szCs w:val="24"/>
        </w:rPr>
        <w:t>T</w:t>
      </w:r>
      <w:r>
        <w:rPr>
          <w:rFonts w:ascii="Times New Roman" w:hAnsi="Times New Roman" w:cs="Times New Roman"/>
          <w:noProof/>
          <w:sz w:val="24"/>
          <w:szCs w:val="24"/>
        </w:rPr>
        <w:t>aken together, t</w:t>
      </w:r>
      <w:r w:rsidRPr="002F4E8D">
        <w:rPr>
          <w:rFonts w:ascii="Times New Roman" w:hAnsi="Times New Roman" w:cs="Times New Roman"/>
          <w:noProof/>
          <w:sz w:val="24"/>
          <w:szCs w:val="24"/>
        </w:rPr>
        <w:t xml:space="preserve">his will provide </w:t>
      </w:r>
      <w:r w:rsidRPr="00D941F0">
        <w:rPr>
          <w:rFonts w:ascii="Times New Roman" w:hAnsi="Times New Roman" w:cs="Times New Roman"/>
          <w:noProof/>
          <w:sz w:val="24"/>
          <w:szCs w:val="24"/>
        </w:rPr>
        <w:t>all</w:t>
      </w:r>
      <w:r w:rsidRPr="00705DDB">
        <w:rPr>
          <w:rFonts w:ascii="Times New Roman" w:hAnsi="Times New Roman" w:cs="Times New Roman"/>
          <w:noProof/>
          <w:sz w:val="24"/>
          <w:szCs w:val="24"/>
        </w:rPr>
        <w:t xml:space="preserve"> </w:t>
      </w:r>
      <w:r w:rsidRPr="002F4E8D">
        <w:rPr>
          <w:rFonts w:ascii="Times New Roman" w:hAnsi="Times New Roman" w:cs="Times New Roman"/>
          <w:noProof/>
          <w:sz w:val="24"/>
          <w:szCs w:val="24"/>
        </w:rPr>
        <w:t xml:space="preserve">the necessary safeguards. As the Law Enforcement Data Protection Directive provides the required level of data protection in the Union, there is </w:t>
      </w:r>
      <w:r w:rsidRPr="00D941F0">
        <w:rPr>
          <w:rFonts w:ascii="Times New Roman" w:hAnsi="Times New Roman" w:cs="Times New Roman"/>
          <w:noProof/>
          <w:sz w:val="24"/>
          <w:szCs w:val="24"/>
        </w:rPr>
        <w:t>no</w:t>
      </w:r>
      <w:r w:rsidRPr="00B47345">
        <w:rPr>
          <w:rFonts w:ascii="Times New Roman" w:hAnsi="Times New Roman" w:cs="Times New Roman"/>
          <w:noProof/>
          <w:sz w:val="24"/>
          <w:szCs w:val="24"/>
        </w:rPr>
        <w:t xml:space="preserve"> </w:t>
      </w:r>
      <w:r w:rsidRPr="002F4E8D">
        <w:rPr>
          <w:rFonts w:ascii="Times New Roman" w:hAnsi="Times New Roman" w:cs="Times New Roman"/>
          <w:noProof/>
          <w:sz w:val="24"/>
          <w:szCs w:val="24"/>
        </w:rPr>
        <w:t xml:space="preserve">need to go beyond it. </w:t>
      </w:r>
      <w:r w:rsidRPr="00A12844">
        <w:rPr>
          <w:rFonts w:ascii="Times New Roman" w:hAnsi="Times New Roman" w:cs="Times New Roman"/>
          <w:noProof/>
          <w:sz w:val="24"/>
          <w:szCs w:val="24"/>
        </w:rPr>
        <w:t xml:space="preserve">Instead, the alignment will ensure </w:t>
      </w:r>
      <w:r w:rsidRPr="00D941F0">
        <w:rPr>
          <w:rFonts w:ascii="Times New Roman" w:hAnsi="Times New Roman" w:cs="Times New Roman"/>
          <w:noProof/>
          <w:sz w:val="24"/>
          <w:szCs w:val="24"/>
        </w:rPr>
        <w:t>full consistency</w:t>
      </w:r>
      <w:r w:rsidRPr="00A12844">
        <w:rPr>
          <w:rFonts w:ascii="Times New Roman" w:hAnsi="Times New Roman" w:cs="Times New Roman"/>
          <w:noProof/>
          <w:sz w:val="24"/>
          <w:szCs w:val="24"/>
        </w:rPr>
        <w:t xml:space="preserve"> with the wider EU data protection rules.</w:t>
      </w:r>
    </w:p>
    <w:p w14:paraId="461EFE9F" w14:textId="77777777" w:rsidR="00AC0345" w:rsidRPr="00782843" w:rsidRDefault="00AC0345" w:rsidP="00AC0345">
      <w:pPr>
        <w:tabs>
          <w:tab w:val="left" w:pos="2302"/>
        </w:tabs>
        <w:spacing w:after="120" w:line="240" w:lineRule="auto"/>
        <w:jc w:val="both"/>
        <w:rPr>
          <w:rFonts w:ascii="Times New Roman" w:eastAsia="Times New Roman" w:hAnsi="Times New Roman" w:cs="Times New Roman"/>
          <w:noProof/>
          <w:sz w:val="24"/>
          <w:szCs w:val="24"/>
        </w:rPr>
      </w:pPr>
      <w:r w:rsidRPr="006567B2">
        <w:rPr>
          <w:rFonts w:ascii="Times New Roman" w:eastAsia="Times New Roman" w:hAnsi="Times New Roman" w:cs="Times New Roman"/>
          <w:noProof/>
          <w:sz w:val="24"/>
          <w:szCs w:val="24"/>
        </w:rPr>
        <w:t>Each of the option</w:t>
      </w:r>
      <w:r>
        <w:rPr>
          <w:rFonts w:ascii="Times New Roman" w:eastAsia="Times New Roman" w:hAnsi="Times New Roman" w:cs="Times New Roman"/>
          <w:noProof/>
          <w:sz w:val="24"/>
          <w:szCs w:val="24"/>
        </w:rPr>
        <w:t>s</w:t>
      </w:r>
      <w:r w:rsidRPr="006567B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meet an objective of general interest, which is the safeguarding of the internal security of the European Union. Therefore, for each option, </w:t>
      </w:r>
      <w:r w:rsidR="008D795B">
        <w:rPr>
          <w:rFonts w:ascii="Times New Roman" w:eastAsia="Times New Roman" w:hAnsi="Times New Roman" w:cs="Times New Roman"/>
          <w:noProof/>
          <w:sz w:val="24"/>
          <w:szCs w:val="24"/>
        </w:rPr>
        <w:t xml:space="preserve">the impact on </w:t>
      </w:r>
      <w:r w:rsidR="00A45F84">
        <w:rPr>
          <w:rFonts w:ascii="Times New Roman" w:eastAsia="Times New Roman" w:hAnsi="Times New Roman" w:cs="Times New Roman"/>
          <w:noProof/>
          <w:sz w:val="24"/>
          <w:szCs w:val="24"/>
        </w:rPr>
        <w:t>Fundamental Rights</w:t>
      </w:r>
      <w:r w:rsidR="008D795B">
        <w:rPr>
          <w:rFonts w:ascii="Times New Roman" w:eastAsia="Times New Roman" w:hAnsi="Times New Roman" w:cs="Times New Roman"/>
          <w:noProof/>
          <w:sz w:val="24"/>
          <w:szCs w:val="24"/>
        </w:rPr>
        <w:t xml:space="preserve"> is assessed based on </w:t>
      </w:r>
      <w:r w:rsidR="008D795B">
        <w:rPr>
          <w:rFonts w:ascii="Times New Roman" w:eastAsia="Times New Roman" w:hAnsi="Times New Roman" w:cs="Times New Roman"/>
          <w:b/>
          <w:noProof/>
          <w:sz w:val="24"/>
          <w:szCs w:val="24"/>
        </w:rPr>
        <w:t xml:space="preserve">necessity </w:t>
      </w:r>
      <w:r w:rsidR="00315984" w:rsidRPr="00315984">
        <w:rPr>
          <w:rFonts w:ascii="Times New Roman" w:eastAsia="Times New Roman" w:hAnsi="Times New Roman" w:cs="Times New Roman"/>
          <w:noProof/>
          <w:sz w:val="24"/>
          <w:szCs w:val="24"/>
        </w:rPr>
        <w:t>of the measure</w:t>
      </w:r>
      <w:r w:rsidR="00315984">
        <w:rPr>
          <w:rFonts w:ascii="Times New Roman" w:eastAsia="Times New Roman" w:hAnsi="Times New Roman" w:cs="Times New Roman"/>
          <w:b/>
          <w:noProof/>
          <w:sz w:val="24"/>
          <w:szCs w:val="24"/>
        </w:rPr>
        <w:t xml:space="preserve"> </w:t>
      </w:r>
      <w:r w:rsidRPr="00782843">
        <w:rPr>
          <w:rFonts w:ascii="Times New Roman" w:eastAsia="Times New Roman" w:hAnsi="Times New Roman" w:cs="Times New Roman"/>
          <w:bCs/>
          <w:noProof/>
          <w:sz w:val="24"/>
          <w:szCs w:val="24"/>
        </w:rPr>
        <w:t>and</w:t>
      </w:r>
      <w:r>
        <w:rPr>
          <w:rFonts w:ascii="Times New Roman" w:eastAsia="Times New Roman" w:hAnsi="Times New Roman" w:cs="Times New Roman"/>
          <w:b/>
          <w:bCs/>
          <w:noProof/>
          <w:sz w:val="24"/>
          <w:szCs w:val="24"/>
        </w:rPr>
        <w:t xml:space="preserve"> </w:t>
      </w:r>
      <w:r w:rsidR="00315984">
        <w:rPr>
          <w:rFonts w:ascii="Times New Roman" w:eastAsia="Times New Roman" w:hAnsi="Times New Roman" w:cs="Times New Roman"/>
          <w:b/>
          <w:bCs/>
          <w:noProof/>
          <w:sz w:val="24"/>
          <w:szCs w:val="24"/>
        </w:rPr>
        <w:t xml:space="preserve">its </w:t>
      </w:r>
      <w:r>
        <w:rPr>
          <w:rFonts w:ascii="Times New Roman" w:eastAsia="Times New Roman" w:hAnsi="Times New Roman" w:cs="Times New Roman"/>
          <w:b/>
          <w:bCs/>
          <w:noProof/>
          <w:sz w:val="24"/>
          <w:szCs w:val="24"/>
        </w:rPr>
        <w:t>pro</w:t>
      </w:r>
      <w:r w:rsidRPr="00782843">
        <w:rPr>
          <w:rFonts w:ascii="Times New Roman" w:eastAsia="Times New Roman" w:hAnsi="Times New Roman" w:cs="Times New Roman"/>
          <w:b/>
          <w:bCs/>
          <w:noProof/>
          <w:sz w:val="24"/>
          <w:szCs w:val="24"/>
        </w:rPr>
        <w:t>portiona</w:t>
      </w:r>
      <w:r w:rsidR="008D795B">
        <w:rPr>
          <w:rFonts w:ascii="Times New Roman" w:eastAsia="Times New Roman" w:hAnsi="Times New Roman" w:cs="Times New Roman"/>
          <w:b/>
          <w:bCs/>
          <w:noProof/>
          <w:sz w:val="24"/>
          <w:szCs w:val="24"/>
        </w:rPr>
        <w:t xml:space="preserve">lity </w:t>
      </w:r>
      <w:r>
        <w:rPr>
          <w:rFonts w:ascii="Times New Roman" w:eastAsia="Times New Roman" w:hAnsi="Times New Roman" w:cs="Times New Roman"/>
          <w:noProof/>
          <w:sz w:val="24"/>
          <w:szCs w:val="24"/>
        </w:rPr>
        <w:t>to the objective.</w:t>
      </w:r>
    </w:p>
    <w:p w14:paraId="752D0330" w14:textId="119A7744" w:rsidR="005C56D4" w:rsidRDefault="00AC0345" w:rsidP="00AC0345">
      <w:pPr>
        <w:pStyle w:val="Text1"/>
        <w:spacing w:after="120"/>
        <w:ind w:left="0"/>
        <w:rPr>
          <w:noProof/>
        </w:rPr>
      </w:pPr>
      <w:r w:rsidRPr="009C2B0F">
        <w:rPr>
          <w:noProof/>
        </w:rPr>
        <w:t>The impacts are as</w:t>
      </w:r>
      <w:r>
        <w:rPr>
          <w:noProof/>
        </w:rPr>
        <w:t xml:space="preserve">sessed on a scale ranging from 'highly </w:t>
      </w:r>
      <w:r w:rsidRPr="009C2B0F">
        <w:rPr>
          <w:noProof/>
        </w:rPr>
        <w:t>positive impact</w:t>
      </w:r>
      <w:r>
        <w:rPr>
          <w:noProof/>
        </w:rPr>
        <w:t xml:space="preserve">' (+++) to 'highly </w:t>
      </w:r>
      <w:r w:rsidRPr="009C2B0F">
        <w:rPr>
          <w:noProof/>
        </w:rPr>
        <w:t>negative impact</w:t>
      </w:r>
      <w:r>
        <w:rPr>
          <w:noProof/>
        </w:rPr>
        <w:t>'</w:t>
      </w:r>
      <w:r w:rsidRPr="009C2B0F">
        <w:rPr>
          <w:noProof/>
        </w:rPr>
        <w:t xml:space="preserve"> (--</w:t>
      </w:r>
      <w:r>
        <w:rPr>
          <w:noProof/>
        </w:rPr>
        <w:t>-</w:t>
      </w:r>
      <w:r w:rsidRPr="009C2B0F">
        <w:rPr>
          <w:noProof/>
        </w:rPr>
        <w:t xml:space="preserve">), with intermediate scores: </w:t>
      </w:r>
      <w:r>
        <w:rPr>
          <w:noProof/>
        </w:rPr>
        <w:t xml:space="preserve">'significant </w:t>
      </w:r>
      <w:r w:rsidRPr="009C2B0F">
        <w:rPr>
          <w:noProof/>
        </w:rPr>
        <w:t>positive impact</w:t>
      </w:r>
      <w:r>
        <w:rPr>
          <w:noProof/>
        </w:rPr>
        <w:t xml:space="preserve">' (++), 'significant negative impact' (--), 'low positive impact' (+), 'low negative impact' (-), 'neutral – </w:t>
      </w:r>
      <w:r w:rsidRPr="009C2B0F">
        <w:rPr>
          <w:noProof/>
        </w:rPr>
        <w:t>no impact</w:t>
      </w:r>
      <w:r>
        <w:rPr>
          <w:noProof/>
        </w:rPr>
        <w:t>' (0)</w:t>
      </w:r>
      <w:r w:rsidRPr="009C2B0F">
        <w:rPr>
          <w:noProof/>
        </w:rPr>
        <w:t>.</w:t>
      </w:r>
    </w:p>
    <w:p w14:paraId="585F8AE1" w14:textId="77777777" w:rsidR="00AC0345" w:rsidRDefault="00AC0345" w:rsidP="00AC0345">
      <w:pPr>
        <w:pStyle w:val="Body"/>
        <w:spacing w:after="120"/>
        <w:jc w:val="both"/>
        <w:rPr>
          <w:rFonts w:ascii="Times New Roman" w:hAnsi="Times New Roman"/>
          <w:noProof/>
          <w:sz w:val="24"/>
          <w:szCs w:val="24"/>
        </w:rPr>
      </w:pPr>
      <w:r w:rsidRPr="00782843">
        <w:rPr>
          <w:rFonts w:ascii="Times New Roman" w:hAnsi="Times New Roman"/>
          <w:noProof/>
          <w:sz w:val="24"/>
          <w:szCs w:val="24"/>
        </w:rPr>
        <w:t xml:space="preserve">More specifically, it should be noted that various elements </w:t>
      </w:r>
      <w:r>
        <w:rPr>
          <w:rFonts w:ascii="Times New Roman" w:hAnsi="Times New Roman"/>
          <w:noProof/>
          <w:sz w:val="24"/>
          <w:szCs w:val="24"/>
        </w:rPr>
        <w:t xml:space="preserve">considered under this legal proposal </w:t>
      </w:r>
      <w:r w:rsidRPr="00782843">
        <w:rPr>
          <w:rFonts w:ascii="Times New Roman" w:hAnsi="Times New Roman"/>
          <w:noProof/>
          <w:sz w:val="24"/>
          <w:szCs w:val="24"/>
        </w:rPr>
        <w:t xml:space="preserve">may </w:t>
      </w:r>
      <w:r w:rsidRPr="00F11E81">
        <w:rPr>
          <w:rFonts w:ascii="Times New Roman" w:hAnsi="Times New Roman"/>
          <w:noProof/>
          <w:sz w:val="24"/>
          <w:szCs w:val="24"/>
        </w:rPr>
        <w:t xml:space="preserve">have different impacts on fundamental rights, as outlined </w:t>
      </w:r>
      <w:r>
        <w:rPr>
          <w:rFonts w:ascii="Times New Roman" w:hAnsi="Times New Roman"/>
          <w:noProof/>
          <w:sz w:val="24"/>
          <w:szCs w:val="24"/>
        </w:rPr>
        <w:t>below</w:t>
      </w:r>
      <w:r w:rsidR="00315984">
        <w:rPr>
          <w:rFonts w:ascii="Times New Roman" w:hAnsi="Times New Roman"/>
          <w:noProof/>
          <w:sz w:val="24"/>
          <w:szCs w:val="24"/>
        </w:rPr>
        <w:t>.</w:t>
      </w:r>
    </w:p>
    <w:p w14:paraId="645FB85F" w14:textId="77777777" w:rsidR="00AC0345" w:rsidRPr="00EC2012" w:rsidRDefault="00AC0345" w:rsidP="00AC0345">
      <w:pPr>
        <w:pStyle w:val="Body"/>
        <w:spacing w:after="120"/>
        <w:jc w:val="both"/>
        <w:rPr>
          <w:rFonts w:ascii="Times New Roman" w:hAnsi="Times New Roman"/>
          <w:i/>
          <w:iCs/>
          <w:noProof/>
          <w:sz w:val="24"/>
          <w:szCs w:val="24"/>
        </w:rPr>
      </w:pPr>
      <w:r w:rsidRPr="00EC2012">
        <w:rPr>
          <w:rFonts w:ascii="Times New Roman" w:hAnsi="Times New Roman"/>
          <w:i/>
          <w:iCs/>
          <w:noProof/>
          <w:sz w:val="24"/>
          <w:szCs w:val="24"/>
        </w:rPr>
        <w:t>Legal barriers</w:t>
      </w:r>
    </w:p>
    <w:p w14:paraId="4730FE29" w14:textId="725626C0" w:rsidR="00AC0345" w:rsidRPr="00782843" w:rsidRDefault="000C19C2" w:rsidP="00AC0345">
      <w:pPr>
        <w:pStyle w:val="Body"/>
        <w:spacing w:after="120"/>
        <w:jc w:val="both"/>
        <w:rPr>
          <w:rFonts w:ascii="Times New Roman" w:hAnsi="Times New Roman"/>
          <w:noProof/>
          <w:sz w:val="24"/>
          <w:szCs w:val="24"/>
        </w:rPr>
      </w:pPr>
      <w:r>
        <w:rPr>
          <w:rFonts w:ascii="Times New Roman" w:hAnsi="Times New Roman"/>
          <w:noProof/>
          <w:sz w:val="24"/>
          <w:szCs w:val="24"/>
        </w:rPr>
        <w:t>A</w:t>
      </w:r>
      <w:r w:rsidR="00AC0345" w:rsidRPr="00F11E81">
        <w:rPr>
          <w:rFonts w:ascii="Times New Roman" w:hAnsi="Times New Roman"/>
          <w:noProof/>
          <w:sz w:val="24"/>
          <w:szCs w:val="24"/>
        </w:rPr>
        <w:t xml:space="preserve">daptations to the </w:t>
      </w:r>
      <w:r w:rsidR="0076413B">
        <w:rPr>
          <w:rFonts w:ascii="Times New Roman" w:hAnsi="Times New Roman"/>
          <w:noProof/>
          <w:sz w:val="24"/>
          <w:szCs w:val="24"/>
        </w:rPr>
        <w:t xml:space="preserve">2006 </w:t>
      </w:r>
      <w:r w:rsidR="00AC0345" w:rsidRPr="00F11E81">
        <w:rPr>
          <w:rFonts w:ascii="Times New Roman" w:hAnsi="Times New Roman"/>
          <w:noProof/>
          <w:sz w:val="24"/>
          <w:szCs w:val="24"/>
        </w:rPr>
        <w:t>S</w:t>
      </w:r>
      <w:r w:rsidR="0076413B">
        <w:rPr>
          <w:rFonts w:ascii="Times New Roman" w:hAnsi="Times New Roman"/>
          <w:noProof/>
          <w:sz w:val="24"/>
          <w:szCs w:val="24"/>
        </w:rPr>
        <w:t xml:space="preserve">wedish </w:t>
      </w:r>
      <w:r w:rsidR="00AC0345" w:rsidRPr="00F11E81">
        <w:rPr>
          <w:rFonts w:ascii="Times New Roman" w:hAnsi="Times New Roman"/>
          <w:noProof/>
          <w:sz w:val="24"/>
          <w:szCs w:val="24"/>
        </w:rPr>
        <w:t>F</w:t>
      </w:r>
      <w:r w:rsidR="0076413B">
        <w:rPr>
          <w:rFonts w:ascii="Times New Roman" w:hAnsi="Times New Roman"/>
          <w:noProof/>
          <w:sz w:val="24"/>
          <w:szCs w:val="24"/>
        </w:rPr>
        <w:t xml:space="preserve">ramework </w:t>
      </w:r>
      <w:r w:rsidR="00AC0345" w:rsidRPr="00F11E81">
        <w:rPr>
          <w:rFonts w:ascii="Times New Roman" w:hAnsi="Times New Roman"/>
          <w:noProof/>
          <w:sz w:val="24"/>
          <w:szCs w:val="24"/>
        </w:rPr>
        <w:t>D</w:t>
      </w:r>
      <w:r w:rsidR="0076413B">
        <w:rPr>
          <w:rFonts w:ascii="Times New Roman" w:hAnsi="Times New Roman"/>
          <w:noProof/>
          <w:sz w:val="24"/>
          <w:szCs w:val="24"/>
        </w:rPr>
        <w:t>ecision</w:t>
      </w:r>
      <w:r w:rsidR="00351D58" w:rsidRPr="00F11E81">
        <w:rPr>
          <w:rFonts w:ascii="Times New Roman" w:hAnsi="Times New Roman"/>
          <w:noProof/>
          <w:sz w:val="24"/>
          <w:szCs w:val="24"/>
        </w:rPr>
        <w:t xml:space="preserve">, notably Article 8 on data protection, </w:t>
      </w:r>
      <w:r w:rsidR="00AC0345" w:rsidRPr="00F11E81">
        <w:rPr>
          <w:rFonts w:ascii="Times New Roman" w:hAnsi="Times New Roman"/>
          <w:noProof/>
          <w:sz w:val="24"/>
          <w:szCs w:val="24"/>
        </w:rPr>
        <w:t xml:space="preserve">to ensure alignment with the </w:t>
      </w:r>
      <w:r w:rsidR="0076413B">
        <w:rPr>
          <w:rFonts w:ascii="Times New Roman" w:hAnsi="Times New Roman"/>
          <w:noProof/>
          <w:sz w:val="24"/>
          <w:szCs w:val="24"/>
        </w:rPr>
        <w:t>LED</w:t>
      </w:r>
      <w:r w:rsidR="00AC0345" w:rsidRPr="00F11E81">
        <w:rPr>
          <w:rFonts w:ascii="Times New Roman" w:hAnsi="Times New Roman"/>
          <w:noProof/>
          <w:sz w:val="24"/>
          <w:szCs w:val="24"/>
        </w:rPr>
        <w:t xml:space="preserve"> are expected to positively impact safeguarding </w:t>
      </w:r>
      <w:r w:rsidR="00AC0345" w:rsidRPr="0031111A">
        <w:rPr>
          <w:rFonts w:ascii="Times New Roman" w:hAnsi="Times New Roman"/>
          <w:b/>
          <w:noProof/>
          <w:sz w:val="24"/>
          <w:szCs w:val="24"/>
        </w:rPr>
        <w:t>citizens' fundamental rights</w:t>
      </w:r>
      <w:r w:rsidR="00AC0345">
        <w:rPr>
          <w:rFonts w:ascii="Times New Roman" w:hAnsi="Times New Roman"/>
          <w:noProof/>
          <w:sz w:val="24"/>
          <w:szCs w:val="24"/>
        </w:rPr>
        <w:t>.</w:t>
      </w:r>
    </w:p>
    <w:p w14:paraId="3D934914" w14:textId="77777777" w:rsidR="00315984" w:rsidRDefault="00AC0345" w:rsidP="00301B2E">
      <w:pPr>
        <w:pStyle w:val="Body"/>
        <w:spacing w:after="60"/>
        <w:jc w:val="both"/>
        <w:rPr>
          <w:rFonts w:ascii="Times New Roman" w:hAnsi="Times New Roman"/>
          <w:noProof/>
          <w:sz w:val="24"/>
          <w:szCs w:val="24"/>
        </w:rPr>
      </w:pPr>
      <w:r>
        <w:rPr>
          <w:rFonts w:ascii="Times New Roman" w:hAnsi="Times New Roman"/>
          <w:noProof/>
          <w:sz w:val="24"/>
          <w:szCs w:val="24"/>
        </w:rPr>
        <w:t xml:space="preserve">Moreover, a number of additional, </w:t>
      </w:r>
      <w:r w:rsidR="00315984">
        <w:rPr>
          <w:rFonts w:ascii="Times New Roman" w:hAnsi="Times New Roman"/>
          <w:noProof/>
          <w:sz w:val="24"/>
          <w:szCs w:val="24"/>
        </w:rPr>
        <w:t>targeted procedural safeguards w</w:t>
      </w:r>
      <w:r>
        <w:rPr>
          <w:rFonts w:ascii="Times New Roman" w:hAnsi="Times New Roman"/>
          <w:noProof/>
          <w:sz w:val="24"/>
          <w:szCs w:val="24"/>
        </w:rPr>
        <w:t xml:space="preserve">ould be introduced by the new legislative instruments which may have a </w:t>
      </w:r>
      <w:r w:rsidRPr="0031111A">
        <w:rPr>
          <w:rFonts w:ascii="Times New Roman" w:hAnsi="Times New Roman"/>
          <w:b/>
          <w:noProof/>
          <w:sz w:val="24"/>
          <w:szCs w:val="24"/>
        </w:rPr>
        <w:t>positive impact on the citizens</w:t>
      </w:r>
      <w:r w:rsidR="0031111A">
        <w:rPr>
          <w:rFonts w:ascii="Times New Roman" w:hAnsi="Times New Roman"/>
          <w:b/>
          <w:noProof/>
          <w:sz w:val="24"/>
          <w:szCs w:val="24"/>
        </w:rPr>
        <w:t>'</w:t>
      </w:r>
      <w:r w:rsidRPr="0031111A">
        <w:rPr>
          <w:rFonts w:ascii="Times New Roman" w:hAnsi="Times New Roman"/>
          <w:b/>
          <w:noProof/>
          <w:sz w:val="24"/>
          <w:szCs w:val="24"/>
        </w:rPr>
        <w:t xml:space="preserve"> right </w:t>
      </w:r>
      <w:r w:rsidR="0031111A">
        <w:rPr>
          <w:rFonts w:ascii="Times New Roman" w:hAnsi="Times New Roman"/>
          <w:b/>
          <w:noProof/>
          <w:sz w:val="24"/>
          <w:szCs w:val="24"/>
        </w:rPr>
        <w:t xml:space="preserve">to the </w:t>
      </w:r>
      <w:r w:rsidRPr="0031111A">
        <w:rPr>
          <w:rFonts w:ascii="Times New Roman" w:hAnsi="Times New Roman"/>
          <w:b/>
          <w:noProof/>
          <w:sz w:val="24"/>
          <w:szCs w:val="24"/>
        </w:rPr>
        <w:t>protection of personal data</w:t>
      </w:r>
      <w:r w:rsidR="00315984">
        <w:rPr>
          <w:rFonts w:ascii="Times New Roman" w:hAnsi="Times New Roman"/>
          <w:noProof/>
          <w:sz w:val="24"/>
          <w:szCs w:val="24"/>
        </w:rPr>
        <w:t>:</w:t>
      </w:r>
    </w:p>
    <w:p w14:paraId="56676A77" w14:textId="77777777" w:rsidR="00AC0345" w:rsidRDefault="00315984" w:rsidP="00900BC7">
      <w:pPr>
        <w:pStyle w:val="Body"/>
        <w:numPr>
          <w:ilvl w:val="0"/>
          <w:numId w:val="87"/>
        </w:numPr>
        <w:spacing w:after="60"/>
        <w:ind w:left="714" w:hanging="357"/>
        <w:jc w:val="both"/>
        <w:rPr>
          <w:rFonts w:ascii="Times New Roman" w:hAnsi="Times New Roman"/>
          <w:noProof/>
          <w:sz w:val="24"/>
          <w:szCs w:val="24"/>
        </w:rPr>
      </w:pPr>
      <w:r>
        <w:rPr>
          <w:rFonts w:ascii="Times New Roman" w:hAnsi="Times New Roman"/>
          <w:noProof/>
          <w:sz w:val="24"/>
          <w:szCs w:val="24"/>
        </w:rPr>
        <w:t>T</w:t>
      </w:r>
      <w:r w:rsidR="00AC0345" w:rsidRPr="00F11E81">
        <w:rPr>
          <w:rFonts w:ascii="Times New Roman" w:hAnsi="Times New Roman"/>
          <w:noProof/>
          <w:sz w:val="24"/>
          <w:szCs w:val="24"/>
        </w:rPr>
        <w:t xml:space="preserve">he establishment of new provisions ensuring compliance with the deadlines by which data are to be made available to another Member State may have a positive impact </w:t>
      </w:r>
      <w:r w:rsidR="00533BCF">
        <w:rPr>
          <w:rFonts w:ascii="Times New Roman" w:hAnsi="Times New Roman"/>
          <w:noProof/>
          <w:sz w:val="24"/>
          <w:szCs w:val="24"/>
        </w:rPr>
        <w:t xml:space="preserve">on </w:t>
      </w:r>
      <w:r w:rsidR="00533BCF" w:rsidRPr="00F11E81">
        <w:rPr>
          <w:rFonts w:ascii="Times New Roman" w:hAnsi="Times New Roman"/>
          <w:noProof/>
          <w:sz w:val="24"/>
          <w:szCs w:val="24"/>
        </w:rPr>
        <w:t>citizens</w:t>
      </w:r>
      <w:r w:rsidR="00533BCF">
        <w:rPr>
          <w:rFonts w:ascii="Times New Roman" w:hAnsi="Times New Roman"/>
          <w:noProof/>
          <w:sz w:val="24"/>
          <w:szCs w:val="24"/>
        </w:rPr>
        <w:t>'</w:t>
      </w:r>
      <w:r w:rsidR="00533BCF" w:rsidRPr="00F11E81">
        <w:rPr>
          <w:rFonts w:ascii="Times New Roman" w:hAnsi="Times New Roman"/>
          <w:noProof/>
          <w:sz w:val="24"/>
          <w:szCs w:val="24"/>
        </w:rPr>
        <w:t xml:space="preserve"> </w:t>
      </w:r>
      <w:r w:rsidR="00533BCF">
        <w:rPr>
          <w:rFonts w:ascii="Times New Roman" w:hAnsi="Times New Roman"/>
          <w:noProof/>
          <w:sz w:val="24"/>
          <w:szCs w:val="24"/>
        </w:rPr>
        <w:t>F</w:t>
      </w:r>
      <w:r w:rsidR="00AC0345" w:rsidRPr="00F11E81">
        <w:rPr>
          <w:rFonts w:ascii="Times New Roman" w:hAnsi="Times New Roman"/>
          <w:noProof/>
          <w:sz w:val="24"/>
          <w:szCs w:val="24"/>
        </w:rPr>
        <w:t xml:space="preserve">undamental </w:t>
      </w:r>
      <w:r w:rsidR="00533BCF">
        <w:rPr>
          <w:rFonts w:ascii="Times New Roman" w:hAnsi="Times New Roman"/>
          <w:noProof/>
          <w:sz w:val="24"/>
          <w:szCs w:val="24"/>
        </w:rPr>
        <w:t>R</w:t>
      </w:r>
      <w:r w:rsidR="00AC0345" w:rsidRPr="00F11E81">
        <w:rPr>
          <w:rFonts w:ascii="Times New Roman" w:hAnsi="Times New Roman"/>
          <w:noProof/>
          <w:sz w:val="24"/>
          <w:szCs w:val="24"/>
        </w:rPr>
        <w:t xml:space="preserve">ights. </w:t>
      </w:r>
      <w:r w:rsidR="00533BCF">
        <w:rPr>
          <w:rFonts w:ascii="Times New Roman" w:hAnsi="Times New Roman"/>
          <w:noProof/>
          <w:sz w:val="24"/>
          <w:szCs w:val="24"/>
        </w:rPr>
        <w:t xml:space="preserve">Indeed, </w:t>
      </w:r>
      <w:r w:rsidR="00AC0345">
        <w:rPr>
          <w:rFonts w:ascii="Times New Roman" w:hAnsi="Times New Roman"/>
          <w:noProof/>
          <w:sz w:val="24"/>
          <w:szCs w:val="24"/>
        </w:rPr>
        <w:t>possible s</w:t>
      </w:r>
      <w:r w:rsidR="00AC0345" w:rsidRPr="00F11E81">
        <w:rPr>
          <w:rFonts w:ascii="Times New Roman" w:hAnsi="Times New Roman"/>
          <w:noProof/>
          <w:sz w:val="24"/>
          <w:szCs w:val="24"/>
        </w:rPr>
        <w:t xml:space="preserve">uspects who are being wrongfully accused of crimes are expected to be cleared faster. This is expected to improve safeguarding, for instance, </w:t>
      </w:r>
      <w:r w:rsidR="00AC0345">
        <w:rPr>
          <w:rFonts w:ascii="Times New Roman" w:hAnsi="Times New Roman"/>
          <w:noProof/>
          <w:sz w:val="24"/>
          <w:szCs w:val="24"/>
        </w:rPr>
        <w:t>the</w:t>
      </w:r>
      <w:r w:rsidR="00AC0345" w:rsidRPr="00F11E81">
        <w:rPr>
          <w:rFonts w:ascii="Times New Roman" w:hAnsi="Times New Roman"/>
          <w:noProof/>
          <w:sz w:val="24"/>
          <w:szCs w:val="24"/>
        </w:rPr>
        <w:t xml:space="preserve"> citizens</w:t>
      </w:r>
      <w:r w:rsidR="00AC0345">
        <w:rPr>
          <w:rFonts w:ascii="Times New Roman" w:hAnsi="Times New Roman"/>
          <w:noProof/>
          <w:sz w:val="24"/>
          <w:szCs w:val="24"/>
        </w:rPr>
        <w:t>'</w:t>
      </w:r>
      <w:r w:rsidR="00AC0345" w:rsidRPr="00F11E81">
        <w:rPr>
          <w:rFonts w:ascii="Times New Roman" w:hAnsi="Times New Roman"/>
          <w:noProof/>
          <w:sz w:val="24"/>
          <w:szCs w:val="24"/>
        </w:rPr>
        <w:t xml:space="preserve"> right to liberty</w:t>
      </w:r>
      <w:r w:rsidR="0076413B">
        <w:rPr>
          <w:rFonts w:ascii="Times New Roman" w:hAnsi="Times New Roman"/>
          <w:noProof/>
          <w:sz w:val="24"/>
          <w:szCs w:val="24"/>
        </w:rPr>
        <w:t>,</w:t>
      </w:r>
      <w:r w:rsidR="00AC0345" w:rsidRPr="00F11E81">
        <w:rPr>
          <w:rFonts w:ascii="Times New Roman" w:hAnsi="Times New Roman"/>
          <w:noProof/>
          <w:sz w:val="24"/>
          <w:szCs w:val="24"/>
        </w:rPr>
        <w:t xml:space="preserve"> freedom of movement and of residence</w:t>
      </w:r>
      <w:r>
        <w:rPr>
          <w:rFonts w:ascii="Times New Roman" w:hAnsi="Times New Roman"/>
          <w:noProof/>
          <w:sz w:val="24"/>
          <w:szCs w:val="24"/>
        </w:rPr>
        <w:t>;</w:t>
      </w:r>
    </w:p>
    <w:p w14:paraId="586C4E24" w14:textId="77777777" w:rsidR="00AC0345" w:rsidRDefault="00315984" w:rsidP="00900BC7">
      <w:pPr>
        <w:pStyle w:val="Body"/>
        <w:numPr>
          <w:ilvl w:val="0"/>
          <w:numId w:val="87"/>
        </w:numPr>
        <w:spacing w:after="60"/>
        <w:ind w:left="714" w:hanging="357"/>
        <w:jc w:val="both"/>
        <w:rPr>
          <w:rFonts w:ascii="Times New Roman" w:hAnsi="Times New Roman"/>
          <w:noProof/>
          <w:sz w:val="24"/>
          <w:szCs w:val="24"/>
        </w:rPr>
      </w:pPr>
      <w:r>
        <w:rPr>
          <w:rFonts w:ascii="Times New Roman" w:hAnsi="Times New Roman"/>
          <w:noProof/>
          <w:sz w:val="24"/>
          <w:szCs w:val="24"/>
        </w:rPr>
        <w:t>T</w:t>
      </w:r>
      <w:r w:rsidR="00AC0345" w:rsidRPr="00315984">
        <w:rPr>
          <w:rFonts w:ascii="Times New Roman" w:hAnsi="Times New Roman"/>
          <w:noProof/>
          <w:sz w:val="24"/>
          <w:szCs w:val="24"/>
        </w:rPr>
        <w:t>he provision o</w:t>
      </w:r>
      <w:r>
        <w:rPr>
          <w:rFonts w:ascii="Times New Roman" w:hAnsi="Times New Roman"/>
          <w:noProof/>
          <w:sz w:val="24"/>
          <w:szCs w:val="24"/>
        </w:rPr>
        <w:t>n</w:t>
      </w:r>
      <w:r w:rsidR="00AC0345" w:rsidRPr="00315984">
        <w:rPr>
          <w:rFonts w:ascii="Times New Roman" w:hAnsi="Times New Roman"/>
          <w:noProof/>
          <w:sz w:val="24"/>
          <w:szCs w:val="24"/>
        </w:rPr>
        <w:t xml:space="preserve"> training and updated guidance for officials in relation to the access to and exchange of information may increase the efficiency of law enforcement cooperation processes. This is </w:t>
      </w:r>
      <w:r w:rsidR="0076413B">
        <w:rPr>
          <w:rFonts w:ascii="Times New Roman" w:hAnsi="Times New Roman"/>
          <w:noProof/>
          <w:sz w:val="24"/>
          <w:szCs w:val="24"/>
        </w:rPr>
        <w:t xml:space="preserve">also </w:t>
      </w:r>
      <w:r w:rsidR="00AC0345" w:rsidRPr="00315984">
        <w:rPr>
          <w:rFonts w:ascii="Times New Roman" w:hAnsi="Times New Roman"/>
          <w:noProof/>
          <w:sz w:val="24"/>
          <w:szCs w:val="24"/>
        </w:rPr>
        <w:t>expected to contribute to potentially clear citizens from wrongful charges in a swifter fashion</w:t>
      </w:r>
      <w:r>
        <w:rPr>
          <w:rFonts w:ascii="Times New Roman" w:hAnsi="Times New Roman"/>
          <w:noProof/>
          <w:sz w:val="24"/>
          <w:szCs w:val="24"/>
        </w:rPr>
        <w:t>;</w:t>
      </w:r>
    </w:p>
    <w:p w14:paraId="4DFE9F08" w14:textId="6D570ADC" w:rsidR="00AC0345" w:rsidRPr="007D5998" w:rsidRDefault="00315984" w:rsidP="007D5998">
      <w:pPr>
        <w:pStyle w:val="ListNumber"/>
        <w:numPr>
          <w:ilvl w:val="0"/>
          <w:numId w:val="158"/>
        </w:numPr>
        <w:spacing w:before="120" w:after="120"/>
        <w:rPr>
          <w:noProof/>
          <w:lang w:val="en-GB"/>
        </w:rPr>
      </w:pPr>
      <w:r w:rsidRPr="007D5998">
        <w:rPr>
          <w:noProof/>
          <w:szCs w:val="24"/>
          <w:lang w:val="en-GB"/>
        </w:rPr>
        <w:t>T</w:t>
      </w:r>
      <w:r w:rsidR="00AC0345" w:rsidRPr="007D5998">
        <w:rPr>
          <w:noProof/>
          <w:szCs w:val="24"/>
          <w:lang w:val="en-GB"/>
        </w:rPr>
        <w:t xml:space="preserve">he clear establishment of SIENA as the mandatory information channel to be used by default is expected to have a positive impact by minimising the opportunities for officials to "fish" for specific information that could compromise suspects' </w:t>
      </w:r>
      <w:r w:rsidR="00533BCF" w:rsidRPr="007D5998">
        <w:rPr>
          <w:noProof/>
          <w:szCs w:val="24"/>
          <w:lang w:val="en-GB"/>
        </w:rPr>
        <w:t>F</w:t>
      </w:r>
      <w:r w:rsidR="00AC0345" w:rsidRPr="007D5998">
        <w:rPr>
          <w:noProof/>
          <w:szCs w:val="24"/>
          <w:lang w:val="en-GB"/>
        </w:rPr>
        <w:t xml:space="preserve">undamental </w:t>
      </w:r>
      <w:r w:rsidR="00533BCF" w:rsidRPr="007D5998">
        <w:rPr>
          <w:noProof/>
          <w:szCs w:val="24"/>
          <w:lang w:val="en-GB"/>
        </w:rPr>
        <w:t>R</w:t>
      </w:r>
      <w:r w:rsidR="00AC0345" w:rsidRPr="007D5998">
        <w:rPr>
          <w:noProof/>
          <w:szCs w:val="24"/>
          <w:lang w:val="en-GB"/>
        </w:rPr>
        <w:t>ights</w:t>
      </w:r>
      <w:r w:rsidR="007D5998" w:rsidRPr="007D5998">
        <w:rPr>
          <w:noProof/>
          <w:szCs w:val="24"/>
          <w:lang w:val="en-GB"/>
        </w:rPr>
        <w:t xml:space="preserve">. Furthermore, </w:t>
      </w:r>
      <w:r w:rsidR="007D5998">
        <w:rPr>
          <w:noProof/>
          <w:lang w:val="en-GB"/>
        </w:rPr>
        <w:t>t</w:t>
      </w:r>
      <w:r w:rsidR="007D5998" w:rsidRPr="00CB565C">
        <w:rPr>
          <w:noProof/>
          <w:lang w:val="en-GB"/>
        </w:rPr>
        <w:t>he use of SIENA for information exchange between Member States will improve the safeguard of data protection standards given the state-of-the-art security and built-in data protection paramete</w:t>
      </w:r>
      <w:r w:rsidR="007D5998">
        <w:rPr>
          <w:noProof/>
          <w:lang w:val="en-GB"/>
        </w:rPr>
        <w:t>rs SIENA offers;</w:t>
      </w:r>
    </w:p>
    <w:p w14:paraId="3ECC4DA9" w14:textId="02C75118" w:rsidR="007D5998" w:rsidRPr="007D5998" w:rsidRDefault="007D5998" w:rsidP="007D5998">
      <w:pPr>
        <w:pStyle w:val="ListNumber"/>
        <w:numPr>
          <w:ilvl w:val="0"/>
          <w:numId w:val="87"/>
        </w:numPr>
        <w:spacing w:before="120" w:after="120"/>
        <w:rPr>
          <w:noProof/>
          <w:lang w:val="en-GB"/>
        </w:rPr>
      </w:pPr>
      <w:r w:rsidRPr="00CB565C">
        <w:rPr>
          <w:noProof/>
          <w:lang w:val="en-GB"/>
        </w:rPr>
        <w:t>A modern SPOC, equipped with a proper information management architecture, will be able to track access to databases thereby ensuring proper use.</w:t>
      </w:r>
    </w:p>
    <w:p w14:paraId="3C27DB96" w14:textId="77777777" w:rsidR="00AC0345" w:rsidRPr="00315984" w:rsidRDefault="00315984" w:rsidP="00900BC7">
      <w:pPr>
        <w:pStyle w:val="Body"/>
        <w:numPr>
          <w:ilvl w:val="0"/>
          <w:numId w:val="87"/>
        </w:numPr>
        <w:spacing w:after="120"/>
        <w:jc w:val="both"/>
        <w:rPr>
          <w:rFonts w:ascii="Times New Roman" w:hAnsi="Times New Roman"/>
          <w:noProof/>
          <w:sz w:val="24"/>
          <w:szCs w:val="24"/>
        </w:rPr>
      </w:pPr>
      <w:r>
        <w:rPr>
          <w:rFonts w:ascii="Times New Roman" w:hAnsi="Times New Roman"/>
          <w:noProof/>
          <w:sz w:val="24"/>
          <w:szCs w:val="24"/>
        </w:rPr>
        <w:t xml:space="preserve">The removal of </w:t>
      </w:r>
      <w:r w:rsidRPr="00315984">
        <w:rPr>
          <w:rFonts w:ascii="Times New Roman" w:hAnsi="Times New Roman"/>
          <w:noProof/>
          <w:sz w:val="24"/>
          <w:szCs w:val="24"/>
        </w:rPr>
        <w:t xml:space="preserve">references to "other" cases </w:t>
      </w:r>
      <w:r>
        <w:rPr>
          <w:rFonts w:ascii="Times New Roman" w:hAnsi="Times New Roman"/>
          <w:noProof/>
          <w:sz w:val="24"/>
          <w:szCs w:val="24"/>
        </w:rPr>
        <w:t xml:space="preserve">in the </w:t>
      </w:r>
      <w:r w:rsidR="00AC0345" w:rsidRPr="00315984">
        <w:rPr>
          <w:rFonts w:ascii="Times New Roman" w:hAnsi="Times New Roman"/>
          <w:noProof/>
          <w:sz w:val="24"/>
          <w:szCs w:val="24"/>
        </w:rPr>
        <w:t xml:space="preserve">SFD </w:t>
      </w:r>
      <w:r>
        <w:rPr>
          <w:rFonts w:ascii="Times New Roman" w:hAnsi="Times New Roman"/>
          <w:noProof/>
          <w:sz w:val="24"/>
          <w:szCs w:val="24"/>
        </w:rPr>
        <w:t>is</w:t>
      </w:r>
      <w:r w:rsidR="00AC0345" w:rsidRPr="00315984">
        <w:rPr>
          <w:rFonts w:ascii="Times New Roman" w:hAnsi="Times New Roman"/>
          <w:noProof/>
          <w:sz w:val="24"/>
          <w:szCs w:val="24"/>
        </w:rPr>
        <w:t xml:space="preserve"> also expected to positively impact on safeguarding fundamental rights, as it may contribute to reducing the likelihood of unsolicited information about citizens is being exchanged between Member States. Moreover, by removing the category "other" cases, all cases would either be "urgent" or "non-urgent". This is expected to speed up the process of requesting information and, thus, could have a positive impact on citizens' </w:t>
      </w:r>
      <w:r w:rsidR="00533BCF">
        <w:rPr>
          <w:rFonts w:ascii="Times New Roman" w:hAnsi="Times New Roman"/>
          <w:noProof/>
          <w:sz w:val="24"/>
          <w:szCs w:val="24"/>
        </w:rPr>
        <w:t>F</w:t>
      </w:r>
      <w:r w:rsidR="00AC0345" w:rsidRPr="00315984">
        <w:rPr>
          <w:rFonts w:ascii="Times New Roman" w:hAnsi="Times New Roman"/>
          <w:noProof/>
          <w:sz w:val="24"/>
          <w:szCs w:val="24"/>
        </w:rPr>
        <w:t xml:space="preserve">undamental </w:t>
      </w:r>
      <w:r w:rsidR="00533BCF">
        <w:rPr>
          <w:rFonts w:ascii="Times New Roman" w:hAnsi="Times New Roman"/>
          <w:noProof/>
          <w:sz w:val="24"/>
          <w:szCs w:val="24"/>
        </w:rPr>
        <w:t>R</w:t>
      </w:r>
      <w:r w:rsidR="00AC0345" w:rsidRPr="00315984">
        <w:rPr>
          <w:rFonts w:ascii="Times New Roman" w:hAnsi="Times New Roman"/>
          <w:noProof/>
          <w:sz w:val="24"/>
          <w:szCs w:val="24"/>
        </w:rPr>
        <w:t>ights.</w:t>
      </w:r>
    </w:p>
    <w:p w14:paraId="601FCFA0" w14:textId="77777777" w:rsidR="00AC0345" w:rsidRPr="00EC2012" w:rsidRDefault="00AC0345" w:rsidP="00AC0345">
      <w:pPr>
        <w:pStyle w:val="Body"/>
        <w:keepNext/>
        <w:spacing w:after="120"/>
        <w:jc w:val="both"/>
        <w:rPr>
          <w:rFonts w:ascii="Times New Roman" w:hAnsi="Times New Roman"/>
          <w:i/>
          <w:iCs/>
          <w:noProof/>
          <w:sz w:val="24"/>
          <w:szCs w:val="24"/>
        </w:rPr>
      </w:pPr>
      <w:r w:rsidRPr="00EC2012">
        <w:rPr>
          <w:rFonts w:ascii="Times New Roman" w:hAnsi="Times New Roman"/>
          <w:i/>
          <w:iCs/>
          <w:noProof/>
          <w:sz w:val="24"/>
          <w:szCs w:val="24"/>
        </w:rPr>
        <w:t>Technical barriers</w:t>
      </w:r>
    </w:p>
    <w:p w14:paraId="3F6D0790" w14:textId="77777777" w:rsidR="00AC0345" w:rsidRPr="00782843" w:rsidRDefault="00AC0345" w:rsidP="00AC0345">
      <w:pPr>
        <w:pStyle w:val="Body"/>
        <w:spacing w:after="120"/>
        <w:jc w:val="both"/>
        <w:rPr>
          <w:rFonts w:ascii="Times New Roman" w:hAnsi="Times New Roman"/>
          <w:noProof/>
          <w:sz w:val="24"/>
          <w:szCs w:val="24"/>
        </w:rPr>
      </w:pPr>
      <w:r w:rsidRPr="00782843">
        <w:rPr>
          <w:rFonts w:ascii="Times New Roman" w:hAnsi="Times New Roman"/>
          <w:noProof/>
          <w:sz w:val="24"/>
          <w:szCs w:val="24"/>
        </w:rPr>
        <w:t xml:space="preserve">At the technical level, there are potential risks </w:t>
      </w:r>
      <w:r w:rsidR="007B0615">
        <w:rPr>
          <w:rFonts w:ascii="Times New Roman" w:hAnsi="Times New Roman"/>
          <w:noProof/>
          <w:sz w:val="24"/>
          <w:szCs w:val="24"/>
        </w:rPr>
        <w:t>to Fundamental R</w:t>
      </w:r>
      <w:r w:rsidRPr="00782843">
        <w:rPr>
          <w:rFonts w:ascii="Times New Roman" w:hAnsi="Times New Roman"/>
          <w:noProof/>
          <w:sz w:val="24"/>
          <w:szCs w:val="24"/>
        </w:rPr>
        <w:t xml:space="preserve">ights in relation to </w:t>
      </w:r>
      <w:r w:rsidR="007B0615">
        <w:rPr>
          <w:rFonts w:ascii="Times New Roman" w:hAnsi="Times New Roman"/>
          <w:noProof/>
          <w:sz w:val="24"/>
          <w:szCs w:val="24"/>
        </w:rPr>
        <w:t>the use of C</w:t>
      </w:r>
      <w:r w:rsidR="0076413B">
        <w:rPr>
          <w:rFonts w:ascii="Times New Roman" w:hAnsi="Times New Roman"/>
          <w:noProof/>
          <w:sz w:val="24"/>
          <w:szCs w:val="24"/>
        </w:rPr>
        <w:t xml:space="preserve">ase Management </w:t>
      </w:r>
      <w:r w:rsidR="007B0615">
        <w:rPr>
          <w:rFonts w:ascii="Times New Roman" w:hAnsi="Times New Roman"/>
          <w:noProof/>
          <w:sz w:val="24"/>
          <w:szCs w:val="24"/>
        </w:rPr>
        <w:t>S</w:t>
      </w:r>
      <w:r w:rsidR="0076413B">
        <w:rPr>
          <w:rFonts w:ascii="Times New Roman" w:hAnsi="Times New Roman"/>
          <w:noProof/>
          <w:sz w:val="24"/>
          <w:szCs w:val="24"/>
        </w:rPr>
        <w:t>ystems</w:t>
      </w:r>
      <w:r w:rsidR="00BD1F59">
        <w:rPr>
          <w:rFonts w:ascii="Times New Roman" w:hAnsi="Times New Roman"/>
          <w:noProof/>
          <w:sz w:val="24"/>
          <w:szCs w:val="24"/>
        </w:rPr>
        <w:t xml:space="preserve"> (CMSs)</w:t>
      </w:r>
      <w:r w:rsidR="007B0615">
        <w:rPr>
          <w:rFonts w:ascii="Times New Roman" w:hAnsi="Times New Roman"/>
          <w:noProof/>
          <w:sz w:val="24"/>
          <w:szCs w:val="24"/>
        </w:rPr>
        <w:t xml:space="preserve"> </w:t>
      </w:r>
      <w:r w:rsidRPr="00782843">
        <w:rPr>
          <w:rFonts w:ascii="Times New Roman" w:hAnsi="Times New Roman"/>
          <w:noProof/>
          <w:sz w:val="24"/>
          <w:szCs w:val="24"/>
          <w:lang w:val="en-US"/>
        </w:rPr>
        <w:t>by SPOCs</w:t>
      </w:r>
      <w:r w:rsidRPr="00782843">
        <w:rPr>
          <w:rFonts w:ascii="Times New Roman" w:hAnsi="Times New Roman"/>
          <w:noProof/>
          <w:sz w:val="24"/>
          <w:szCs w:val="24"/>
        </w:rPr>
        <w:t xml:space="preserve">. </w:t>
      </w:r>
      <w:r>
        <w:rPr>
          <w:rFonts w:ascii="Times New Roman" w:hAnsi="Times New Roman"/>
          <w:noProof/>
          <w:sz w:val="24"/>
          <w:szCs w:val="24"/>
        </w:rPr>
        <w:t xml:space="preserve">The measures considered </w:t>
      </w:r>
      <w:r w:rsidRPr="00782843">
        <w:rPr>
          <w:rFonts w:ascii="Times New Roman" w:hAnsi="Times New Roman"/>
          <w:noProof/>
          <w:sz w:val="24"/>
          <w:szCs w:val="24"/>
        </w:rPr>
        <w:t>aims to address existing risks by introducing common requirements for the functionalities of the CMS</w:t>
      </w:r>
      <w:r w:rsidR="0076413B">
        <w:rPr>
          <w:rFonts w:ascii="Times New Roman" w:hAnsi="Times New Roman"/>
          <w:noProof/>
          <w:sz w:val="24"/>
          <w:szCs w:val="24"/>
        </w:rPr>
        <w:t>s</w:t>
      </w:r>
      <w:r w:rsidRPr="00782843">
        <w:rPr>
          <w:rFonts w:ascii="Times New Roman" w:hAnsi="Times New Roman"/>
          <w:noProof/>
          <w:sz w:val="24"/>
          <w:szCs w:val="24"/>
        </w:rPr>
        <w:t xml:space="preserve"> run by SPOCs, e.g. establishing one CMS for receiving, sending and dispatching messages. This is expected to reduce the number of cases in which case management is distributed across several platforms and layers which, in turn, is expected to reduce the risk of officials unduly being able to access and exchange information. </w:t>
      </w:r>
    </w:p>
    <w:p w14:paraId="54C8025E" w14:textId="77777777" w:rsidR="00AC0345" w:rsidRPr="00782843" w:rsidRDefault="00AC0345" w:rsidP="00AC0345">
      <w:pPr>
        <w:pStyle w:val="Body"/>
        <w:spacing w:after="120"/>
        <w:jc w:val="both"/>
        <w:rPr>
          <w:rFonts w:ascii="Times New Roman" w:hAnsi="Times New Roman"/>
          <w:noProof/>
          <w:sz w:val="24"/>
          <w:szCs w:val="24"/>
        </w:rPr>
      </w:pPr>
      <w:r w:rsidRPr="00782843">
        <w:rPr>
          <w:rFonts w:ascii="Times New Roman" w:hAnsi="Times New Roman"/>
          <w:noProof/>
          <w:sz w:val="24"/>
          <w:szCs w:val="24"/>
        </w:rPr>
        <w:t>Moreover, improvements with regard to the clear identification of the case and its components in the CMS are expected to positively impact on citizens</w:t>
      </w:r>
      <w:r>
        <w:rPr>
          <w:rFonts w:ascii="Times New Roman" w:hAnsi="Times New Roman"/>
          <w:noProof/>
          <w:sz w:val="24"/>
          <w:szCs w:val="24"/>
        </w:rPr>
        <w:t>'</w:t>
      </w:r>
      <w:r w:rsidRPr="00782843">
        <w:rPr>
          <w:rFonts w:ascii="Times New Roman" w:hAnsi="Times New Roman"/>
          <w:noProof/>
          <w:sz w:val="24"/>
          <w:szCs w:val="24"/>
        </w:rPr>
        <w:t xml:space="preserve"> </w:t>
      </w:r>
      <w:r w:rsidR="00DA543D">
        <w:rPr>
          <w:rFonts w:ascii="Times New Roman" w:hAnsi="Times New Roman"/>
          <w:noProof/>
          <w:sz w:val="24"/>
          <w:szCs w:val="24"/>
        </w:rPr>
        <w:t>F</w:t>
      </w:r>
      <w:r w:rsidRPr="00782843">
        <w:rPr>
          <w:rFonts w:ascii="Times New Roman" w:hAnsi="Times New Roman"/>
          <w:noProof/>
          <w:sz w:val="24"/>
          <w:szCs w:val="24"/>
        </w:rPr>
        <w:t xml:space="preserve">undamental </w:t>
      </w:r>
      <w:r w:rsidR="00DA543D">
        <w:rPr>
          <w:rFonts w:ascii="Times New Roman" w:hAnsi="Times New Roman"/>
          <w:noProof/>
          <w:sz w:val="24"/>
          <w:szCs w:val="24"/>
        </w:rPr>
        <w:t>R</w:t>
      </w:r>
      <w:r w:rsidRPr="00782843">
        <w:rPr>
          <w:rFonts w:ascii="Times New Roman" w:hAnsi="Times New Roman"/>
          <w:noProof/>
          <w:sz w:val="24"/>
          <w:szCs w:val="24"/>
        </w:rPr>
        <w:t>ights. The likelihood of confusing cases and, as a consequence access and exchange unsolicited information is expected to be more limited than in the baseline scenario.</w:t>
      </w:r>
    </w:p>
    <w:p w14:paraId="180FAEEF" w14:textId="77777777" w:rsidR="004B37BF" w:rsidRDefault="00AC0345" w:rsidP="00AC0345">
      <w:pPr>
        <w:pStyle w:val="Body"/>
        <w:spacing w:after="120"/>
        <w:jc w:val="both"/>
        <w:rPr>
          <w:rFonts w:ascii="Times New Roman" w:hAnsi="Times New Roman"/>
          <w:noProof/>
          <w:sz w:val="24"/>
          <w:szCs w:val="24"/>
        </w:rPr>
      </w:pPr>
      <w:r w:rsidRPr="00782843">
        <w:rPr>
          <w:rFonts w:ascii="Times New Roman" w:hAnsi="Times New Roman"/>
          <w:noProof/>
          <w:sz w:val="24"/>
          <w:szCs w:val="24"/>
        </w:rPr>
        <w:t>The introduction of a need for an accreditation of Member States</w:t>
      </w:r>
      <w:r>
        <w:rPr>
          <w:rFonts w:ascii="Times New Roman" w:hAnsi="Times New Roman"/>
          <w:noProof/>
          <w:sz w:val="24"/>
          <w:szCs w:val="24"/>
        </w:rPr>
        <w:t>'</w:t>
      </w:r>
      <w:r w:rsidRPr="00782843">
        <w:rPr>
          <w:rFonts w:ascii="Times New Roman" w:hAnsi="Times New Roman"/>
          <w:noProof/>
          <w:sz w:val="24"/>
          <w:szCs w:val="24"/>
        </w:rPr>
        <w:t xml:space="preserve"> CMS with regard to security needs, security check for data access, data protection, handling codes, confidentiality, access rights by different units and to EU databases is expected to positively impact </w:t>
      </w:r>
      <w:r w:rsidR="00DA543D">
        <w:rPr>
          <w:rFonts w:ascii="Times New Roman" w:hAnsi="Times New Roman"/>
          <w:noProof/>
          <w:sz w:val="24"/>
          <w:szCs w:val="24"/>
        </w:rPr>
        <w:t>F</w:t>
      </w:r>
      <w:r w:rsidRPr="00782843">
        <w:rPr>
          <w:rFonts w:ascii="Times New Roman" w:hAnsi="Times New Roman"/>
          <w:noProof/>
          <w:sz w:val="24"/>
          <w:szCs w:val="24"/>
        </w:rPr>
        <w:t xml:space="preserve">undamental </w:t>
      </w:r>
      <w:r w:rsidR="00DA543D">
        <w:rPr>
          <w:rFonts w:ascii="Times New Roman" w:hAnsi="Times New Roman"/>
          <w:noProof/>
          <w:sz w:val="24"/>
          <w:szCs w:val="24"/>
        </w:rPr>
        <w:t>R</w:t>
      </w:r>
      <w:r w:rsidRPr="00782843">
        <w:rPr>
          <w:rFonts w:ascii="Times New Roman" w:hAnsi="Times New Roman"/>
          <w:noProof/>
          <w:sz w:val="24"/>
          <w:szCs w:val="24"/>
        </w:rPr>
        <w:t xml:space="preserve">ights. </w:t>
      </w:r>
      <w:r w:rsidRPr="00934515">
        <w:rPr>
          <w:rFonts w:ascii="Times New Roman" w:hAnsi="Times New Roman"/>
          <w:noProof/>
          <w:sz w:val="24"/>
          <w:szCs w:val="24"/>
        </w:rPr>
        <w:t>Law enforcement authorities</w:t>
      </w:r>
      <w:r>
        <w:rPr>
          <w:rFonts w:ascii="Times New Roman" w:hAnsi="Times New Roman"/>
          <w:noProof/>
          <w:sz w:val="24"/>
          <w:szCs w:val="24"/>
        </w:rPr>
        <w:t>'</w:t>
      </w:r>
      <w:r w:rsidRPr="00782843">
        <w:rPr>
          <w:rFonts w:ascii="Times New Roman" w:hAnsi="Times New Roman"/>
          <w:noProof/>
          <w:sz w:val="24"/>
          <w:szCs w:val="24"/>
        </w:rPr>
        <w:t xml:space="preserve"> IT systems are a prime target for hackers and, thus, under constant scrutiny with regard to their security a</w:t>
      </w:r>
      <w:r w:rsidRPr="00934515">
        <w:rPr>
          <w:rFonts w:ascii="Times New Roman" w:hAnsi="Times New Roman"/>
          <w:noProof/>
          <w:sz w:val="24"/>
          <w:szCs w:val="24"/>
        </w:rPr>
        <w:t>nd potential to ensure citizens</w:t>
      </w:r>
      <w:r>
        <w:rPr>
          <w:rFonts w:ascii="Times New Roman" w:hAnsi="Times New Roman"/>
          <w:noProof/>
          <w:sz w:val="24"/>
          <w:szCs w:val="24"/>
        </w:rPr>
        <w:t>'</w:t>
      </w:r>
      <w:r w:rsidRPr="00782843">
        <w:rPr>
          <w:rFonts w:ascii="Times New Roman" w:hAnsi="Times New Roman"/>
          <w:noProof/>
          <w:sz w:val="24"/>
          <w:szCs w:val="24"/>
        </w:rPr>
        <w:t xml:space="preserve"> privacy. Therefore, the accreditation of CMS satisfying certain technical minimum quality criteria is expected to add an additional safeguard for IT systems being compromised by criminals.</w:t>
      </w:r>
      <w:r w:rsidR="000E2AE8">
        <w:rPr>
          <w:rFonts w:ascii="Times New Roman" w:hAnsi="Times New Roman"/>
          <w:noProof/>
          <w:sz w:val="24"/>
          <w:szCs w:val="24"/>
        </w:rPr>
        <w:t xml:space="preserve"> Other safeguards are ensured by the Member States as per their transposition of the </w:t>
      </w:r>
      <w:r w:rsidR="00997E8C" w:rsidRPr="00C61697">
        <w:rPr>
          <w:rFonts w:ascii="Times New Roman" w:hAnsi="Times New Roman"/>
          <w:b/>
          <w:noProof/>
          <w:sz w:val="24"/>
          <w:szCs w:val="24"/>
        </w:rPr>
        <w:t xml:space="preserve">Law Enforcement Data Protection Directive 2016/680 </w:t>
      </w:r>
      <w:r w:rsidR="00997E8C" w:rsidRPr="00331455">
        <w:rPr>
          <w:rFonts w:ascii="Times New Roman" w:hAnsi="Times New Roman"/>
          <w:b/>
          <w:noProof/>
          <w:sz w:val="24"/>
          <w:szCs w:val="24"/>
        </w:rPr>
        <w:t>(LED)</w:t>
      </w:r>
      <w:r w:rsidR="000E2AE8" w:rsidRPr="00997E8C">
        <w:rPr>
          <w:rFonts w:ascii="Times New Roman" w:hAnsi="Times New Roman"/>
          <w:noProof/>
          <w:sz w:val="24"/>
          <w:szCs w:val="24"/>
        </w:rPr>
        <w:t>.</w:t>
      </w:r>
    </w:p>
    <w:p w14:paraId="2CB6D80C" w14:textId="77777777" w:rsidR="00AC0345" w:rsidRPr="00EC2012" w:rsidRDefault="00AC0345" w:rsidP="00AC0345">
      <w:pPr>
        <w:pStyle w:val="Body"/>
        <w:spacing w:after="120"/>
        <w:jc w:val="both"/>
        <w:rPr>
          <w:rFonts w:ascii="Times New Roman" w:hAnsi="Times New Roman"/>
          <w:i/>
          <w:iCs/>
          <w:noProof/>
          <w:sz w:val="24"/>
          <w:szCs w:val="24"/>
        </w:rPr>
      </w:pPr>
      <w:r w:rsidRPr="00EC2012">
        <w:rPr>
          <w:rFonts w:ascii="Times New Roman" w:hAnsi="Times New Roman"/>
          <w:i/>
          <w:iCs/>
          <w:noProof/>
          <w:sz w:val="24"/>
          <w:szCs w:val="24"/>
        </w:rPr>
        <w:t>Structural barriers</w:t>
      </w:r>
    </w:p>
    <w:p w14:paraId="7D8B1A4C" w14:textId="77777777" w:rsidR="00AC0345" w:rsidRPr="00F11E81" w:rsidRDefault="00AC0345" w:rsidP="00AC0345">
      <w:pPr>
        <w:pStyle w:val="Body"/>
        <w:spacing w:after="120"/>
        <w:jc w:val="both"/>
        <w:rPr>
          <w:rFonts w:ascii="Times New Roman" w:hAnsi="Times New Roman"/>
          <w:noProof/>
          <w:sz w:val="24"/>
          <w:szCs w:val="24"/>
        </w:rPr>
      </w:pPr>
      <w:r w:rsidRPr="00F11E81">
        <w:rPr>
          <w:rFonts w:ascii="Times New Roman" w:hAnsi="Times New Roman"/>
          <w:noProof/>
          <w:sz w:val="24"/>
          <w:szCs w:val="24"/>
        </w:rPr>
        <w:t xml:space="preserve">At the structural level, </w:t>
      </w:r>
      <w:r>
        <w:rPr>
          <w:rFonts w:ascii="Times New Roman" w:hAnsi="Times New Roman"/>
          <w:noProof/>
          <w:sz w:val="24"/>
          <w:szCs w:val="24"/>
        </w:rPr>
        <w:t xml:space="preserve">the measures envisaged ensure </w:t>
      </w:r>
      <w:r w:rsidRPr="00F11E81">
        <w:rPr>
          <w:rFonts w:ascii="Times New Roman" w:hAnsi="Times New Roman"/>
          <w:noProof/>
          <w:sz w:val="24"/>
          <w:szCs w:val="24"/>
        </w:rPr>
        <w:t xml:space="preserve">that SPOCs are, at the minimum, informed about all international law enforcement cooperation requests dealt with at national level, and, in addition, established as the preferred hub to handle intra-EU law enforcement cooperation requests. The increased ability and role of the SPOCs to coordinate law enforcement cooperation is expected to have a positive impact on </w:t>
      </w:r>
      <w:r w:rsidR="00C13DB4">
        <w:rPr>
          <w:rFonts w:ascii="Times New Roman" w:hAnsi="Times New Roman"/>
          <w:noProof/>
          <w:sz w:val="24"/>
          <w:szCs w:val="24"/>
        </w:rPr>
        <w:t>citizens' F</w:t>
      </w:r>
      <w:r w:rsidRPr="00F11E81">
        <w:rPr>
          <w:rFonts w:ascii="Times New Roman" w:hAnsi="Times New Roman"/>
          <w:noProof/>
          <w:sz w:val="24"/>
          <w:szCs w:val="24"/>
        </w:rPr>
        <w:t xml:space="preserve">undamental </w:t>
      </w:r>
      <w:r w:rsidR="00C13DB4">
        <w:rPr>
          <w:rFonts w:ascii="Times New Roman" w:hAnsi="Times New Roman"/>
          <w:noProof/>
          <w:sz w:val="24"/>
          <w:szCs w:val="24"/>
        </w:rPr>
        <w:t>R</w:t>
      </w:r>
      <w:r w:rsidRPr="00F11E81">
        <w:rPr>
          <w:rFonts w:ascii="Times New Roman" w:hAnsi="Times New Roman"/>
          <w:noProof/>
          <w:sz w:val="24"/>
          <w:szCs w:val="24"/>
        </w:rPr>
        <w:t>ights, since cases can be administered more swiftly and discretely without multiple authorities being unduly involved in the processes.</w:t>
      </w:r>
    </w:p>
    <w:p w14:paraId="5C7CE2EC" w14:textId="77777777" w:rsidR="00AC0345" w:rsidRPr="00F86B17" w:rsidRDefault="00AC0345" w:rsidP="007B4A8C">
      <w:pPr>
        <w:pStyle w:val="Body"/>
        <w:spacing w:after="120"/>
        <w:jc w:val="both"/>
        <w:rPr>
          <w:rFonts w:ascii="Times New Roman" w:hAnsi="Times New Roman"/>
          <w:i/>
          <w:noProof/>
          <w:sz w:val="24"/>
          <w:szCs w:val="24"/>
        </w:rPr>
      </w:pPr>
      <w:r w:rsidRPr="00F11E81">
        <w:rPr>
          <w:rFonts w:ascii="Times New Roman" w:hAnsi="Times New Roman"/>
          <w:noProof/>
          <w:sz w:val="24"/>
          <w:szCs w:val="24"/>
        </w:rPr>
        <w:t xml:space="preserve">At the same time, however, providing SPOCs via the involvement of different types of eligible law enforcement officials with full access to EU and international law enforcement databases could be </w:t>
      </w:r>
      <w:r w:rsidRPr="00DF1426">
        <w:rPr>
          <w:rFonts w:ascii="Times New Roman" w:hAnsi="Times New Roman"/>
          <w:noProof/>
          <w:sz w:val="24"/>
          <w:szCs w:val="24"/>
        </w:rPr>
        <w:t xml:space="preserve">regarded by </w:t>
      </w:r>
      <w:r w:rsidR="00717F92" w:rsidRPr="00704502">
        <w:rPr>
          <w:rFonts w:ascii="Times New Roman" w:hAnsi="Times New Roman"/>
          <w:noProof/>
          <w:sz w:val="24"/>
          <w:szCs w:val="24"/>
        </w:rPr>
        <w:t xml:space="preserve">some </w:t>
      </w:r>
      <w:r w:rsidRPr="00DF1426">
        <w:rPr>
          <w:rFonts w:ascii="Times New Roman" w:hAnsi="Times New Roman"/>
          <w:noProof/>
          <w:sz w:val="24"/>
          <w:szCs w:val="24"/>
        </w:rPr>
        <w:t>stakeholders</w:t>
      </w:r>
      <w:r w:rsidR="00717F92">
        <w:rPr>
          <w:rFonts w:ascii="Times New Roman" w:hAnsi="Times New Roman"/>
          <w:noProof/>
          <w:sz w:val="24"/>
          <w:szCs w:val="24"/>
        </w:rPr>
        <w:t xml:space="preserve"> (e.g. Non-Governmental Organisations)</w:t>
      </w:r>
      <w:r w:rsidRPr="00F11E81">
        <w:rPr>
          <w:rFonts w:ascii="Times New Roman" w:hAnsi="Times New Roman"/>
          <w:noProof/>
          <w:sz w:val="24"/>
          <w:szCs w:val="24"/>
        </w:rPr>
        <w:t xml:space="preserve"> as an excessive measure in view of providing law enforcement authorities with only the necessary access to information. Similar to the argumentation in relation to the legal and technical barriers, additional and updated training on EU law enforcement cooperation (including by CEPOL) is expected to increase citizens</w:t>
      </w:r>
      <w:r>
        <w:rPr>
          <w:rFonts w:ascii="Times New Roman" w:hAnsi="Times New Roman"/>
          <w:noProof/>
          <w:sz w:val="24"/>
          <w:szCs w:val="24"/>
        </w:rPr>
        <w:t>'</w:t>
      </w:r>
      <w:r w:rsidRPr="00F11E81">
        <w:rPr>
          <w:rFonts w:ascii="Times New Roman" w:hAnsi="Times New Roman"/>
          <w:noProof/>
          <w:sz w:val="24"/>
          <w:szCs w:val="24"/>
        </w:rPr>
        <w:t xml:space="preserve"> </w:t>
      </w:r>
      <w:r w:rsidR="00C13DB4">
        <w:rPr>
          <w:rFonts w:ascii="Times New Roman" w:hAnsi="Times New Roman"/>
          <w:noProof/>
          <w:sz w:val="24"/>
          <w:szCs w:val="24"/>
        </w:rPr>
        <w:t>F</w:t>
      </w:r>
      <w:r w:rsidRPr="00F11E81">
        <w:rPr>
          <w:rFonts w:ascii="Times New Roman" w:hAnsi="Times New Roman"/>
          <w:noProof/>
          <w:sz w:val="24"/>
          <w:szCs w:val="24"/>
        </w:rPr>
        <w:t xml:space="preserve">undamental </w:t>
      </w:r>
      <w:r w:rsidR="00C13DB4">
        <w:rPr>
          <w:rFonts w:ascii="Times New Roman" w:hAnsi="Times New Roman"/>
          <w:noProof/>
          <w:sz w:val="24"/>
          <w:szCs w:val="24"/>
        </w:rPr>
        <w:t>R</w:t>
      </w:r>
      <w:r w:rsidRPr="00F11E81">
        <w:rPr>
          <w:rFonts w:ascii="Times New Roman" w:hAnsi="Times New Roman"/>
          <w:noProof/>
          <w:sz w:val="24"/>
          <w:szCs w:val="24"/>
        </w:rPr>
        <w:t>ights</w:t>
      </w:r>
      <w:r w:rsidR="007B0615">
        <w:rPr>
          <w:rFonts w:ascii="Times New Roman" w:hAnsi="Times New Roman"/>
          <w:noProof/>
          <w:sz w:val="24"/>
          <w:szCs w:val="24"/>
        </w:rPr>
        <w:t xml:space="preserve"> thus effectively and efficiently mitigating th</w:t>
      </w:r>
      <w:r w:rsidR="00DF1426">
        <w:rPr>
          <w:rFonts w:ascii="Times New Roman" w:hAnsi="Times New Roman"/>
          <w:noProof/>
          <w:sz w:val="24"/>
          <w:szCs w:val="24"/>
        </w:rPr>
        <w:t>e</w:t>
      </w:r>
      <w:r w:rsidR="007B0615">
        <w:rPr>
          <w:rFonts w:ascii="Times New Roman" w:hAnsi="Times New Roman"/>
          <w:noProof/>
          <w:sz w:val="24"/>
          <w:szCs w:val="24"/>
        </w:rPr>
        <w:t xml:space="preserve"> risk</w:t>
      </w:r>
      <w:r w:rsidR="00DF1426">
        <w:rPr>
          <w:rFonts w:ascii="Times New Roman" w:hAnsi="Times New Roman"/>
          <w:noProof/>
          <w:sz w:val="24"/>
          <w:szCs w:val="24"/>
        </w:rPr>
        <w:t xml:space="preserve"> of unnecessary and disproportionate access to personal data</w:t>
      </w:r>
      <w:r>
        <w:rPr>
          <w:rFonts w:ascii="Times New Roman" w:hAnsi="Times New Roman"/>
          <w:noProof/>
          <w:sz w:val="24"/>
          <w:szCs w:val="24"/>
        </w:rPr>
        <w:t>.</w:t>
      </w:r>
    </w:p>
    <w:p w14:paraId="3E1A67C1" w14:textId="77777777" w:rsidR="00C76702" w:rsidRPr="00174F9C" w:rsidRDefault="00C76702" w:rsidP="00104E62">
      <w:pPr>
        <w:pBdr>
          <w:top w:val="single" w:sz="4" w:space="1" w:color="auto"/>
          <w:left w:val="single" w:sz="4" w:space="4" w:color="auto"/>
          <w:bottom w:val="single" w:sz="4" w:space="1" w:color="auto"/>
          <w:right w:val="single" w:sz="4" w:space="4" w:color="auto"/>
          <w:between w:val="single" w:sz="4" w:space="1" w:color="auto"/>
        </w:pBdr>
        <w:shd w:val="clear" w:color="auto" w:fill="C5E0B3" w:themeFill="accent6" w:themeFillTint="66"/>
        <w:tabs>
          <w:tab w:val="left" w:pos="2302"/>
        </w:tabs>
        <w:spacing w:before="240" w:after="120" w:line="240" w:lineRule="auto"/>
        <w:jc w:val="both"/>
        <w:rPr>
          <w:rFonts w:ascii="Times New Roman" w:eastAsia="Times New Roman" w:hAnsi="Times New Roman" w:cs="Times New Roman"/>
          <w:b/>
          <w:noProof/>
          <w:sz w:val="24"/>
          <w:szCs w:val="24"/>
        </w:rPr>
      </w:pPr>
      <w:r w:rsidRPr="00174F9C">
        <w:rPr>
          <w:rFonts w:ascii="Times New Roman" w:eastAsia="Times New Roman" w:hAnsi="Times New Roman" w:cs="Times New Roman"/>
          <w:b/>
          <w:noProof/>
          <w:sz w:val="24"/>
          <w:szCs w:val="24"/>
          <w:u w:val="single"/>
        </w:rPr>
        <w:t>Problem 1:</w:t>
      </w:r>
      <w:r w:rsidRPr="00174F9C">
        <w:rPr>
          <w:rFonts w:ascii="Times New Roman" w:eastAsia="Times New Roman" w:hAnsi="Times New Roman" w:cs="Times New Roman"/>
          <w:b/>
          <w:noProof/>
          <w:sz w:val="24"/>
          <w:szCs w:val="24"/>
        </w:rPr>
        <w:t xml:space="preserve"> Rules at national level impede the effective and efficient flow of information</w:t>
      </w:r>
    </w:p>
    <w:p w14:paraId="160B1FCC" w14:textId="77777777" w:rsidR="00C76702" w:rsidRPr="00516D03" w:rsidRDefault="00C76702" w:rsidP="00094199">
      <w:pPr>
        <w:pStyle w:val="Heading2"/>
        <w:rPr>
          <w:noProof/>
        </w:rPr>
      </w:pPr>
      <w:bookmarkStart w:id="99" w:name="_Toc74838178"/>
      <w:bookmarkStart w:id="100" w:name="_Toc83801040"/>
      <w:r w:rsidRPr="00516D03">
        <w:rPr>
          <w:noProof/>
        </w:rPr>
        <w:t>Objective I: Facilitate equivalent access for law enforcement authorities to information held in another Member State, while complying with fundamental rights and data protection requirements</w:t>
      </w:r>
      <w:bookmarkEnd w:id="99"/>
      <w:bookmarkEnd w:id="100"/>
    </w:p>
    <w:p w14:paraId="43CF8FEE" w14:textId="6CFFAC67" w:rsidR="00C76702" w:rsidRPr="00523218" w:rsidRDefault="00C76702" w:rsidP="00A414D7">
      <w:pPr>
        <w:pBdr>
          <w:top w:val="single" w:sz="4" w:space="1" w:color="auto"/>
          <w:left w:val="single" w:sz="4" w:space="4" w:color="auto"/>
          <w:bottom w:val="single" w:sz="4" w:space="1" w:color="auto"/>
          <w:right w:val="single" w:sz="4" w:space="4" w:color="auto"/>
          <w:between w:val="single" w:sz="4" w:space="1" w:color="auto"/>
        </w:pBdr>
        <w:shd w:val="clear" w:color="auto" w:fill="B4C6E7" w:themeFill="accent5" w:themeFillTint="66"/>
        <w:tabs>
          <w:tab w:val="left" w:pos="2302"/>
        </w:tabs>
        <w:spacing w:after="0" w:line="240" w:lineRule="auto"/>
        <w:jc w:val="both"/>
        <w:rPr>
          <w:rFonts w:ascii="Times New Roman" w:eastAsia="Times New Roman" w:hAnsi="Times New Roman" w:cs="Times New Roman"/>
          <w:noProof/>
          <w:sz w:val="24"/>
          <w:szCs w:val="24"/>
        </w:rPr>
      </w:pPr>
      <w:r w:rsidRPr="00523218">
        <w:rPr>
          <w:rFonts w:ascii="Times New Roman" w:eastAsia="Times New Roman" w:hAnsi="Times New Roman" w:cs="Times New Roman"/>
          <w:b/>
          <w:noProof/>
          <w:sz w:val="24"/>
          <w:szCs w:val="24"/>
          <w:u w:val="single"/>
        </w:rPr>
        <w:t>Policy Option 1</w:t>
      </w:r>
      <w:r w:rsidR="002D599A">
        <w:rPr>
          <w:rFonts w:ascii="Times New Roman" w:eastAsia="Times New Roman" w:hAnsi="Times New Roman" w:cs="Times New Roman"/>
          <w:b/>
          <w:noProof/>
          <w:sz w:val="24"/>
          <w:szCs w:val="24"/>
          <w:u w:val="single"/>
        </w:rPr>
        <w:t>.1</w:t>
      </w:r>
      <w:r w:rsidRPr="00523218">
        <w:rPr>
          <w:rFonts w:ascii="Times New Roman" w:eastAsia="Times New Roman" w:hAnsi="Times New Roman" w:cs="Times New Roman"/>
          <w:b/>
          <w:noProof/>
          <w:sz w:val="24"/>
          <w:szCs w:val="24"/>
          <w:u w:val="single"/>
        </w:rPr>
        <w:t>:</w:t>
      </w:r>
      <w:r w:rsidRPr="00523218">
        <w:rPr>
          <w:rFonts w:ascii="Times New Roman" w:eastAsia="Times New Roman" w:hAnsi="Times New Roman" w:cs="Times New Roman"/>
          <w:noProof/>
          <w:sz w:val="24"/>
          <w:szCs w:val="24"/>
        </w:rPr>
        <w:t xml:space="preserve"> </w:t>
      </w:r>
      <w:r w:rsidR="00013696">
        <w:rPr>
          <w:rFonts w:ascii="Times New Roman" w:hAnsi="Times New Roman" w:cs="Times New Roman"/>
          <w:b/>
          <w:noProof/>
          <w:sz w:val="24"/>
          <w:szCs w:val="24"/>
        </w:rPr>
        <w:t>N</w:t>
      </w:r>
      <w:r w:rsidR="001E26F1">
        <w:rPr>
          <w:rFonts w:ascii="Times New Roman" w:hAnsi="Times New Roman" w:cs="Times New Roman"/>
          <w:b/>
          <w:noProof/>
          <w:sz w:val="24"/>
          <w:szCs w:val="24"/>
        </w:rPr>
        <w:t xml:space="preserve">ew </w:t>
      </w:r>
      <w:r w:rsidRPr="00523218">
        <w:rPr>
          <w:rFonts w:ascii="Times New Roman" w:hAnsi="Times New Roman" w:cs="Times New Roman"/>
          <w:b/>
          <w:noProof/>
          <w:sz w:val="24"/>
          <w:szCs w:val="24"/>
        </w:rPr>
        <w:t xml:space="preserve">flanking soft measures (training, </w:t>
      </w:r>
      <w:r w:rsidR="00E976F9">
        <w:rPr>
          <w:rFonts w:ascii="Times New Roman" w:hAnsi="Times New Roman" w:cs="Times New Roman"/>
          <w:b/>
          <w:noProof/>
          <w:sz w:val="24"/>
          <w:szCs w:val="24"/>
        </w:rPr>
        <w:t xml:space="preserve">Commission </w:t>
      </w:r>
      <w:r w:rsidRPr="00523218">
        <w:rPr>
          <w:rFonts w:ascii="Times New Roman" w:hAnsi="Times New Roman" w:cs="Times New Roman"/>
          <w:b/>
          <w:noProof/>
          <w:sz w:val="24"/>
          <w:szCs w:val="24"/>
        </w:rPr>
        <w:t>guidance)</w:t>
      </w:r>
    </w:p>
    <w:p w14:paraId="0CD1677E" w14:textId="77777777" w:rsidR="00C76702" w:rsidRPr="004A4E16" w:rsidRDefault="00C76702" w:rsidP="00C76702">
      <w:pPr>
        <w:pStyle w:val="Text1"/>
        <w:spacing w:after="0"/>
        <w:ind w:left="0"/>
        <w:rPr>
          <w:noProof/>
          <w:sz w:val="16"/>
          <w:szCs w:val="16"/>
        </w:rPr>
      </w:pPr>
    </w:p>
    <w:tbl>
      <w:tblPr>
        <w:tblStyle w:val="TableGrid1"/>
        <w:tblW w:w="9889" w:type="dxa"/>
        <w:tblLook w:val="04A0" w:firstRow="1" w:lastRow="0" w:firstColumn="1" w:lastColumn="0" w:noHBand="0" w:noVBand="1"/>
      </w:tblPr>
      <w:tblGrid>
        <w:gridCol w:w="9889"/>
      </w:tblGrid>
      <w:tr w:rsidR="00C76702" w14:paraId="2AC8CA67" w14:textId="77777777" w:rsidTr="009D6B1A">
        <w:tc>
          <w:tcPr>
            <w:tcW w:w="9889" w:type="dxa"/>
            <w:tcBorders>
              <w:bottom w:val="single" w:sz="4" w:space="0" w:color="auto"/>
            </w:tcBorders>
            <w:shd w:val="clear" w:color="auto" w:fill="9CC2E5" w:themeFill="accent1" w:themeFillTint="99"/>
          </w:tcPr>
          <w:p w14:paraId="587C11EE" w14:textId="77777777" w:rsidR="00C76702" w:rsidRPr="00B77326" w:rsidRDefault="00C76702" w:rsidP="0042564B">
            <w:pPr>
              <w:spacing w:before="60" w:after="60"/>
              <w:jc w:val="center"/>
              <w:rPr>
                <w:rFonts w:ascii="Verdana" w:hAnsi="Verdana" w:cs="Times New Roman"/>
                <w:b/>
                <w:noProof/>
                <w:sz w:val="16"/>
                <w:szCs w:val="16"/>
              </w:rPr>
            </w:pPr>
            <w:r w:rsidRPr="00B77326">
              <w:rPr>
                <w:rFonts w:ascii="Verdana" w:hAnsi="Verdana" w:cs="Times New Roman"/>
                <w:b/>
                <w:noProof/>
                <w:sz w:val="16"/>
                <w:szCs w:val="16"/>
              </w:rPr>
              <w:t>Expected impact of policy option 1</w:t>
            </w:r>
            <w:r w:rsidR="001C5034">
              <w:rPr>
                <w:rFonts w:ascii="Verdana" w:hAnsi="Verdana" w:cs="Times New Roman"/>
                <w:b/>
                <w:noProof/>
                <w:sz w:val="16"/>
                <w:szCs w:val="16"/>
              </w:rPr>
              <w:t>.1</w:t>
            </w:r>
          </w:p>
        </w:tc>
      </w:tr>
      <w:tr w:rsidR="00C76702" w14:paraId="2FE52CB4" w14:textId="77777777" w:rsidTr="009D6B1A">
        <w:tc>
          <w:tcPr>
            <w:tcW w:w="9889" w:type="dxa"/>
            <w:tcBorders>
              <w:bottom w:val="single" w:sz="4" w:space="0" w:color="auto"/>
            </w:tcBorders>
            <w:shd w:val="clear" w:color="auto" w:fill="BDD6EE" w:themeFill="accent1" w:themeFillTint="66"/>
          </w:tcPr>
          <w:p w14:paraId="74099D51"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14:paraId="021CDE2E" w14:textId="77777777" w:rsidTr="009D6B1A">
        <w:tc>
          <w:tcPr>
            <w:tcW w:w="9889" w:type="dxa"/>
            <w:shd w:val="clear" w:color="auto" w:fill="DEEAF6" w:themeFill="accent1" w:themeFillTint="33"/>
          </w:tcPr>
          <w:p w14:paraId="05F0CE09"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Low positive impact</w:t>
            </w:r>
            <w:r w:rsidRPr="00B77326">
              <w:rPr>
                <w:rFonts w:ascii="Verdana" w:hAnsi="Verdana" w:cs="Times New Roman"/>
                <w:noProof/>
                <w:sz w:val="16"/>
                <w:szCs w:val="16"/>
              </w:rPr>
              <w:t xml:space="preserve"> to the security of the European citizens and societies. The simplification/clarification in both the scope and the use of the Swedish Framework Decision and supporting soft measures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 xml:space="preserve">support Member States to more effectively counter any forms of </w:t>
            </w:r>
            <w:r w:rsidR="007D27F6">
              <w:rPr>
                <w:rFonts w:ascii="Verdana" w:hAnsi="Verdana" w:cs="Times New Roman"/>
                <w:noProof/>
                <w:sz w:val="16"/>
                <w:szCs w:val="16"/>
              </w:rPr>
              <w:t>criminal offences</w:t>
            </w:r>
            <w:r w:rsidRPr="00B77326">
              <w:rPr>
                <w:rFonts w:ascii="Verdana" w:hAnsi="Verdana" w:cs="Times New Roman"/>
                <w:noProof/>
                <w:sz w:val="16"/>
                <w:szCs w:val="16"/>
              </w:rPr>
              <w:t xml:space="preserve">. This would also </w:t>
            </w:r>
            <w:r w:rsidRPr="00B77326">
              <w:rPr>
                <w:rFonts w:ascii="Verdana" w:hAnsi="Verdana" w:cs="Times New Roman"/>
                <w:b/>
                <w:noProof/>
                <w:sz w:val="16"/>
                <w:szCs w:val="16"/>
              </w:rPr>
              <w:t>marginally</w:t>
            </w:r>
            <w:r w:rsidRPr="00B77326">
              <w:rPr>
                <w:rFonts w:ascii="Verdana" w:hAnsi="Verdana" w:cs="Times New Roman"/>
                <w:noProof/>
                <w:sz w:val="16"/>
                <w:szCs w:val="16"/>
              </w:rPr>
              <w:t xml:space="preserve"> reduce undue delays in the information sharing.</w:t>
            </w:r>
          </w:p>
        </w:tc>
      </w:tr>
      <w:tr w:rsidR="00C76702" w14:paraId="72A35C82" w14:textId="77777777" w:rsidTr="009D6B1A">
        <w:tc>
          <w:tcPr>
            <w:tcW w:w="9889" w:type="dxa"/>
            <w:tcBorders>
              <w:bottom w:val="single" w:sz="4" w:space="0" w:color="auto"/>
            </w:tcBorders>
            <w:shd w:val="clear" w:color="auto" w:fill="BDD6EE" w:themeFill="accent1" w:themeFillTint="66"/>
          </w:tcPr>
          <w:p w14:paraId="288432F3"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14:paraId="2388EEB7" w14:textId="77777777" w:rsidTr="009D6B1A">
        <w:tc>
          <w:tcPr>
            <w:tcW w:w="9889" w:type="dxa"/>
            <w:shd w:val="clear" w:color="auto" w:fill="DEEAF6" w:themeFill="accent1" w:themeFillTint="33"/>
          </w:tcPr>
          <w:p w14:paraId="0020DBF8"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Low positive impact</w:t>
            </w:r>
            <w:r w:rsidRPr="00B77326">
              <w:rPr>
                <w:rFonts w:ascii="Verdana" w:hAnsi="Verdana" w:cs="Times New Roman"/>
                <w:noProof/>
                <w:sz w:val="16"/>
                <w:szCs w:val="16"/>
              </w:rPr>
              <w:t xml:space="preserve"> on national authorities, which could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 xml:space="preserve">to efficiently combat </w:t>
            </w:r>
            <w:r w:rsidR="007D27F6">
              <w:rPr>
                <w:rFonts w:ascii="Verdana" w:hAnsi="Verdana" w:cs="Times New Roman"/>
                <w:noProof/>
                <w:sz w:val="16"/>
                <w:szCs w:val="16"/>
              </w:rPr>
              <w:t>criminal offences</w:t>
            </w:r>
            <w:r w:rsidRPr="00B77326">
              <w:rPr>
                <w:rFonts w:ascii="Verdana" w:hAnsi="Verdana" w:cs="Times New Roman"/>
                <w:noProof/>
                <w:sz w:val="16"/>
                <w:szCs w:val="16"/>
              </w:rPr>
              <w:t xml:space="preserve">, because of the simplification/clarification in the scope and use of the Swedish Framework Decision and </w:t>
            </w:r>
            <w:r w:rsidR="00164D06">
              <w:rPr>
                <w:rFonts w:ascii="Verdana" w:hAnsi="Verdana" w:cs="Times New Roman"/>
                <w:noProof/>
                <w:sz w:val="16"/>
                <w:szCs w:val="16"/>
              </w:rPr>
              <w:t xml:space="preserve">the adoption of </w:t>
            </w:r>
            <w:r w:rsidRPr="00B77326">
              <w:rPr>
                <w:rFonts w:ascii="Verdana" w:hAnsi="Verdana" w:cs="Times New Roman"/>
                <w:noProof/>
                <w:sz w:val="16"/>
                <w:szCs w:val="16"/>
              </w:rPr>
              <w:t xml:space="preserve">supporting soft measures. </w:t>
            </w:r>
          </w:p>
          <w:p w14:paraId="07A36C93"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A </w:t>
            </w:r>
            <w:r w:rsidRPr="00B77326">
              <w:rPr>
                <w:rFonts w:ascii="Verdana" w:hAnsi="Verdana" w:cs="Times New Roman"/>
                <w:b/>
                <w:noProof/>
                <w:sz w:val="16"/>
                <w:szCs w:val="16"/>
              </w:rPr>
              <w:t xml:space="preserve">low </w:t>
            </w:r>
            <w:r w:rsidRPr="00B77326">
              <w:rPr>
                <w:rFonts w:ascii="Verdana" w:hAnsi="Verdana" w:cs="Times New Roman"/>
                <w:noProof/>
                <w:sz w:val="16"/>
                <w:szCs w:val="16"/>
              </w:rPr>
              <w:t xml:space="preserve">negative impact would be a </w:t>
            </w:r>
            <w:r w:rsidRPr="00B77326">
              <w:rPr>
                <w:rFonts w:ascii="Verdana" w:hAnsi="Verdana" w:cs="Times New Roman"/>
                <w:b/>
                <w:noProof/>
                <w:sz w:val="16"/>
                <w:szCs w:val="16"/>
              </w:rPr>
              <w:t>possible marginal</w:t>
            </w:r>
            <w:r w:rsidRPr="00B77326">
              <w:rPr>
                <w:rFonts w:ascii="Verdana" w:hAnsi="Verdana" w:cs="Times New Roman"/>
                <w:noProof/>
                <w:sz w:val="16"/>
                <w:szCs w:val="16"/>
              </w:rPr>
              <w:t xml:space="preserve"> workoad increase for national SPOCs.</w:t>
            </w:r>
          </w:p>
        </w:tc>
      </w:tr>
      <w:tr w:rsidR="00C76702" w14:paraId="7FADF5A5" w14:textId="77777777" w:rsidTr="009D6B1A">
        <w:tc>
          <w:tcPr>
            <w:tcW w:w="9889" w:type="dxa"/>
            <w:tcBorders>
              <w:bottom w:val="single" w:sz="4" w:space="0" w:color="auto"/>
            </w:tcBorders>
            <w:shd w:val="clear" w:color="auto" w:fill="BDD6EE" w:themeFill="accent1" w:themeFillTint="66"/>
          </w:tcPr>
          <w:p w14:paraId="573AA3E2"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14:paraId="073B8A66" w14:textId="77777777" w:rsidTr="009D6B1A">
        <w:tc>
          <w:tcPr>
            <w:tcW w:w="9889" w:type="dxa"/>
            <w:shd w:val="clear" w:color="auto" w:fill="DEEAF6" w:themeFill="accent1" w:themeFillTint="33"/>
          </w:tcPr>
          <w:p w14:paraId="4FB5A9AF" w14:textId="77777777" w:rsidR="00C76702" w:rsidRPr="00B77326"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 </w:t>
            </w:r>
            <w:r w:rsidR="00164D06">
              <w:rPr>
                <w:rFonts w:ascii="Verdana" w:hAnsi="Verdana" w:cs="Times New Roman"/>
                <w:noProof/>
                <w:sz w:val="16"/>
                <w:szCs w:val="16"/>
              </w:rPr>
              <w:t xml:space="preserve">adoption of </w:t>
            </w:r>
            <w:r w:rsidRPr="00B77326">
              <w:rPr>
                <w:rFonts w:ascii="Verdana" w:hAnsi="Verdana" w:cs="Times New Roman"/>
                <w:noProof/>
                <w:sz w:val="16"/>
                <w:szCs w:val="16"/>
              </w:rPr>
              <w:t xml:space="preserve">supporting soft measures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contribute to increase the quality and quantity of information shared with Europol.</w:t>
            </w:r>
          </w:p>
        </w:tc>
      </w:tr>
      <w:tr w:rsidR="00C76702" w14:paraId="1CFE0FAB" w14:textId="77777777" w:rsidTr="009D6B1A">
        <w:tc>
          <w:tcPr>
            <w:tcW w:w="9889" w:type="dxa"/>
            <w:tcBorders>
              <w:bottom w:val="single" w:sz="4" w:space="0" w:color="auto"/>
            </w:tcBorders>
            <w:shd w:val="clear" w:color="auto" w:fill="BDD6EE" w:themeFill="accent1" w:themeFillTint="66"/>
          </w:tcPr>
          <w:p w14:paraId="5DC300AF" w14:textId="58A26046" w:rsidR="00C76702" w:rsidRPr="00B77326" w:rsidRDefault="00FA0D3C" w:rsidP="00EB7963">
            <w:pPr>
              <w:spacing w:before="60" w:after="60"/>
              <w:rPr>
                <w:rFonts w:ascii="Verdana" w:hAnsi="Verdana" w:cs="Times New Roman"/>
                <w:b/>
                <w:noProof/>
                <w:sz w:val="16"/>
                <w:szCs w:val="16"/>
              </w:rPr>
            </w:pPr>
            <w:r>
              <w:rPr>
                <w:rFonts w:ascii="Verdana" w:hAnsi="Verdana" w:cs="Times New Roman"/>
                <w:b/>
                <w:noProof/>
                <w:sz w:val="16"/>
                <w:szCs w:val="16"/>
              </w:rPr>
              <w:t>4</w:t>
            </w:r>
            <w:r w:rsidR="00C76702" w:rsidRPr="00B77326">
              <w:rPr>
                <w:rFonts w:ascii="Verdana" w:hAnsi="Verdana" w:cs="Times New Roman"/>
                <w:b/>
                <w:noProof/>
                <w:sz w:val="16"/>
                <w:szCs w:val="16"/>
              </w:rPr>
              <w:t xml:space="preserve">. Effectiveness in meeting the policy objectives [+] </w:t>
            </w:r>
          </w:p>
        </w:tc>
      </w:tr>
      <w:tr w:rsidR="00C76702" w14:paraId="39C4C288" w14:textId="77777777" w:rsidTr="009D6B1A">
        <w:tc>
          <w:tcPr>
            <w:tcW w:w="9889" w:type="dxa"/>
            <w:shd w:val="clear" w:color="auto" w:fill="DEEAF6" w:themeFill="accent1" w:themeFillTint="33"/>
          </w:tcPr>
          <w:p w14:paraId="59ABE1A5"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This policy option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 xml:space="preserve">address the objective of facilitating the implementation of the principle of equivalent access to information and intelligence held in another Member State while complying with fundamental rights and data protection requirements. </w:t>
            </w:r>
            <w:r w:rsidR="00F95A06" w:rsidRPr="00B77326">
              <w:rPr>
                <w:rFonts w:ascii="Verdana" w:hAnsi="Verdana" w:cs="Times New Roman"/>
                <w:noProof/>
                <w:sz w:val="16"/>
                <w:szCs w:val="16"/>
              </w:rPr>
              <w:t>If the later would be fully covered such would be the case for the former</w:t>
            </w:r>
            <w:r w:rsidR="00F95A06">
              <w:rPr>
                <w:rFonts w:ascii="Verdana" w:hAnsi="Verdana" w:cs="Times New Roman"/>
                <w:noProof/>
                <w:sz w:val="16"/>
                <w:szCs w:val="16"/>
              </w:rPr>
              <w:t>.</w:t>
            </w:r>
          </w:p>
          <w:p w14:paraId="31FC5E92" w14:textId="77777777" w:rsidR="00C76702" w:rsidRPr="00B77326"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 better respect of deadlines, including when a judicial authorisation is required, would </w:t>
            </w:r>
            <w:r w:rsidRPr="00B77326">
              <w:rPr>
                <w:rFonts w:ascii="Verdana" w:hAnsi="Verdana" w:cs="Times New Roman"/>
                <w:b/>
                <w:noProof/>
                <w:sz w:val="16"/>
                <w:szCs w:val="16"/>
              </w:rPr>
              <w:t>not</w:t>
            </w:r>
            <w:r w:rsidRPr="00B77326">
              <w:rPr>
                <w:rFonts w:ascii="Verdana" w:hAnsi="Verdana" w:cs="Times New Roman"/>
                <w:noProof/>
                <w:sz w:val="16"/>
                <w:szCs w:val="16"/>
              </w:rPr>
              <w:t xml:space="preserve"> be ensured. </w:t>
            </w:r>
          </w:p>
        </w:tc>
      </w:tr>
      <w:tr w:rsidR="00C76702" w14:paraId="42E8B4D1" w14:textId="77777777" w:rsidTr="009D6B1A">
        <w:tc>
          <w:tcPr>
            <w:tcW w:w="9889" w:type="dxa"/>
            <w:shd w:val="clear" w:color="auto" w:fill="BDD6EE" w:themeFill="accent1" w:themeFillTint="66"/>
          </w:tcPr>
          <w:p w14:paraId="4C67BDC9" w14:textId="3B187701" w:rsidR="00C76702" w:rsidRPr="00B77326" w:rsidRDefault="00FA0D3C" w:rsidP="00EB7963">
            <w:pPr>
              <w:spacing w:before="60" w:after="60"/>
              <w:rPr>
                <w:rFonts w:ascii="Verdana" w:hAnsi="Verdana" w:cs="Times New Roman"/>
                <w:noProof/>
                <w:sz w:val="16"/>
                <w:szCs w:val="16"/>
              </w:rPr>
            </w:pPr>
            <w:r>
              <w:rPr>
                <w:rFonts w:ascii="Verdana" w:hAnsi="Verdana" w:cs="Times New Roman"/>
                <w:b/>
                <w:noProof/>
                <w:sz w:val="16"/>
                <w:szCs w:val="16"/>
              </w:rPr>
              <w:t>5</w:t>
            </w:r>
            <w:r w:rsidR="00C76702" w:rsidRPr="00B77326">
              <w:rPr>
                <w:rFonts w:ascii="Verdana" w:hAnsi="Verdana" w:cs="Times New Roman"/>
                <w:b/>
                <w:noProof/>
                <w:sz w:val="16"/>
                <w:szCs w:val="16"/>
              </w:rPr>
              <w:t>. Efficiency in meeting the policy objectives [</w:t>
            </w:r>
            <w:r w:rsidR="00A04EF4">
              <w:rPr>
                <w:rFonts w:ascii="Verdana" w:hAnsi="Verdana" w:cs="Times New Roman"/>
                <w:b/>
                <w:noProof/>
                <w:sz w:val="16"/>
                <w:szCs w:val="16"/>
              </w:rPr>
              <w:t>++</w:t>
            </w:r>
            <w:r w:rsidR="00C76702" w:rsidRPr="00B77326">
              <w:rPr>
                <w:rFonts w:ascii="Verdana" w:hAnsi="Verdana" w:cs="Times New Roman"/>
                <w:b/>
                <w:noProof/>
                <w:sz w:val="16"/>
                <w:szCs w:val="16"/>
              </w:rPr>
              <w:t xml:space="preserve">] </w:t>
            </w:r>
          </w:p>
        </w:tc>
      </w:tr>
      <w:tr w:rsidR="00C76702" w14:paraId="2FDA8F68" w14:textId="77777777" w:rsidTr="009D6B1A">
        <w:tc>
          <w:tcPr>
            <w:tcW w:w="9889" w:type="dxa"/>
            <w:shd w:val="clear" w:color="auto" w:fill="DEEAF6" w:themeFill="accent1" w:themeFillTint="33"/>
          </w:tcPr>
          <w:p w14:paraId="746D85DF"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option may generate</w:t>
            </w:r>
            <w:r w:rsidRPr="00B77326">
              <w:rPr>
                <w:rFonts w:ascii="Verdana" w:hAnsi="Verdana" w:cs="Times New Roman"/>
                <w:b/>
                <w:noProof/>
                <w:sz w:val="16"/>
                <w:szCs w:val="16"/>
              </w:rPr>
              <w:t xml:space="preserve"> cost </w:t>
            </w:r>
            <w:r w:rsidRPr="00B77326">
              <w:rPr>
                <w:rFonts w:ascii="Verdana" w:hAnsi="Verdana" w:cs="Times New Roman"/>
                <w:noProof/>
                <w:sz w:val="16"/>
                <w:szCs w:val="16"/>
              </w:rPr>
              <w:t>at EU and Member States.</w:t>
            </w:r>
          </w:p>
          <w:p w14:paraId="28B5B4F3"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The extent of these costs may vary depending on the nature and scale of the soft measures.</w:t>
            </w:r>
          </w:p>
          <w:p w14:paraId="5DEB8858" w14:textId="6F61F0A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Some of these costs would already be covered </w:t>
            </w:r>
            <w:r w:rsidR="00E511E5">
              <w:rPr>
                <w:rFonts w:ascii="Verdana" w:hAnsi="Verdana" w:cs="Times New Roman"/>
                <w:noProof/>
                <w:sz w:val="16"/>
                <w:szCs w:val="16"/>
              </w:rPr>
              <w:t>by</w:t>
            </w:r>
            <w:r w:rsidRPr="00B77326">
              <w:rPr>
                <w:rFonts w:ascii="Verdana" w:hAnsi="Verdana" w:cs="Times New Roman"/>
                <w:noProof/>
                <w:sz w:val="16"/>
                <w:szCs w:val="16"/>
              </w:rPr>
              <w:t xml:space="preserve"> relevant EU agencies as part of their support functions to Member States (e.g. training).</w:t>
            </w:r>
            <w:r w:rsidR="00A04EF4">
              <w:rPr>
                <w:rFonts w:ascii="Verdana" w:hAnsi="Verdana" w:cs="Times New Roman"/>
                <w:noProof/>
                <w:sz w:val="16"/>
                <w:szCs w:val="16"/>
              </w:rPr>
              <w:t xml:space="preserve"> They don't outweight benefits</w:t>
            </w:r>
            <w:r w:rsidR="005C56D4">
              <w:rPr>
                <w:rFonts w:ascii="Verdana" w:hAnsi="Verdana" w:cs="Times New Roman"/>
                <w:noProof/>
                <w:sz w:val="16"/>
                <w:szCs w:val="16"/>
              </w:rPr>
              <w:t>.</w:t>
            </w:r>
          </w:p>
        </w:tc>
      </w:tr>
      <w:tr w:rsidR="00C76702" w14:paraId="49741E36" w14:textId="77777777" w:rsidTr="009D6B1A">
        <w:tc>
          <w:tcPr>
            <w:tcW w:w="9889" w:type="dxa"/>
            <w:tcBorders>
              <w:bottom w:val="single" w:sz="4" w:space="0" w:color="auto"/>
            </w:tcBorders>
            <w:shd w:val="clear" w:color="auto" w:fill="BDD6EE" w:themeFill="accent1" w:themeFillTint="66"/>
          </w:tcPr>
          <w:p w14:paraId="6EBC50C9" w14:textId="1389A6F7" w:rsidR="00C76702" w:rsidRPr="00B77326" w:rsidRDefault="00FA0D3C" w:rsidP="005D0A3D">
            <w:pPr>
              <w:spacing w:before="60" w:after="60"/>
              <w:rPr>
                <w:rFonts w:ascii="Verdana" w:hAnsi="Verdana" w:cs="Times New Roman"/>
                <w:b/>
                <w:noProof/>
                <w:sz w:val="16"/>
                <w:szCs w:val="16"/>
              </w:rPr>
            </w:pPr>
            <w:r>
              <w:rPr>
                <w:rFonts w:ascii="Verdana" w:hAnsi="Verdana" w:cs="Times New Roman"/>
                <w:b/>
                <w:noProof/>
                <w:sz w:val="16"/>
                <w:szCs w:val="16"/>
              </w:rPr>
              <w:t>6</w:t>
            </w:r>
            <w:r w:rsidR="00C76702" w:rsidRPr="00B77326">
              <w:rPr>
                <w:rFonts w:ascii="Verdana" w:hAnsi="Verdana" w:cs="Times New Roman"/>
                <w:b/>
                <w:noProof/>
                <w:sz w:val="16"/>
                <w:szCs w:val="16"/>
              </w:rPr>
              <w:t>. Legal feasibility [++]</w:t>
            </w:r>
          </w:p>
        </w:tc>
      </w:tr>
      <w:tr w:rsidR="00C76702" w14:paraId="5901D072" w14:textId="77777777" w:rsidTr="009D6B1A">
        <w:tc>
          <w:tcPr>
            <w:tcW w:w="9889" w:type="dxa"/>
            <w:shd w:val="clear" w:color="auto" w:fill="DEEAF6" w:themeFill="accent1" w:themeFillTint="33"/>
          </w:tcPr>
          <w:p w14:paraId="06B7ECBD" w14:textId="77777777" w:rsidR="00005AEB" w:rsidRPr="005D0A3D" w:rsidRDefault="005D0A3D" w:rsidP="000B505F">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Pr>
                <w:rFonts w:ascii="Verdana" w:hAnsi="Verdana" w:cs="Times New Roman"/>
                <w:noProof/>
                <w:sz w:val="16"/>
                <w:szCs w:val="16"/>
              </w:rPr>
              <w:t>This policy option will</w:t>
            </w:r>
            <w:r w:rsidRPr="00B77326">
              <w:rPr>
                <w:rFonts w:ascii="Verdana" w:hAnsi="Verdana" w:cs="Times New Roman"/>
                <w:noProof/>
                <w:sz w:val="16"/>
                <w:szCs w:val="16"/>
              </w:rPr>
              <w:t xml:space="preserve"> require changes to the </w:t>
            </w:r>
            <w:r w:rsidR="00D36842">
              <w:rPr>
                <w:rFonts w:ascii="Verdana" w:hAnsi="Verdana" w:cs="Times New Roman"/>
                <w:noProof/>
                <w:sz w:val="16"/>
                <w:szCs w:val="16"/>
              </w:rPr>
              <w:t xml:space="preserve">2006 </w:t>
            </w:r>
            <w:r w:rsidRPr="00B77326">
              <w:rPr>
                <w:rFonts w:ascii="Verdana" w:hAnsi="Verdana" w:cs="Times New Roman"/>
                <w:noProof/>
                <w:sz w:val="16"/>
                <w:szCs w:val="16"/>
              </w:rPr>
              <w:t>Swedish Framework Decision</w:t>
            </w:r>
            <w:r w:rsidR="00005AEB">
              <w:rPr>
                <w:rFonts w:ascii="Verdana" w:hAnsi="Verdana" w:cs="Times New Roman"/>
                <w:noProof/>
                <w:sz w:val="16"/>
                <w:szCs w:val="16"/>
              </w:rPr>
              <w:t>. It</w:t>
            </w:r>
            <w:r w:rsidR="00005AEB">
              <w:rPr>
                <w:noProof/>
              </w:rPr>
              <w:t xml:space="preserve"> </w:t>
            </w:r>
            <w:r w:rsidR="00005AEB" w:rsidRPr="00704502">
              <w:rPr>
                <w:rFonts w:ascii="Verdana" w:hAnsi="Verdana"/>
                <w:noProof/>
                <w:sz w:val="16"/>
              </w:rPr>
              <w:t>ensures the</w:t>
            </w:r>
            <w:r w:rsidR="00005AEB" w:rsidRPr="00704502">
              <w:rPr>
                <w:noProof/>
                <w:sz w:val="16"/>
              </w:rPr>
              <w:t xml:space="preserve"> </w:t>
            </w:r>
            <w:r w:rsidR="00005AEB" w:rsidRPr="00704502">
              <w:rPr>
                <w:rFonts w:ascii="Verdana" w:hAnsi="Verdana"/>
                <w:noProof/>
                <w:sz w:val="16"/>
              </w:rPr>
              <w:t>respect</w:t>
            </w:r>
            <w:r w:rsidR="00005AEB">
              <w:rPr>
                <w:rFonts w:ascii="Verdana" w:hAnsi="Verdana"/>
                <w:noProof/>
                <w:sz w:val="16"/>
              </w:rPr>
              <w:t xml:space="preserve"> of the </w:t>
            </w:r>
            <w:r w:rsidR="00005AEB" w:rsidRPr="00704502">
              <w:rPr>
                <w:rFonts w:ascii="Verdana" w:hAnsi="Verdana"/>
                <w:noProof/>
                <w:sz w:val="16"/>
              </w:rPr>
              <w:t>conferral</w:t>
            </w:r>
            <w:r w:rsidR="00005AEB">
              <w:rPr>
                <w:rFonts w:ascii="Verdana" w:hAnsi="Verdana"/>
                <w:noProof/>
                <w:sz w:val="16"/>
              </w:rPr>
              <w:t xml:space="preserve"> of powers </w:t>
            </w:r>
            <w:r w:rsidR="00005AEB" w:rsidRPr="00704502">
              <w:rPr>
                <w:rFonts w:ascii="Verdana" w:hAnsi="Verdana"/>
                <w:noProof/>
                <w:sz w:val="16"/>
              </w:rPr>
              <w:t xml:space="preserve">and </w:t>
            </w:r>
            <w:r w:rsidR="00005AEB">
              <w:rPr>
                <w:rFonts w:ascii="Verdana" w:hAnsi="Verdana"/>
                <w:noProof/>
                <w:sz w:val="16"/>
              </w:rPr>
              <w:t xml:space="preserve">of </w:t>
            </w:r>
            <w:r w:rsidR="00005AEB" w:rsidRPr="00704502">
              <w:rPr>
                <w:rFonts w:ascii="Verdana" w:hAnsi="Verdana"/>
                <w:noProof/>
                <w:sz w:val="16"/>
              </w:rPr>
              <w:t>fundamental rights</w:t>
            </w:r>
            <w:r w:rsidR="00005AEB">
              <w:rPr>
                <w:rFonts w:ascii="Verdana" w:hAnsi="Verdana"/>
                <w:noProof/>
                <w:sz w:val="16"/>
              </w:rPr>
              <w:t>.</w:t>
            </w:r>
          </w:p>
        </w:tc>
      </w:tr>
      <w:tr w:rsidR="005D0A3D" w14:paraId="522FD278" w14:textId="77777777" w:rsidTr="000D468B">
        <w:tc>
          <w:tcPr>
            <w:tcW w:w="9889" w:type="dxa"/>
            <w:shd w:val="clear" w:color="auto" w:fill="BDD6EE" w:themeFill="accent1" w:themeFillTint="66"/>
          </w:tcPr>
          <w:p w14:paraId="35A691B0" w14:textId="4DECB791" w:rsidR="005D0A3D" w:rsidRPr="005D0A3D" w:rsidRDefault="00FA0D3C" w:rsidP="005D0A3D">
            <w:pPr>
              <w:widowControl w:val="0"/>
              <w:adjustRightInd w:val="0"/>
              <w:spacing w:before="60" w:after="60" w:line="240" w:lineRule="auto"/>
              <w:jc w:val="both"/>
              <w:textAlignment w:val="baseline"/>
              <w:rPr>
                <w:rFonts w:ascii="Verdana" w:hAnsi="Verdana" w:cs="Times New Roman"/>
                <w:noProof/>
                <w:sz w:val="16"/>
                <w:szCs w:val="16"/>
              </w:rPr>
            </w:pPr>
            <w:r>
              <w:rPr>
                <w:rFonts w:ascii="Verdana" w:hAnsi="Verdana"/>
                <w:b/>
                <w:noProof/>
                <w:sz w:val="16"/>
                <w:szCs w:val="16"/>
              </w:rPr>
              <w:t>7</w:t>
            </w:r>
            <w:r w:rsidR="005D0A3D">
              <w:rPr>
                <w:rFonts w:ascii="Verdana" w:hAnsi="Verdana"/>
                <w:b/>
                <w:noProof/>
                <w:sz w:val="16"/>
                <w:szCs w:val="16"/>
              </w:rPr>
              <w:t>. technical feasibility [+++]</w:t>
            </w:r>
          </w:p>
        </w:tc>
      </w:tr>
      <w:tr w:rsidR="005D0A3D" w14:paraId="0FC091C1" w14:textId="77777777" w:rsidTr="009D6B1A">
        <w:tc>
          <w:tcPr>
            <w:tcW w:w="9889" w:type="dxa"/>
            <w:shd w:val="clear" w:color="auto" w:fill="DEEAF6" w:themeFill="accent1" w:themeFillTint="33"/>
          </w:tcPr>
          <w:p w14:paraId="0FAA3504" w14:textId="77777777" w:rsidR="005D0A3D" w:rsidRDefault="005D0A3D"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policy option would be technically feasible.</w:t>
            </w:r>
            <w:r w:rsidR="00417C64">
              <w:rPr>
                <w:noProof/>
              </w:rPr>
              <w:t xml:space="preserve"> </w:t>
            </w:r>
            <w:r w:rsidR="00417C64" w:rsidRPr="00417C64">
              <w:rPr>
                <w:rFonts w:ascii="Verdana" w:hAnsi="Verdana"/>
                <w:noProof/>
                <w:sz w:val="16"/>
                <w:szCs w:val="16"/>
              </w:rPr>
              <w:t>Member States would need to take the necessary steps to ensure</w:t>
            </w:r>
            <w:r w:rsidR="00417C64" w:rsidRPr="00417C64">
              <w:rPr>
                <w:noProof/>
                <w:sz w:val="18"/>
              </w:rPr>
              <w:t xml:space="preserve"> </w:t>
            </w:r>
            <w:r w:rsidR="00417C64">
              <w:rPr>
                <w:noProof/>
                <w:sz w:val="18"/>
              </w:rPr>
              <w:t>the implementation of updated guidances and related trainings.</w:t>
            </w:r>
          </w:p>
        </w:tc>
      </w:tr>
      <w:tr w:rsidR="00C76702" w14:paraId="52249ECB" w14:textId="77777777" w:rsidTr="009D6B1A">
        <w:tc>
          <w:tcPr>
            <w:tcW w:w="9889" w:type="dxa"/>
            <w:tcBorders>
              <w:bottom w:val="single" w:sz="4" w:space="0" w:color="auto"/>
            </w:tcBorders>
            <w:shd w:val="clear" w:color="auto" w:fill="BDD6EE" w:themeFill="accent1" w:themeFillTint="66"/>
          </w:tcPr>
          <w:p w14:paraId="19A7B703" w14:textId="3CEFDBF7"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8</w:t>
            </w:r>
            <w:r w:rsidR="00C76702" w:rsidRPr="00B77326">
              <w:rPr>
                <w:rFonts w:ascii="Verdana" w:hAnsi="Verdana" w:cs="Times New Roman"/>
                <w:b/>
                <w:noProof/>
                <w:sz w:val="16"/>
                <w:szCs w:val="16"/>
              </w:rPr>
              <w:t xml:space="preserve">. Coherence with other measures [+] </w:t>
            </w:r>
          </w:p>
        </w:tc>
      </w:tr>
      <w:tr w:rsidR="00C76702" w14:paraId="4FE126C4" w14:textId="77777777" w:rsidTr="009D6B1A">
        <w:trPr>
          <w:trHeight w:val="425"/>
        </w:trPr>
        <w:tc>
          <w:tcPr>
            <w:tcW w:w="9889" w:type="dxa"/>
            <w:tcBorders>
              <w:bottom w:val="single" w:sz="4" w:space="0" w:color="auto"/>
            </w:tcBorders>
            <w:shd w:val="clear" w:color="auto" w:fill="DEEAF6" w:themeFill="accent1" w:themeFillTint="33"/>
          </w:tcPr>
          <w:p w14:paraId="61ECAE22" w14:textId="77777777" w:rsidR="00C76702" w:rsidRPr="00B77326" w:rsidRDefault="00C76702" w:rsidP="00900BC7">
            <w:pPr>
              <w:pStyle w:val="ListParagraph"/>
              <w:widowControl w:val="0"/>
              <w:numPr>
                <w:ilvl w:val="0"/>
                <w:numId w:val="30"/>
              </w:numPr>
              <w:adjustRightInd w:val="0"/>
              <w:spacing w:before="60" w:after="120" w:line="240" w:lineRule="auto"/>
              <w:ind w:left="714" w:hanging="357"/>
              <w:contextualSpacing w:val="0"/>
              <w:jc w:val="both"/>
              <w:textAlignment w:val="baseline"/>
              <w:rPr>
                <w:rFonts w:ascii="Verdana" w:hAnsi="Verdana" w:cs="Times New Roman"/>
                <w:b/>
                <w:noProof/>
                <w:sz w:val="16"/>
                <w:szCs w:val="16"/>
              </w:rPr>
            </w:pPr>
            <w:r w:rsidRPr="00B77326">
              <w:rPr>
                <w:rFonts w:ascii="Verdana" w:hAnsi="Verdana" w:cs="Times New Roman"/>
                <w:noProof/>
                <w:sz w:val="16"/>
                <w:szCs w:val="16"/>
              </w:rPr>
              <w:t xml:space="preserve">This policy option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complement other Commission initiatives such as the Commission proposals for a new Schengen border code, for Prüm II on automat</w:t>
            </w:r>
            <w:r w:rsidR="001B37D1">
              <w:rPr>
                <w:rFonts w:ascii="Verdana" w:hAnsi="Verdana" w:cs="Times New Roman"/>
                <w:noProof/>
                <w:sz w:val="16"/>
                <w:szCs w:val="16"/>
              </w:rPr>
              <w:t>ed information exchange</w:t>
            </w:r>
            <w:r w:rsidRPr="00B77326">
              <w:rPr>
                <w:rFonts w:ascii="Verdana" w:hAnsi="Verdana" w:cs="Times New Roman"/>
                <w:noProof/>
                <w:sz w:val="16"/>
                <w:szCs w:val="16"/>
              </w:rPr>
              <w:t xml:space="preserve"> and for Europol.</w:t>
            </w:r>
          </w:p>
        </w:tc>
      </w:tr>
    </w:tbl>
    <w:p w14:paraId="0B9913EF" w14:textId="77777777" w:rsidR="00C76702" w:rsidRDefault="00C76702" w:rsidP="00C76702">
      <w:pPr>
        <w:pStyle w:val="Text1"/>
        <w:spacing w:after="120"/>
        <w:ind w:left="0"/>
        <w:rPr>
          <w:noProof/>
        </w:rPr>
      </w:pPr>
    </w:p>
    <w:p w14:paraId="0A9E6C6D" w14:textId="77777777" w:rsidR="00C76702" w:rsidRPr="00C62577" w:rsidRDefault="00C76702" w:rsidP="00704502">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120"/>
        <w:ind w:left="0"/>
        <w:rPr>
          <w:b/>
          <w:noProof/>
          <w:u w:val="single"/>
        </w:rPr>
      </w:pPr>
      <w:r w:rsidRPr="00C62577">
        <w:rPr>
          <w:b/>
          <w:noProof/>
          <w:u w:val="single"/>
        </w:rPr>
        <w:t xml:space="preserve">Policy option </w:t>
      </w:r>
      <w:r w:rsidR="001C5034">
        <w:rPr>
          <w:b/>
          <w:noProof/>
          <w:u w:val="single"/>
        </w:rPr>
        <w:t>1.</w:t>
      </w:r>
      <w:r w:rsidRPr="00C62577">
        <w:rPr>
          <w:b/>
          <w:noProof/>
          <w:u w:val="single"/>
        </w:rPr>
        <w:t>2:</w:t>
      </w:r>
      <w:r w:rsidRPr="00C62577">
        <w:rPr>
          <w:b/>
          <w:noProof/>
        </w:rPr>
        <w:t xml:space="preserve"> </w:t>
      </w:r>
      <w:r>
        <w:rPr>
          <w:b/>
          <w:noProof/>
          <w:szCs w:val="24"/>
        </w:rPr>
        <w:t>Option 1</w:t>
      </w:r>
      <w:r w:rsidR="002D599A">
        <w:rPr>
          <w:b/>
          <w:noProof/>
          <w:szCs w:val="24"/>
        </w:rPr>
        <w:t>.</w:t>
      </w:r>
      <w:r w:rsidR="001C5034">
        <w:rPr>
          <w:b/>
          <w:noProof/>
          <w:szCs w:val="24"/>
        </w:rPr>
        <w:t>1</w:t>
      </w:r>
      <w:r>
        <w:rPr>
          <w:b/>
          <w:noProof/>
          <w:szCs w:val="24"/>
        </w:rPr>
        <w:t xml:space="preserve"> + </w:t>
      </w:r>
      <w:r w:rsidR="00E960D1">
        <w:rPr>
          <w:b/>
          <w:noProof/>
          <w:szCs w:val="24"/>
        </w:rPr>
        <w:t xml:space="preserve">simplification in the use of the SFD + </w:t>
      </w:r>
      <w:r w:rsidR="00E960D1" w:rsidRPr="00085982">
        <w:rPr>
          <w:b/>
          <w:noProof/>
          <w:szCs w:val="16"/>
        </w:rPr>
        <w:t>improve clarity on the national data sets available for possible exchange</w:t>
      </w:r>
    </w:p>
    <w:p w14:paraId="7AB258B4" w14:textId="77777777" w:rsidR="00C76702" w:rsidRPr="0032290C" w:rsidRDefault="00C76702" w:rsidP="00C76702">
      <w:pPr>
        <w:pStyle w:val="Body"/>
        <w:spacing w:after="0"/>
        <w:rPr>
          <w:rFonts w:ascii="Times New Roman" w:hAnsi="Times New Roman"/>
          <w:noProof/>
          <w:sz w:val="16"/>
          <w:szCs w:val="16"/>
        </w:rPr>
      </w:pPr>
    </w:p>
    <w:tbl>
      <w:tblPr>
        <w:tblStyle w:val="TableGrid1"/>
        <w:tblW w:w="9889" w:type="dxa"/>
        <w:tblLook w:val="04A0" w:firstRow="1" w:lastRow="0" w:firstColumn="1" w:lastColumn="0" w:noHBand="0" w:noVBand="1"/>
      </w:tblPr>
      <w:tblGrid>
        <w:gridCol w:w="9889"/>
      </w:tblGrid>
      <w:tr w:rsidR="00C76702" w:rsidRPr="00CC4C89" w14:paraId="0D092F26" w14:textId="77777777" w:rsidTr="009D6B1A">
        <w:tc>
          <w:tcPr>
            <w:tcW w:w="9889" w:type="dxa"/>
            <w:tcBorders>
              <w:bottom w:val="single" w:sz="4" w:space="0" w:color="auto"/>
            </w:tcBorders>
            <w:shd w:val="clear" w:color="auto" w:fill="9CC2E5" w:themeFill="accent1" w:themeFillTint="99"/>
          </w:tcPr>
          <w:p w14:paraId="2701D9B1" w14:textId="77777777" w:rsidR="00C76702" w:rsidRPr="00B77326" w:rsidRDefault="00C76702" w:rsidP="00EB7963">
            <w:pPr>
              <w:spacing w:before="60" w:after="60"/>
              <w:jc w:val="center"/>
              <w:rPr>
                <w:rFonts w:ascii="Verdana" w:hAnsi="Verdana" w:cs="Times New Roman"/>
                <w:b/>
                <w:noProof/>
                <w:sz w:val="16"/>
                <w:szCs w:val="16"/>
              </w:rPr>
            </w:pPr>
            <w:r w:rsidRPr="00B77326">
              <w:rPr>
                <w:rFonts w:ascii="Verdana" w:hAnsi="Verdana" w:cs="Times New Roman"/>
                <w:b/>
                <w:noProof/>
                <w:sz w:val="16"/>
                <w:szCs w:val="16"/>
              </w:rPr>
              <w:t xml:space="preserve">Expected impact of policy option </w:t>
            </w:r>
            <w:r w:rsidR="001C5034">
              <w:rPr>
                <w:rFonts w:ascii="Verdana" w:hAnsi="Verdana" w:cs="Times New Roman"/>
                <w:b/>
                <w:noProof/>
                <w:sz w:val="16"/>
                <w:szCs w:val="16"/>
              </w:rPr>
              <w:t>1.</w:t>
            </w:r>
            <w:r w:rsidRPr="00B77326">
              <w:rPr>
                <w:rFonts w:ascii="Verdana" w:hAnsi="Verdana" w:cs="Times New Roman"/>
                <w:b/>
                <w:noProof/>
                <w:sz w:val="16"/>
                <w:szCs w:val="16"/>
              </w:rPr>
              <w:t>2</w:t>
            </w:r>
          </w:p>
        </w:tc>
      </w:tr>
      <w:tr w:rsidR="00C76702" w:rsidRPr="00CC4C89" w14:paraId="4225C2E3" w14:textId="77777777" w:rsidTr="009D6B1A">
        <w:tc>
          <w:tcPr>
            <w:tcW w:w="9889" w:type="dxa"/>
            <w:tcBorders>
              <w:bottom w:val="single" w:sz="4" w:space="0" w:color="auto"/>
            </w:tcBorders>
            <w:shd w:val="clear" w:color="auto" w:fill="BDD6EE" w:themeFill="accent1" w:themeFillTint="66"/>
          </w:tcPr>
          <w:p w14:paraId="34628219"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rsidRPr="00CC4C89" w14:paraId="7D76DF91" w14:textId="77777777" w:rsidTr="009D6B1A">
        <w:tc>
          <w:tcPr>
            <w:tcW w:w="9889" w:type="dxa"/>
            <w:shd w:val="clear" w:color="auto" w:fill="DEEAF6" w:themeFill="accent1" w:themeFillTint="33"/>
          </w:tcPr>
          <w:p w14:paraId="3DB25515"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Significant positive impact</w:t>
            </w:r>
            <w:r w:rsidRPr="00B77326">
              <w:rPr>
                <w:rFonts w:ascii="Verdana" w:hAnsi="Verdana" w:cs="Times New Roman"/>
                <w:noProof/>
                <w:sz w:val="16"/>
                <w:szCs w:val="16"/>
              </w:rPr>
              <w:t xml:space="preserve"> to the security of the European citizens and societies. On top of option 1</w:t>
            </w:r>
            <w:r w:rsidR="00AB352C">
              <w:rPr>
                <w:rFonts w:ascii="Verdana" w:hAnsi="Verdana" w:cs="Times New Roman"/>
                <w:noProof/>
                <w:sz w:val="16"/>
                <w:szCs w:val="16"/>
              </w:rPr>
              <w:t>.1</w:t>
            </w:r>
            <w:r w:rsidRPr="00B77326">
              <w:rPr>
                <w:rFonts w:ascii="Verdana" w:hAnsi="Verdana" w:cs="Times New Roman"/>
                <w:noProof/>
                <w:sz w:val="16"/>
                <w:szCs w:val="16"/>
              </w:rPr>
              <w:t xml:space="preserve">, the </w:t>
            </w:r>
            <w:r w:rsidR="000E3625">
              <w:rPr>
                <w:rFonts w:ascii="Verdana" w:hAnsi="Verdana" w:cs="Times New Roman"/>
                <w:noProof/>
                <w:sz w:val="16"/>
                <w:szCs w:val="16"/>
              </w:rPr>
              <w:t xml:space="preserve">simplication in the use of the SFD and improved clarity </w:t>
            </w:r>
            <w:r w:rsidR="00BF46A4">
              <w:rPr>
                <w:rFonts w:ascii="Verdana" w:hAnsi="Verdana" w:cs="Times New Roman"/>
                <w:noProof/>
                <w:sz w:val="16"/>
                <w:szCs w:val="16"/>
              </w:rPr>
              <w:t>on the natio</w:t>
            </w:r>
            <w:r w:rsidR="000E3625">
              <w:rPr>
                <w:rFonts w:ascii="Verdana" w:hAnsi="Verdana" w:cs="Times New Roman"/>
                <w:noProof/>
                <w:sz w:val="16"/>
                <w:szCs w:val="16"/>
              </w:rPr>
              <w:t>n</w:t>
            </w:r>
            <w:r w:rsidR="00BF46A4">
              <w:rPr>
                <w:rFonts w:ascii="Verdana" w:hAnsi="Verdana" w:cs="Times New Roman"/>
                <w:noProof/>
                <w:sz w:val="16"/>
                <w:szCs w:val="16"/>
              </w:rPr>
              <w:t>a</w:t>
            </w:r>
            <w:r w:rsidR="000E3625">
              <w:rPr>
                <w:rFonts w:ascii="Verdana" w:hAnsi="Verdana" w:cs="Times New Roman"/>
                <w:noProof/>
                <w:sz w:val="16"/>
                <w:szCs w:val="16"/>
              </w:rPr>
              <w:t xml:space="preserve">l data sets </w:t>
            </w:r>
            <w:r w:rsidRPr="00B77326">
              <w:rPr>
                <w:rFonts w:ascii="Verdana" w:hAnsi="Verdana" w:cs="Times New Roman"/>
                <w:noProof/>
                <w:sz w:val="16"/>
                <w:szCs w:val="16"/>
              </w:rPr>
              <w:t>available to law enforcement authorities of other Member States would</w:t>
            </w:r>
            <w:r w:rsidRPr="00B77326">
              <w:rPr>
                <w:rFonts w:ascii="Verdana" w:hAnsi="Verdana" w:cs="Times New Roman"/>
                <w:b/>
                <w:noProof/>
                <w:sz w:val="16"/>
                <w:szCs w:val="16"/>
              </w:rPr>
              <w:t xml:space="preserve"> significantly </w:t>
            </w:r>
            <w:r w:rsidRPr="00B77326">
              <w:rPr>
                <w:rFonts w:ascii="Verdana" w:hAnsi="Verdana" w:cs="Times New Roman"/>
                <w:noProof/>
                <w:sz w:val="16"/>
                <w:szCs w:val="16"/>
              </w:rPr>
              <w:t xml:space="preserve">support Member States to more effectively counter any forms of </w:t>
            </w:r>
            <w:r w:rsidR="007D27F6">
              <w:rPr>
                <w:rFonts w:ascii="Verdana" w:hAnsi="Verdana" w:cs="Times New Roman"/>
                <w:noProof/>
                <w:sz w:val="16"/>
                <w:szCs w:val="16"/>
              </w:rPr>
              <w:t>criminal offences</w:t>
            </w:r>
            <w:r w:rsidRPr="00B77326">
              <w:rPr>
                <w:rFonts w:ascii="Verdana" w:hAnsi="Verdana" w:cs="Times New Roman"/>
                <w:noProof/>
                <w:sz w:val="16"/>
                <w:szCs w:val="16"/>
              </w:rPr>
              <w:t xml:space="preserve">. This would also </w:t>
            </w:r>
            <w:r w:rsidRPr="00B77326">
              <w:rPr>
                <w:rFonts w:ascii="Verdana" w:hAnsi="Verdana" w:cs="Times New Roman"/>
                <w:b/>
                <w:noProof/>
                <w:sz w:val="16"/>
                <w:szCs w:val="16"/>
              </w:rPr>
              <w:t>moderately</w:t>
            </w:r>
            <w:r w:rsidRPr="00B77326">
              <w:rPr>
                <w:rFonts w:ascii="Verdana" w:hAnsi="Verdana" w:cs="Times New Roman"/>
                <w:noProof/>
                <w:sz w:val="16"/>
                <w:szCs w:val="16"/>
              </w:rPr>
              <w:t xml:space="preserve"> reduce undue delays in the information sharing.</w:t>
            </w:r>
            <w:r w:rsidR="00E661AF" w:rsidRPr="00B77326">
              <w:rPr>
                <w:bCs/>
                <w:noProof/>
                <w:sz w:val="16"/>
                <w:szCs w:val="16"/>
              </w:rPr>
              <w:t xml:space="preserve"> </w:t>
            </w:r>
          </w:p>
        </w:tc>
      </w:tr>
      <w:tr w:rsidR="00C76702" w:rsidRPr="00CC4C89" w14:paraId="421E6C8E" w14:textId="77777777" w:rsidTr="009D6B1A">
        <w:tc>
          <w:tcPr>
            <w:tcW w:w="9889" w:type="dxa"/>
            <w:tcBorders>
              <w:bottom w:val="single" w:sz="4" w:space="0" w:color="auto"/>
            </w:tcBorders>
            <w:shd w:val="clear" w:color="auto" w:fill="BDD6EE" w:themeFill="accent1" w:themeFillTint="66"/>
          </w:tcPr>
          <w:p w14:paraId="546BAED1"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rsidRPr="00CC4C89" w14:paraId="7C9F61A0" w14:textId="77777777" w:rsidTr="009D6B1A">
        <w:tc>
          <w:tcPr>
            <w:tcW w:w="9889" w:type="dxa"/>
            <w:shd w:val="clear" w:color="auto" w:fill="DEEAF6" w:themeFill="accent1" w:themeFillTint="33"/>
          </w:tcPr>
          <w:p w14:paraId="24375B41"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Significant positive impact</w:t>
            </w:r>
            <w:r w:rsidRPr="00B77326">
              <w:rPr>
                <w:rFonts w:ascii="Verdana" w:hAnsi="Verdana" w:cs="Times New Roman"/>
                <w:noProof/>
                <w:sz w:val="16"/>
                <w:szCs w:val="16"/>
              </w:rPr>
              <w:t xml:space="preserve"> on national authorities, which could </w:t>
            </w:r>
            <w:r w:rsidRPr="00B77326">
              <w:rPr>
                <w:rFonts w:ascii="Verdana" w:hAnsi="Verdana" w:cs="Times New Roman"/>
                <w:b/>
                <w:noProof/>
                <w:sz w:val="16"/>
                <w:szCs w:val="16"/>
              </w:rPr>
              <w:t xml:space="preserve">significantly </w:t>
            </w:r>
            <w:r w:rsidRPr="00B77326">
              <w:rPr>
                <w:rFonts w:ascii="Verdana" w:hAnsi="Verdana" w:cs="Times New Roman"/>
                <w:noProof/>
                <w:sz w:val="16"/>
                <w:szCs w:val="16"/>
              </w:rPr>
              <w:t>contribute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 xml:space="preserve">to efficiently combat </w:t>
            </w:r>
            <w:r w:rsidR="007D27F6">
              <w:rPr>
                <w:rFonts w:ascii="Verdana" w:hAnsi="Verdana" w:cs="Times New Roman"/>
                <w:noProof/>
                <w:sz w:val="16"/>
                <w:szCs w:val="16"/>
              </w:rPr>
              <w:t>criminal offences</w:t>
            </w:r>
            <w:r w:rsidRPr="00B77326">
              <w:rPr>
                <w:rFonts w:ascii="Verdana" w:hAnsi="Verdana" w:cs="Times New Roman"/>
                <w:noProof/>
                <w:sz w:val="16"/>
                <w:szCs w:val="16"/>
              </w:rPr>
              <w:t xml:space="preserve">, because of the </w:t>
            </w:r>
            <w:r w:rsidR="00BF46A4">
              <w:rPr>
                <w:rFonts w:ascii="Verdana" w:hAnsi="Verdana" w:cs="Times New Roman"/>
                <w:noProof/>
                <w:sz w:val="16"/>
                <w:szCs w:val="16"/>
              </w:rPr>
              <w:t>swifter information exchange</w:t>
            </w:r>
            <w:r w:rsidRPr="00B77326">
              <w:rPr>
                <w:rFonts w:ascii="Verdana" w:hAnsi="Verdana" w:cs="Times New Roman"/>
                <w:noProof/>
                <w:sz w:val="16"/>
                <w:szCs w:val="16"/>
              </w:rPr>
              <w:t xml:space="preserve">. </w:t>
            </w:r>
          </w:p>
          <w:p w14:paraId="7AB49404"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A </w:t>
            </w:r>
            <w:r w:rsidRPr="00B77326">
              <w:rPr>
                <w:rFonts w:ascii="Verdana" w:hAnsi="Verdana" w:cs="Times New Roman"/>
                <w:b/>
                <w:noProof/>
                <w:sz w:val="16"/>
                <w:szCs w:val="16"/>
              </w:rPr>
              <w:t>moderate</w:t>
            </w:r>
            <w:r w:rsidRPr="00B77326">
              <w:rPr>
                <w:rFonts w:ascii="Verdana" w:hAnsi="Verdana" w:cs="Times New Roman"/>
                <w:noProof/>
                <w:sz w:val="16"/>
                <w:szCs w:val="16"/>
              </w:rPr>
              <w:t xml:space="preserve"> negative impact would be a </w:t>
            </w:r>
            <w:r w:rsidRPr="00B77326">
              <w:rPr>
                <w:rFonts w:ascii="Verdana" w:hAnsi="Verdana" w:cs="Times New Roman"/>
                <w:b/>
                <w:noProof/>
                <w:sz w:val="16"/>
                <w:szCs w:val="16"/>
              </w:rPr>
              <w:t>possible</w:t>
            </w:r>
            <w:r w:rsidRPr="00B77326">
              <w:rPr>
                <w:rFonts w:ascii="Verdana" w:hAnsi="Verdana" w:cs="Times New Roman"/>
                <w:noProof/>
                <w:sz w:val="16"/>
                <w:szCs w:val="16"/>
              </w:rPr>
              <w:t xml:space="preserve"> </w:t>
            </w:r>
            <w:r w:rsidRPr="00B77326">
              <w:rPr>
                <w:rFonts w:ascii="Verdana" w:hAnsi="Verdana" w:cs="Times New Roman"/>
                <w:b/>
                <w:noProof/>
                <w:sz w:val="16"/>
                <w:szCs w:val="16"/>
              </w:rPr>
              <w:t>moderate</w:t>
            </w:r>
            <w:r w:rsidRPr="00B77326">
              <w:rPr>
                <w:rFonts w:ascii="Verdana" w:hAnsi="Verdana" w:cs="Times New Roman"/>
                <w:noProof/>
                <w:sz w:val="16"/>
                <w:szCs w:val="16"/>
              </w:rPr>
              <w:t xml:space="preserve"> workoad increase for national SPOCs.</w:t>
            </w:r>
          </w:p>
        </w:tc>
      </w:tr>
      <w:tr w:rsidR="00C76702" w:rsidRPr="00CC4C89" w14:paraId="54060A0F" w14:textId="77777777" w:rsidTr="009D6B1A">
        <w:tc>
          <w:tcPr>
            <w:tcW w:w="9889" w:type="dxa"/>
            <w:tcBorders>
              <w:bottom w:val="single" w:sz="4" w:space="0" w:color="auto"/>
            </w:tcBorders>
            <w:shd w:val="clear" w:color="auto" w:fill="BDD6EE" w:themeFill="accent1" w:themeFillTint="66"/>
          </w:tcPr>
          <w:p w14:paraId="097120DA"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rsidRPr="00CC4C89" w14:paraId="13B15D4E" w14:textId="77777777" w:rsidTr="009D6B1A">
        <w:tc>
          <w:tcPr>
            <w:tcW w:w="9889" w:type="dxa"/>
            <w:shd w:val="clear" w:color="auto" w:fill="DEEAF6" w:themeFill="accent1" w:themeFillTint="33"/>
          </w:tcPr>
          <w:p w14:paraId="06BCCA81" w14:textId="77777777" w:rsidR="00C76702" w:rsidRPr="00B77326"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On top of option 1</w:t>
            </w:r>
            <w:r w:rsidR="001C5034">
              <w:rPr>
                <w:rFonts w:ascii="Verdana" w:hAnsi="Verdana" w:cs="Times New Roman"/>
                <w:noProof/>
                <w:sz w:val="16"/>
                <w:szCs w:val="16"/>
              </w:rPr>
              <w:t>.1</w:t>
            </w:r>
            <w:r w:rsidRPr="00B77326">
              <w:rPr>
                <w:rFonts w:ascii="Verdana" w:hAnsi="Verdana" w:cs="Times New Roman"/>
                <w:noProof/>
                <w:sz w:val="16"/>
                <w:szCs w:val="16"/>
              </w:rPr>
              <w:t xml:space="preserve">, </w:t>
            </w:r>
            <w:r w:rsidR="000E3625" w:rsidRPr="00B77326">
              <w:rPr>
                <w:rFonts w:ascii="Verdana" w:hAnsi="Verdana" w:cs="Times New Roman"/>
                <w:noProof/>
                <w:sz w:val="16"/>
                <w:szCs w:val="16"/>
              </w:rPr>
              <w:t xml:space="preserve">the </w:t>
            </w:r>
            <w:r w:rsidR="000E3625">
              <w:rPr>
                <w:rFonts w:ascii="Verdana" w:hAnsi="Verdana" w:cs="Times New Roman"/>
                <w:noProof/>
                <w:sz w:val="16"/>
                <w:szCs w:val="16"/>
              </w:rPr>
              <w:t xml:space="preserve">simplication in the use of the SFD and improved clarity </w:t>
            </w:r>
            <w:r w:rsidR="00BF46A4">
              <w:rPr>
                <w:rFonts w:ascii="Verdana" w:hAnsi="Verdana" w:cs="Times New Roman"/>
                <w:noProof/>
                <w:sz w:val="16"/>
                <w:szCs w:val="16"/>
              </w:rPr>
              <w:t>on the natio</w:t>
            </w:r>
            <w:r w:rsidR="000E3625">
              <w:rPr>
                <w:rFonts w:ascii="Verdana" w:hAnsi="Verdana" w:cs="Times New Roman"/>
                <w:noProof/>
                <w:sz w:val="16"/>
                <w:szCs w:val="16"/>
              </w:rPr>
              <w:t>n</w:t>
            </w:r>
            <w:r w:rsidR="00BF46A4">
              <w:rPr>
                <w:rFonts w:ascii="Verdana" w:hAnsi="Verdana" w:cs="Times New Roman"/>
                <w:noProof/>
                <w:sz w:val="16"/>
                <w:szCs w:val="16"/>
              </w:rPr>
              <w:t>a</w:t>
            </w:r>
            <w:r w:rsidR="000E3625">
              <w:rPr>
                <w:rFonts w:ascii="Verdana" w:hAnsi="Verdana" w:cs="Times New Roman"/>
                <w:noProof/>
                <w:sz w:val="16"/>
                <w:szCs w:val="16"/>
              </w:rPr>
              <w:t xml:space="preserve">l data sets </w:t>
            </w:r>
            <w:r w:rsidR="000E3625" w:rsidRPr="00B77326">
              <w:rPr>
                <w:rFonts w:ascii="Verdana" w:hAnsi="Verdana" w:cs="Times New Roman"/>
                <w:noProof/>
                <w:sz w:val="16"/>
                <w:szCs w:val="16"/>
              </w:rPr>
              <w:t>available</w:t>
            </w:r>
            <w:r w:rsidR="000E3625">
              <w:rPr>
                <w:rFonts w:ascii="Verdana" w:hAnsi="Verdana" w:cs="Times New Roman"/>
                <w:noProof/>
                <w:sz w:val="16"/>
                <w:szCs w:val="16"/>
              </w:rPr>
              <w:t xml:space="preserve"> for </w:t>
            </w:r>
            <w:r w:rsidR="00BF46A4">
              <w:rPr>
                <w:rFonts w:ascii="Verdana" w:hAnsi="Verdana" w:cs="Times New Roman"/>
                <w:noProof/>
                <w:sz w:val="16"/>
                <w:szCs w:val="16"/>
              </w:rPr>
              <w:t xml:space="preserve">possible </w:t>
            </w:r>
            <w:r w:rsidR="000E3625">
              <w:rPr>
                <w:rFonts w:ascii="Verdana" w:hAnsi="Verdana" w:cs="Times New Roman"/>
                <w:noProof/>
                <w:sz w:val="16"/>
                <w:szCs w:val="16"/>
              </w:rPr>
              <w:t xml:space="preserve">exchange </w:t>
            </w:r>
            <w:r w:rsidRPr="00B77326">
              <w:rPr>
                <w:rFonts w:ascii="Verdana" w:hAnsi="Verdana" w:cs="Times New Roman"/>
                <w:noProof/>
                <w:sz w:val="16"/>
                <w:szCs w:val="16"/>
              </w:rPr>
              <w:t>would s</w:t>
            </w:r>
            <w:r w:rsidRPr="00B77326">
              <w:rPr>
                <w:rFonts w:ascii="Verdana" w:hAnsi="Verdana" w:cs="Times New Roman"/>
                <w:b/>
                <w:noProof/>
                <w:sz w:val="16"/>
                <w:szCs w:val="16"/>
              </w:rPr>
              <w:t xml:space="preserve">ignificantly </w:t>
            </w:r>
            <w:r w:rsidRPr="00B77326">
              <w:rPr>
                <w:rFonts w:ascii="Verdana" w:hAnsi="Verdana" w:cs="Times New Roman"/>
                <w:noProof/>
                <w:sz w:val="16"/>
                <w:szCs w:val="16"/>
              </w:rPr>
              <w:t>contribute to increase the quality and quantity of information shared with Europol.</w:t>
            </w:r>
          </w:p>
        </w:tc>
      </w:tr>
      <w:tr w:rsidR="00C76702" w:rsidRPr="00475E9D" w14:paraId="29A57FDE" w14:textId="77777777" w:rsidTr="009D6B1A">
        <w:tc>
          <w:tcPr>
            <w:tcW w:w="9889" w:type="dxa"/>
            <w:tcBorders>
              <w:bottom w:val="single" w:sz="4" w:space="0" w:color="auto"/>
            </w:tcBorders>
            <w:shd w:val="clear" w:color="auto" w:fill="BDD6EE" w:themeFill="accent1" w:themeFillTint="66"/>
          </w:tcPr>
          <w:p w14:paraId="0B53D1D5" w14:textId="7DD43C3B" w:rsidR="00C76702" w:rsidRPr="00B77326" w:rsidRDefault="00FA0D3C" w:rsidP="00EB7963">
            <w:pPr>
              <w:spacing w:before="60" w:after="60"/>
              <w:rPr>
                <w:rFonts w:ascii="Verdana" w:hAnsi="Verdana" w:cs="Times New Roman"/>
                <w:b/>
                <w:noProof/>
                <w:sz w:val="16"/>
                <w:szCs w:val="16"/>
              </w:rPr>
            </w:pPr>
            <w:r>
              <w:rPr>
                <w:rFonts w:ascii="Verdana" w:hAnsi="Verdana" w:cs="Times New Roman"/>
                <w:b/>
                <w:noProof/>
                <w:sz w:val="16"/>
                <w:szCs w:val="16"/>
              </w:rPr>
              <w:t>4</w:t>
            </w:r>
            <w:r w:rsidR="00C76702" w:rsidRPr="00B77326">
              <w:rPr>
                <w:rFonts w:ascii="Verdana" w:hAnsi="Verdana" w:cs="Times New Roman"/>
                <w:b/>
                <w:noProof/>
                <w:sz w:val="16"/>
                <w:szCs w:val="16"/>
              </w:rPr>
              <w:t xml:space="preserve">. Effectiveness in meeting the policy objectives [++] </w:t>
            </w:r>
          </w:p>
        </w:tc>
      </w:tr>
      <w:tr w:rsidR="00C76702" w:rsidRPr="00F66492" w14:paraId="757AEE6F" w14:textId="77777777" w:rsidTr="009D6B1A">
        <w:tc>
          <w:tcPr>
            <w:tcW w:w="9889" w:type="dxa"/>
            <w:shd w:val="clear" w:color="auto" w:fill="DEEAF6" w:themeFill="accent1" w:themeFillTint="33"/>
          </w:tcPr>
          <w:p w14:paraId="4D2736EC"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policy option would s</w:t>
            </w:r>
            <w:r w:rsidRPr="00B77326">
              <w:rPr>
                <w:rFonts w:ascii="Verdana" w:hAnsi="Verdana" w:cs="Times New Roman"/>
                <w:b/>
                <w:noProof/>
                <w:sz w:val="16"/>
                <w:szCs w:val="16"/>
              </w:rPr>
              <w:t xml:space="preserve">ignificantly </w:t>
            </w:r>
            <w:r w:rsidRPr="00B77326">
              <w:rPr>
                <w:rFonts w:ascii="Verdana" w:hAnsi="Verdana" w:cs="Times New Roman"/>
                <w:noProof/>
                <w:sz w:val="16"/>
                <w:szCs w:val="16"/>
              </w:rPr>
              <w:t>facilitat</w:t>
            </w:r>
            <w:r w:rsidR="000E3625">
              <w:rPr>
                <w:rFonts w:ascii="Verdana" w:hAnsi="Verdana" w:cs="Times New Roman"/>
                <w:noProof/>
                <w:sz w:val="16"/>
                <w:szCs w:val="16"/>
              </w:rPr>
              <w:t xml:space="preserve">e </w:t>
            </w:r>
            <w:r w:rsidRPr="00B77326">
              <w:rPr>
                <w:rFonts w:ascii="Verdana" w:hAnsi="Verdana" w:cs="Times New Roman"/>
                <w:noProof/>
                <w:sz w:val="16"/>
                <w:szCs w:val="16"/>
              </w:rPr>
              <w:t>the implementation of the principle of equivalent access to information and intelligence held in another Member State while complying with fundamental rights and data protection requirements.</w:t>
            </w:r>
          </w:p>
          <w:p w14:paraId="7472DC50"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The respect of deadlines, including when a judicial authorisation is required, w</w:t>
            </w:r>
            <w:r>
              <w:rPr>
                <w:rFonts w:ascii="Verdana" w:hAnsi="Verdana" w:cs="Times New Roman"/>
                <w:noProof/>
                <w:sz w:val="16"/>
                <w:szCs w:val="16"/>
              </w:rPr>
              <w:t>ill</w:t>
            </w:r>
            <w:r w:rsidRPr="00B77326">
              <w:rPr>
                <w:rFonts w:ascii="Verdana" w:hAnsi="Verdana" w:cs="Times New Roman"/>
                <w:noProof/>
                <w:sz w:val="16"/>
                <w:szCs w:val="16"/>
              </w:rPr>
              <w:t xml:space="preserve"> </w:t>
            </w:r>
            <w:r w:rsidRPr="00B77326">
              <w:rPr>
                <w:rFonts w:ascii="Verdana" w:hAnsi="Verdana" w:cs="Times New Roman"/>
                <w:b/>
                <w:noProof/>
                <w:sz w:val="16"/>
                <w:szCs w:val="16"/>
              </w:rPr>
              <w:t>not</w:t>
            </w:r>
            <w:r w:rsidRPr="00B77326">
              <w:rPr>
                <w:rFonts w:ascii="Verdana" w:hAnsi="Verdana" w:cs="Times New Roman"/>
                <w:noProof/>
                <w:sz w:val="16"/>
                <w:szCs w:val="16"/>
              </w:rPr>
              <w:t xml:space="preserve"> be ensured.</w:t>
            </w:r>
          </w:p>
        </w:tc>
      </w:tr>
      <w:tr w:rsidR="00C76702" w:rsidRPr="00475E9D" w14:paraId="684371CB" w14:textId="77777777" w:rsidTr="009D6B1A">
        <w:tc>
          <w:tcPr>
            <w:tcW w:w="9889" w:type="dxa"/>
            <w:shd w:val="clear" w:color="auto" w:fill="BDD6EE" w:themeFill="accent1" w:themeFillTint="66"/>
          </w:tcPr>
          <w:p w14:paraId="0819FE75" w14:textId="33C24106" w:rsidR="00C76702" w:rsidRPr="00B77326" w:rsidRDefault="00FA0D3C" w:rsidP="00EB7963">
            <w:pPr>
              <w:spacing w:before="60" w:after="60"/>
              <w:rPr>
                <w:rFonts w:ascii="Verdana" w:hAnsi="Verdana" w:cs="Times New Roman"/>
                <w:noProof/>
                <w:sz w:val="16"/>
                <w:szCs w:val="16"/>
              </w:rPr>
            </w:pPr>
            <w:r>
              <w:rPr>
                <w:rFonts w:ascii="Verdana" w:hAnsi="Verdana" w:cs="Times New Roman"/>
                <w:b/>
                <w:noProof/>
                <w:sz w:val="16"/>
                <w:szCs w:val="16"/>
              </w:rPr>
              <w:t>5</w:t>
            </w:r>
            <w:r w:rsidR="00C76702" w:rsidRPr="00B77326">
              <w:rPr>
                <w:rFonts w:ascii="Verdana" w:hAnsi="Verdana" w:cs="Times New Roman"/>
                <w:b/>
                <w:noProof/>
                <w:sz w:val="16"/>
                <w:szCs w:val="16"/>
              </w:rPr>
              <w:t>. Efficiency in meeting the policy objectives [</w:t>
            </w:r>
            <w:r w:rsidR="00A04EF4">
              <w:rPr>
                <w:rFonts w:ascii="Verdana" w:hAnsi="Verdana" w:cs="Times New Roman"/>
                <w:b/>
                <w:noProof/>
                <w:sz w:val="16"/>
                <w:szCs w:val="16"/>
              </w:rPr>
              <w:t>++</w:t>
            </w:r>
            <w:r w:rsidR="00C76702" w:rsidRPr="00B77326">
              <w:rPr>
                <w:rFonts w:ascii="Verdana" w:hAnsi="Verdana" w:cs="Times New Roman"/>
                <w:b/>
                <w:noProof/>
                <w:sz w:val="16"/>
                <w:szCs w:val="16"/>
              </w:rPr>
              <w:t xml:space="preserve">] </w:t>
            </w:r>
          </w:p>
        </w:tc>
      </w:tr>
      <w:tr w:rsidR="00C76702" w:rsidRPr="00475E9D" w14:paraId="3A8831C8" w14:textId="77777777" w:rsidTr="009D6B1A">
        <w:tc>
          <w:tcPr>
            <w:tcW w:w="9889" w:type="dxa"/>
            <w:shd w:val="clear" w:color="auto" w:fill="DEEAF6" w:themeFill="accent1" w:themeFillTint="33"/>
          </w:tcPr>
          <w:p w14:paraId="7E7167C9" w14:textId="77777777" w:rsidR="00C76702" w:rsidRPr="0059545F"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59545F">
              <w:rPr>
                <w:rFonts w:ascii="Verdana" w:hAnsi="Verdana" w:cs="Times New Roman"/>
                <w:noProof/>
                <w:sz w:val="16"/>
                <w:szCs w:val="16"/>
              </w:rPr>
              <w:t>As option 1</w:t>
            </w:r>
            <w:r w:rsidR="00FA3C58">
              <w:rPr>
                <w:rFonts w:ascii="Verdana" w:hAnsi="Verdana" w:cs="Times New Roman"/>
                <w:noProof/>
                <w:sz w:val="16"/>
                <w:szCs w:val="16"/>
              </w:rPr>
              <w:t>.1</w:t>
            </w:r>
            <w:r w:rsidRPr="0059545F">
              <w:rPr>
                <w:rFonts w:ascii="Verdana" w:hAnsi="Verdana" w:cs="Times New Roman"/>
                <w:noProof/>
                <w:sz w:val="16"/>
                <w:szCs w:val="16"/>
              </w:rPr>
              <w:t xml:space="preserve"> + </w:t>
            </w:r>
            <w:r>
              <w:rPr>
                <w:rFonts w:ascii="Verdana" w:hAnsi="Verdana" w:cs="Times New Roman"/>
                <w:noProof/>
                <w:sz w:val="16"/>
                <w:szCs w:val="16"/>
              </w:rPr>
              <w:t>o</w:t>
            </w:r>
            <w:r w:rsidRPr="0059545F">
              <w:rPr>
                <w:rFonts w:ascii="Verdana" w:hAnsi="Verdana" w:cs="Times New Roman"/>
                <w:noProof/>
                <w:sz w:val="16"/>
                <w:szCs w:val="16"/>
              </w:rPr>
              <w:t xml:space="preserve">ption </w:t>
            </w:r>
            <w:r w:rsidR="00FA3C58">
              <w:rPr>
                <w:rFonts w:ascii="Verdana" w:hAnsi="Verdana" w:cs="Times New Roman"/>
                <w:noProof/>
                <w:sz w:val="16"/>
                <w:szCs w:val="16"/>
              </w:rPr>
              <w:t>1.</w:t>
            </w:r>
            <w:r w:rsidRPr="0059545F">
              <w:rPr>
                <w:rFonts w:ascii="Verdana" w:hAnsi="Verdana" w:cs="Times New Roman"/>
                <w:noProof/>
                <w:sz w:val="16"/>
                <w:szCs w:val="16"/>
              </w:rPr>
              <w:t xml:space="preserve">2 </w:t>
            </w:r>
            <w:r>
              <w:rPr>
                <w:rFonts w:ascii="Verdana" w:hAnsi="Verdana" w:cs="Times New Roman"/>
                <w:noProof/>
                <w:sz w:val="16"/>
                <w:szCs w:val="16"/>
              </w:rPr>
              <w:t xml:space="preserve">which </w:t>
            </w:r>
            <w:r w:rsidRPr="0059545F">
              <w:rPr>
                <w:rFonts w:ascii="Verdana" w:hAnsi="Verdana" w:cs="Times New Roman"/>
                <w:noProof/>
                <w:sz w:val="16"/>
                <w:szCs w:val="16"/>
              </w:rPr>
              <w:t>would</w:t>
            </w:r>
            <w:r w:rsidRPr="0059545F">
              <w:rPr>
                <w:rFonts w:ascii="Verdana" w:hAnsi="Verdana" w:cs="Times New Roman"/>
                <w:b/>
                <w:noProof/>
                <w:sz w:val="16"/>
                <w:szCs w:val="16"/>
              </w:rPr>
              <w:t xml:space="preserve"> </w:t>
            </w:r>
            <w:r w:rsidRPr="0059545F">
              <w:rPr>
                <w:rFonts w:ascii="Verdana" w:hAnsi="Verdana" w:cs="Times New Roman"/>
                <w:noProof/>
                <w:sz w:val="16"/>
                <w:szCs w:val="16"/>
              </w:rPr>
              <w:t>generate</w:t>
            </w:r>
            <w:r w:rsidRPr="0059545F">
              <w:rPr>
                <w:rFonts w:ascii="Verdana" w:hAnsi="Verdana" w:cs="Times New Roman"/>
                <w:b/>
                <w:noProof/>
                <w:sz w:val="16"/>
                <w:szCs w:val="16"/>
              </w:rPr>
              <w:t xml:space="preserve"> cost</w:t>
            </w:r>
            <w:r>
              <w:rPr>
                <w:rFonts w:ascii="Verdana" w:hAnsi="Verdana" w:cs="Times New Roman"/>
                <w:b/>
                <w:noProof/>
                <w:sz w:val="16"/>
                <w:szCs w:val="16"/>
              </w:rPr>
              <w:t>s</w:t>
            </w:r>
            <w:r w:rsidRPr="0059545F">
              <w:rPr>
                <w:rFonts w:ascii="Verdana" w:hAnsi="Verdana" w:cs="Times New Roman"/>
                <w:b/>
                <w:noProof/>
                <w:sz w:val="16"/>
                <w:szCs w:val="16"/>
              </w:rPr>
              <w:t xml:space="preserve"> </w:t>
            </w:r>
            <w:r w:rsidRPr="0059545F">
              <w:rPr>
                <w:rFonts w:ascii="Verdana" w:hAnsi="Verdana" w:cs="Times New Roman"/>
                <w:noProof/>
                <w:sz w:val="16"/>
                <w:szCs w:val="16"/>
              </w:rPr>
              <w:t>for a number of</w:t>
            </w:r>
            <w:r w:rsidRPr="0059545F">
              <w:rPr>
                <w:rFonts w:ascii="Verdana" w:hAnsi="Verdana" w:cs="Times New Roman"/>
                <w:b/>
                <w:noProof/>
                <w:sz w:val="16"/>
                <w:szCs w:val="16"/>
              </w:rPr>
              <w:t xml:space="preserve"> Member States. </w:t>
            </w:r>
          </w:p>
          <w:p w14:paraId="5FA79190" w14:textId="535ECF7C" w:rsidR="00C76702" w:rsidRPr="00B77326"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The</w:t>
            </w:r>
            <w:r>
              <w:rPr>
                <w:rFonts w:ascii="Verdana" w:hAnsi="Verdana" w:cs="Times New Roman"/>
                <w:noProof/>
                <w:sz w:val="16"/>
                <w:szCs w:val="16"/>
              </w:rPr>
              <w:t>se</w:t>
            </w:r>
            <w:r w:rsidRPr="00B77326">
              <w:rPr>
                <w:rFonts w:ascii="Verdana" w:hAnsi="Verdana" w:cs="Times New Roman"/>
                <w:noProof/>
                <w:sz w:val="16"/>
                <w:szCs w:val="16"/>
              </w:rPr>
              <w:t xml:space="preserve"> cost</w:t>
            </w:r>
            <w:r>
              <w:rPr>
                <w:rFonts w:ascii="Verdana" w:hAnsi="Verdana" w:cs="Times New Roman"/>
                <w:noProof/>
                <w:sz w:val="16"/>
                <w:szCs w:val="16"/>
              </w:rPr>
              <w:t>s will</w:t>
            </w:r>
            <w:r w:rsidRPr="00B77326">
              <w:rPr>
                <w:rFonts w:ascii="Verdana" w:hAnsi="Verdana" w:cs="Times New Roman"/>
                <w:noProof/>
                <w:sz w:val="16"/>
                <w:szCs w:val="16"/>
              </w:rPr>
              <w:t xml:space="preserve"> vary </w:t>
            </w:r>
            <w:r>
              <w:rPr>
                <w:rFonts w:ascii="Verdana" w:hAnsi="Verdana" w:cs="Times New Roman"/>
                <w:noProof/>
                <w:sz w:val="16"/>
                <w:szCs w:val="16"/>
              </w:rPr>
              <w:t xml:space="preserve">significantly </w:t>
            </w:r>
            <w:r w:rsidRPr="00B77326">
              <w:rPr>
                <w:rFonts w:ascii="Verdana" w:hAnsi="Verdana" w:cs="Times New Roman"/>
                <w:noProof/>
                <w:sz w:val="16"/>
                <w:szCs w:val="16"/>
              </w:rPr>
              <w:t>depending on the national solution considered by the concerned Member States.</w:t>
            </w:r>
            <w:r w:rsidR="00A04EF4">
              <w:rPr>
                <w:rFonts w:ascii="Verdana" w:hAnsi="Verdana" w:cs="Times New Roman"/>
                <w:noProof/>
                <w:sz w:val="16"/>
                <w:szCs w:val="16"/>
              </w:rPr>
              <w:t xml:space="preserve"> They don't outweight benefits.</w:t>
            </w:r>
          </w:p>
        </w:tc>
      </w:tr>
      <w:tr w:rsidR="00C76702" w:rsidRPr="00475E9D" w14:paraId="62E79479" w14:textId="77777777" w:rsidTr="009D6B1A">
        <w:tc>
          <w:tcPr>
            <w:tcW w:w="9889" w:type="dxa"/>
            <w:tcBorders>
              <w:bottom w:val="single" w:sz="4" w:space="0" w:color="auto"/>
            </w:tcBorders>
            <w:shd w:val="clear" w:color="auto" w:fill="BDD6EE" w:themeFill="accent1" w:themeFillTint="66"/>
          </w:tcPr>
          <w:p w14:paraId="15EA91C9" w14:textId="38847EDF" w:rsidR="00C76702" w:rsidRPr="00B77326" w:rsidRDefault="00FA0D3C" w:rsidP="005D0A3D">
            <w:pPr>
              <w:spacing w:before="60" w:after="60"/>
              <w:rPr>
                <w:rFonts w:ascii="Verdana" w:hAnsi="Verdana" w:cs="Times New Roman"/>
                <w:b/>
                <w:noProof/>
                <w:sz w:val="16"/>
                <w:szCs w:val="16"/>
              </w:rPr>
            </w:pPr>
            <w:r>
              <w:rPr>
                <w:rFonts w:ascii="Verdana" w:hAnsi="Verdana" w:cs="Times New Roman"/>
                <w:b/>
                <w:noProof/>
                <w:sz w:val="16"/>
                <w:szCs w:val="16"/>
              </w:rPr>
              <w:t>6</w:t>
            </w:r>
            <w:r w:rsidR="00C76702" w:rsidRPr="00B77326">
              <w:rPr>
                <w:rFonts w:ascii="Verdana" w:hAnsi="Verdana" w:cs="Times New Roman"/>
                <w:b/>
                <w:noProof/>
                <w:sz w:val="16"/>
                <w:szCs w:val="16"/>
              </w:rPr>
              <w:t>. Legal feasibility [++]</w:t>
            </w:r>
          </w:p>
        </w:tc>
      </w:tr>
      <w:tr w:rsidR="00C76702" w:rsidRPr="00475E9D" w14:paraId="1E7D3BFA" w14:textId="77777777" w:rsidTr="009D6B1A">
        <w:tc>
          <w:tcPr>
            <w:tcW w:w="9889" w:type="dxa"/>
            <w:shd w:val="clear" w:color="auto" w:fill="DEEAF6" w:themeFill="accent1" w:themeFillTint="33"/>
          </w:tcPr>
          <w:p w14:paraId="6937D898" w14:textId="77777777" w:rsidR="00C76702" w:rsidRPr="00945713"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policy option w</w:t>
            </w:r>
            <w:r>
              <w:rPr>
                <w:rFonts w:ascii="Verdana" w:hAnsi="Verdana" w:cs="Times New Roman"/>
                <w:noProof/>
                <w:sz w:val="16"/>
                <w:szCs w:val="16"/>
              </w:rPr>
              <w:t>ill</w:t>
            </w:r>
            <w:r w:rsidRPr="00B77326">
              <w:rPr>
                <w:rFonts w:ascii="Verdana" w:hAnsi="Verdana" w:cs="Times New Roman"/>
                <w:noProof/>
                <w:sz w:val="16"/>
                <w:szCs w:val="16"/>
              </w:rPr>
              <w:t xml:space="preserve"> require changes to the Swedish Framework Decision.</w:t>
            </w:r>
            <w:r w:rsidR="00005AEB">
              <w:rPr>
                <w:rFonts w:ascii="Verdana" w:hAnsi="Verdana" w:cs="Times New Roman"/>
                <w:noProof/>
                <w:sz w:val="16"/>
                <w:szCs w:val="16"/>
              </w:rPr>
              <w:t xml:space="preserve"> It</w:t>
            </w:r>
            <w:r w:rsidR="00005AEB">
              <w:rPr>
                <w:noProof/>
              </w:rPr>
              <w:t xml:space="preserve"> </w:t>
            </w:r>
            <w:r w:rsidR="00005AEB" w:rsidRPr="00B5430F">
              <w:rPr>
                <w:rFonts w:ascii="Verdana" w:hAnsi="Verdana"/>
                <w:noProof/>
                <w:sz w:val="16"/>
              </w:rPr>
              <w:t>ensures the</w:t>
            </w:r>
            <w:r w:rsidR="00005AEB" w:rsidRPr="00B5430F">
              <w:rPr>
                <w:noProof/>
                <w:sz w:val="16"/>
              </w:rPr>
              <w:t xml:space="preserve"> </w:t>
            </w:r>
            <w:r w:rsidR="00005AEB" w:rsidRPr="00B5430F">
              <w:rPr>
                <w:rFonts w:ascii="Verdana" w:hAnsi="Verdana"/>
                <w:noProof/>
                <w:sz w:val="16"/>
              </w:rPr>
              <w:t>respect</w:t>
            </w:r>
            <w:r w:rsidR="00005AEB">
              <w:rPr>
                <w:rFonts w:ascii="Verdana" w:hAnsi="Verdana"/>
                <w:noProof/>
                <w:sz w:val="16"/>
              </w:rPr>
              <w:t xml:space="preserve"> of the </w:t>
            </w:r>
            <w:r w:rsidR="00005AEB" w:rsidRPr="00B5430F">
              <w:rPr>
                <w:rFonts w:ascii="Verdana" w:hAnsi="Verdana"/>
                <w:noProof/>
                <w:sz w:val="16"/>
              </w:rPr>
              <w:t>conferral</w:t>
            </w:r>
            <w:r w:rsidR="00005AEB">
              <w:rPr>
                <w:rFonts w:ascii="Verdana" w:hAnsi="Verdana"/>
                <w:noProof/>
                <w:sz w:val="16"/>
              </w:rPr>
              <w:t xml:space="preserve"> of powers </w:t>
            </w:r>
            <w:r w:rsidR="00005AEB" w:rsidRPr="00B5430F">
              <w:rPr>
                <w:rFonts w:ascii="Verdana" w:hAnsi="Verdana"/>
                <w:noProof/>
                <w:sz w:val="16"/>
              </w:rPr>
              <w:t xml:space="preserve">and </w:t>
            </w:r>
            <w:r w:rsidR="00005AEB">
              <w:rPr>
                <w:rFonts w:ascii="Verdana" w:hAnsi="Verdana"/>
                <w:noProof/>
                <w:sz w:val="16"/>
              </w:rPr>
              <w:t xml:space="preserve">of </w:t>
            </w:r>
            <w:r w:rsidR="00005AEB" w:rsidRPr="00B5430F">
              <w:rPr>
                <w:rFonts w:ascii="Verdana" w:hAnsi="Verdana"/>
                <w:noProof/>
                <w:sz w:val="16"/>
              </w:rPr>
              <w:t>fundamental rights</w:t>
            </w:r>
            <w:r w:rsidR="00005AEB">
              <w:rPr>
                <w:rFonts w:ascii="Verdana" w:hAnsi="Verdana"/>
                <w:noProof/>
                <w:sz w:val="16"/>
              </w:rPr>
              <w:t>.</w:t>
            </w:r>
          </w:p>
        </w:tc>
      </w:tr>
      <w:tr w:rsidR="005D0A3D" w:rsidRPr="00475E9D" w14:paraId="5AEB0DB3" w14:textId="77777777" w:rsidTr="007933A1">
        <w:tc>
          <w:tcPr>
            <w:tcW w:w="9889" w:type="dxa"/>
            <w:shd w:val="clear" w:color="auto" w:fill="BDD6EE" w:themeFill="accent1" w:themeFillTint="66"/>
          </w:tcPr>
          <w:p w14:paraId="4572A9DB" w14:textId="38975211" w:rsidR="005D0A3D" w:rsidRPr="00945713" w:rsidRDefault="00FA0D3C" w:rsidP="00945713">
            <w:pPr>
              <w:widowControl w:val="0"/>
              <w:adjustRightInd w:val="0"/>
              <w:spacing w:before="60" w:after="60" w:line="240" w:lineRule="auto"/>
              <w:jc w:val="both"/>
              <w:textAlignment w:val="baseline"/>
              <w:rPr>
                <w:rFonts w:ascii="Verdana" w:hAnsi="Verdana" w:cs="Times New Roman"/>
                <w:b/>
                <w:noProof/>
                <w:sz w:val="16"/>
                <w:szCs w:val="16"/>
              </w:rPr>
            </w:pPr>
            <w:r>
              <w:rPr>
                <w:rFonts w:ascii="Verdana" w:hAnsi="Verdana" w:cs="Times New Roman"/>
                <w:b/>
                <w:noProof/>
                <w:sz w:val="16"/>
                <w:szCs w:val="16"/>
              </w:rPr>
              <w:t>7</w:t>
            </w:r>
            <w:r w:rsidR="005D0A3D" w:rsidRPr="00945713">
              <w:rPr>
                <w:rFonts w:ascii="Verdana" w:hAnsi="Verdana" w:cs="Times New Roman"/>
                <w:b/>
                <w:noProof/>
                <w:sz w:val="16"/>
                <w:szCs w:val="16"/>
              </w:rPr>
              <w:t>. technical feasibility</w:t>
            </w:r>
            <w:r w:rsidR="005D0A3D">
              <w:rPr>
                <w:rFonts w:ascii="Verdana" w:hAnsi="Verdana" w:cs="Times New Roman"/>
                <w:b/>
                <w:noProof/>
                <w:sz w:val="16"/>
                <w:szCs w:val="16"/>
              </w:rPr>
              <w:t xml:space="preserve"> [+++]</w:t>
            </w:r>
          </w:p>
        </w:tc>
      </w:tr>
      <w:tr w:rsidR="005D0A3D" w:rsidRPr="00475E9D" w14:paraId="7BB2D6E4" w14:textId="77777777" w:rsidTr="009D6B1A">
        <w:tc>
          <w:tcPr>
            <w:tcW w:w="9889" w:type="dxa"/>
            <w:shd w:val="clear" w:color="auto" w:fill="DEEAF6" w:themeFill="accent1" w:themeFillTint="33"/>
          </w:tcPr>
          <w:p w14:paraId="06796F63" w14:textId="77777777" w:rsidR="005D0A3D" w:rsidRPr="00B77326" w:rsidRDefault="005D0A3D"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policy option would be technically feasible.</w:t>
            </w:r>
            <w:r w:rsidR="008D25E2">
              <w:rPr>
                <w:rFonts w:ascii="Verdana" w:hAnsi="Verdana" w:cs="Times New Roman"/>
                <w:noProof/>
                <w:sz w:val="16"/>
                <w:szCs w:val="16"/>
              </w:rPr>
              <w:t xml:space="preserve"> </w:t>
            </w:r>
            <w:r w:rsidR="008D25E2" w:rsidRPr="00417C64">
              <w:rPr>
                <w:rFonts w:ascii="Verdana" w:hAnsi="Verdana"/>
                <w:noProof/>
                <w:sz w:val="16"/>
                <w:szCs w:val="16"/>
              </w:rPr>
              <w:t>Member States would need to take the necessary steps to ensure</w:t>
            </w:r>
            <w:r w:rsidR="008D25E2" w:rsidRPr="00417C64">
              <w:rPr>
                <w:noProof/>
                <w:sz w:val="18"/>
              </w:rPr>
              <w:t xml:space="preserve"> </w:t>
            </w:r>
            <w:r w:rsidR="008D25E2">
              <w:rPr>
                <w:noProof/>
                <w:sz w:val="18"/>
              </w:rPr>
              <w:t xml:space="preserve">the implementation of new legal provisions. </w:t>
            </w:r>
          </w:p>
        </w:tc>
      </w:tr>
      <w:tr w:rsidR="00C76702" w:rsidRPr="00475E9D" w14:paraId="509B255D" w14:textId="77777777" w:rsidTr="009D6B1A">
        <w:tc>
          <w:tcPr>
            <w:tcW w:w="9889" w:type="dxa"/>
            <w:tcBorders>
              <w:bottom w:val="single" w:sz="4" w:space="0" w:color="auto"/>
            </w:tcBorders>
            <w:shd w:val="clear" w:color="auto" w:fill="BDD6EE" w:themeFill="accent1" w:themeFillTint="66"/>
          </w:tcPr>
          <w:p w14:paraId="121BD3DB" w14:textId="033B3AF4"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8</w:t>
            </w:r>
            <w:r w:rsidR="00C76702" w:rsidRPr="00B77326">
              <w:rPr>
                <w:rFonts w:ascii="Verdana" w:hAnsi="Verdana" w:cs="Times New Roman"/>
                <w:b/>
                <w:noProof/>
                <w:sz w:val="16"/>
                <w:szCs w:val="16"/>
              </w:rPr>
              <w:t xml:space="preserve">. Coherence with other measures [++] </w:t>
            </w:r>
          </w:p>
        </w:tc>
      </w:tr>
      <w:tr w:rsidR="00C76702" w:rsidRPr="00475E9D" w14:paraId="6068F4AB" w14:textId="77777777" w:rsidTr="009D6B1A">
        <w:trPr>
          <w:trHeight w:val="425"/>
        </w:trPr>
        <w:tc>
          <w:tcPr>
            <w:tcW w:w="9889" w:type="dxa"/>
            <w:tcBorders>
              <w:bottom w:val="single" w:sz="4" w:space="0" w:color="auto"/>
            </w:tcBorders>
            <w:shd w:val="clear" w:color="auto" w:fill="DEEAF6" w:themeFill="accent1" w:themeFillTint="33"/>
          </w:tcPr>
          <w:p w14:paraId="6AF55273" w14:textId="77777777" w:rsidR="00C76702" w:rsidRPr="00B77326" w:rsidRDefault="00C76702" w:rsidP="00900BC7">
            <w:pPr>
              <w:pStyle w:val="ListParagraph"/>
              <w:widowControl w:val="0"/>
              <w:numPr>
                <w:ilvl w:val="0"/>
                <w:numId w:val="33"/>
              </w:numPr>
              <w:adjustRightInd w:val="0"/>
              <w:spacing w:before="60" w:after="60" w:line="240" w:lineRule="auto"/>
              <w:jc w:val="both"/>
              <w:textAlignment w:val="baseline"/>
              <w:rPr>
                <w:rFonts w:ascii="Verdana" w:hAnsi="Verdana" w:cs="Times New Roman"/>
                <w:b/>
                <w:noProof/>
                <w:sz w:val="16"/>
                <w:szCs w:val="16"/>
              </w:rPr>
            </w:pPr>
            <w:r w:rsidRPr="00B77326">
              <w:rPr>
                <w:rFonts w:ascii="Verdana" w:hAnsi="Verdana" w:cs="Times New Roman"/>
                <w:noProof/>
                <w:sz w:val="16"/>
                <w:szCs w:val="16"/>
              </w:rPr>
              <w:t xml:space="preserve">This policy option would </w:t>
            </w:r>
            <w:r w:rsidRPr="00B77326">
              <w:rPr>
                <w:rFonts w:ascii="Verdana" w:hAnsi="Verdana" w:cs="Times New Roman"/>
                <w:b/>
                <w:noProof/>
                <w:sz w:val="16"/>
                <w:szCs w:val="16"/>
              </w:rPr>
              <w:t>significantly</w:t>
            </w:r>
            <w:r w:rsidRPr="00B77326">
              <w:rPr>
                <w:rFonts w:ascii="Verdana" w:hAnsi="Verdana" w:cs="Times New Roman"/>
                <w:noProof/>
                <w:sz w:val="16"/>
                <w:szCs w:val="16"/>
              </w:rPr>
              <w:t xml:space="preserve"> complement other Commission initiatives such as the Commission proposals for a new Schengen border code, for Prüm II</w:t>
            </w:r>
            <w:r w:rsidR="00FC462E">
              <w:rPr>
                <w:rFonts w:ascii="Verdana" w:hAnsi="Verdana" w:cs="Times New Roman"/>
                <w:noProof/>
                <w:sz w:val="16"/>
                <w:szCs w:val="16"/>
              </w:rPr>
              <w:t xml:space="preserve"> and for Europol</w:t>
            </w:r>
            <w:r w:rsidRPr="00B77326">
              <w:rPr>
                <w:rFonts w:ascii="Verdana" w:hAnsi="Verdana" w:cs="Times New Roman"/>
                <w:noProof/>
                <w:sz w:val="16"/>
                <w:szCs w:val="16"/>
              </w:rPr>
              <w:t>.</w:t>
            </w:r>
          </w:p>
        </w:tc>
      </w:tr>
    </w:tbl>
    <w:p w14:paraId="357F3DBB" w14:textId="77777777" w:rsidR="00C76702" w:rsidRPr="00D60FC9" w:rsidRDefault="00C76702" w:rsidP="00C76702">
      <w:pPr>
        <w:pStyle w:val="Body"/>
        <w:spacing w:before="60" w:after="0"/>
        <w:rPr>
          <w:rFonts w:ascii="Times New Roman" w:hAnsi="Times New Roman"/>
          <w:noProof/>
          <w:sz w:val="24"/>
          <w:szCs w:val="24"/>
        </w:rPr>
      </w:pPr>
    </w:p>
    <w:p w14:paraId="6D700134" w14:textId="77777777" w:rsidR="00C76702" w:rsidRPr="005854D1"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0"/>
        <w:ind w:left="0"/>
        <w:rPr>
          <w:b/>
          <w:noProof/>
          <w:szCs w:val="24"/>
        </w:rPr>
      </w:pPr>
      <w:r w:rsidRPr="00514E93">
        <w:rPr>
          <w:b/>
          <w:noProof/>
          <w:szCs w:val="24"/>
          <w:u w:val="single"/>
        </w:rPr>
        <w:t xml:space="preserve">Policy option </w:t>
      </w:r>
      <w:r w:rsidR="001C5034">
        <w:rPr>
          <w:b/>
          <w:noProof/>
          <w:szCs w:val="24"/>
          <w:u w:val="single"/>
        </w:rPr>
        <w:t>1.</w:t>
      </w:r>
      <w:r w:rsidRPr="00514E93">
        <w:rPr>
          <w:b/>
          <w:noProof/>
          <w:szCs w:val="24"/>
          <w:u w:val="single"/>
        </w:rPr>
        <w:t>3:</w:t>
      </w:r>
      <w:r w:rsidRPr="005854D1">
        <w:rPr>
          <w:b/>
          <w:noProof/>
          <w:szCs w:val="24"/>
        </w:rPr>
        <w:t xml:space="preserve"> Option </w:t>
      </w:r>
      <w:r w:rsidR="001C5034">
        <w:rPr>
          <w:b/>
          <w:noProof/>
          <w:szCs w:val="24"/>
        </w:rPr>
        <w:t>1.</w:t>
      </w:r>
      <w:r w:rsidRPr="005854D1">
        <w:rPr>
          <w:b/>
          <w:noProof/>
          <w:szCs w:val="24"/>
        </w:rPr>
        <w:t>2 + provisions ensuring compliance with deadline requirements by which data is to be made available to another Member State (including when a judi</w:t>
      </w:r>
      <w:r>
        <w:rPr>
          <w:b/>
          <w:noProof/>
          <w:szCs w:val="24"/>
        </w:rPr>
        <w:t>cial authorisation is required)</w:t>
      </w:r>
    </w:p>
    <w:p w14:paraId="7CEB12A9" w14:textId="77777777" w:rsidR="00C76702" w:rsidRPr="0032290C" w:rsidRDefault="00C76702" w:rsidP="00C76702">
      <w:pPr>
        <w:spacing w:after="0" w:line="240" w:lineRule="auto"/>
        <w:rPr>
          <w:rFonts w:ascii="Times New Roman" w:hAnsi="Times New Roman" w:cs="Times New Roman"/>
          <w:noProof/>
          <w:color w:val="44546A" w:themeColor="text2"/>
          <w:sz w:val="16"/>
          <w:szCs w:val="16"/>
        </w:rPr>
      </w:pPr>
    </w:p>
    <w:tbl>
      <w:tblPr>
        <w:tblStyle w:val="TableGrid1"/>
        <w:tblW w:w="9889" w:type="dxa"/>
        <w:tblLook w:val="04A0" w:firstRow="1" w:lastRow="0" w:firstColumn="1" w:lastColumn="0" w:noHBand="0" w:noVBand="1"/>
      </w:tblPr>
      <w:tblGrid>
        <w:gridCol w:w="9889"/>
      </w:tblGrid>
      <w:tr w:rsidR="00C76702" w:rsidRPr="00CC4C89" w14:paraId="365152EF" w14:textId="77777777" w:rsidTr="009D6B1A">
        <w:tc>
          <w:tcPr>
            <w:tcW w:w="9889" w:type="dxa"/>
            <w:tcBorders>
              <w:bottom w:val="single" w:sz="4" w:space="0" w:color="auto"/>
            </w:tcBorders>
            <w:shd w:val="clear" w:color="auto" w:fill="9CC2E5" w:themeFill="accent1" w:themeFillTint="99"/>
          </w:tcPr>
          <w:p w14:paraId="6137D773" w14:textId="77777777" w:rsidR="00C76702" w:rsidRPr="00B77326" w:rsidRDefault="00C76702" w:rsidP="00EB7963">
            <w:pPr>
              <w:spacing w:before="60" w:after="60"/>
              <w:jc w:val="center"/>
              <w:rPr>
                <w:rFonts w:ascii="Verdana" w:hAnsi="Verdana" w:cs="Times New Roman"/>
                <w:b/>
                <w:noProof/>
                <w:sz w:val="16"/>
                <w:szCs w:val="16"/>
              </w:rPr>
            </w:pPr>
            <w:r w:rsidRPr="00B77326">
              <w:rPr>
                <w:rFonts w:ascii="Verdana" w:hAnsi="Verdana" w:cs="Times New Roman"/>
                <w:b/>
                <w:noProof/>
                <w:sz w:val="16"/>
                <w:szCs w:val="16"/>
              </w:rPr>
              <w:t xml:space="preserve">Expected impact of policy option </w:t>
            </w:r>
            <w:r w:rsidR="001C5034">
              <w:rPr>
                <w:rFonts w:ascii="Verdana" w:hAnsi="Verdana" w:cs="Times New Roman"/>
                <w:b/>
                <w:noProof/>
                <w:sz w:val="16"/>
                <w:szCs w:val="16"/>
              </w:rPr>
              <w:t>1.</w:t>
            </w:r>
            <w:r w:rsidRPr="00B77326">
              <w:rPr>
                <w:rFonts w:ascii="Verdana" w:hAnsi="Verdana" w:cs="Times New Roman"/>
                <w:b/>
                <w:noProof/>
                <w:sz w:val="16"/>
                <w:szCs w:val="16"/>
              </w:rPr>
              <w:t>3</w:t>
            </w:r>
          </w:p>
        </w:tc>
      </w:tr>
      <w:tr w:rsidR="00C76702" w:rsidRPr="00CC4C89" w14:paraId="1253D0DB" w14:textId="77777777" w:rsidTr="009D6B1A">
        <w:tc>
          <w:tcPr>
            <w:tcW w:w="9889" w:type="dxa"/>
            <w:tcBorders>
              <w:bottom w:val="single" w:sz="4" w:space="0" w:color="auto"/>
            </w:tcBorders>
            <w:shd w:val="clear" w:color="auto" w:fill="BDD6EE" w:themeFill="accent1" w:themeFillTint="66"/>
          </w:tcPr>
          <w:p w14:paraId="68E773D6"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rsidRPr="00CC4C89" w14:paraId="31ADE0B1" w14:textId="77777777" w:rsidTr="009D6B1A">
        <w:tc>
          <w:tcPr>
            <w:tcW w:w="9889" w:type="dxa"/>
            <w:shd w:val="clear" w:color="auto" w:fill="DEEAF6" w:themeFill="accent1" w:themeFillTint="33"/>
          </w:tcPr>
          <w:p w14:paraId="34801B8E"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to the security of the European citizens and societies. On top of option </w:t>
            </w:r>
            <w:r w:rsidR="00AB352C">
              <w:rPr>
                <w:rFonts w:ascii="Verdana" w:hAnsi="Verdana" w:cs="Times New Roman"/>
                <w:noProof/>
                <w:sz w:val="16"/>
                <w:szCs w:val="16"/>
              </w:rPr>
              <w:t>1.</w:t>
            </w:r>
            <w:r w:rsidRPr="00B77326">
              <w:rPr>
                <w:rFonts w:ascii="Verdana" w:hAnsi="Verdana" w:cs="Times New Roman"/>
                <w:noProof/>
                <w:sz w:val="16"/>
                <w:szCs w:val="16"/>
              </w:rPr>
              <w:t>2, provisions ensuring compliance with deadlines requirements by which data is to be made available to another Member State, including when a judicial authorisation is required, would</w:t>
            </w:r>
            <w:r w:rsidRPr="00B77326">
              <w:rPr>
                <w:rFonts w:ascii="Verdana" w:hAnsi="Verdana" w:cs="Times New Roman"/>
                <w:b/>
                <w:noProof/>
                <w:sz w:val="16"/>
                <w:szCs w:val="16"/>
              </w:rPr>
              <w:t xml:space="preserve"> highly </w:t>
            </w:r>
            <w:r w:rsidRPr="00B77326">
              <w:rPr>
                <w:rFonts w:ascii="Verdana" w:hAnsi="Verdana" w:cs="Times New Roman"/>
                <w:noProof/>
                <w:sz w:val="16"/>
                <w:szCs w:val="16"/>
              </w:rPr>
              <w:t xml:space="preserve">support Member States to more effectively counter any forms of </w:t>
            </w:r>
            <w:r w:rsidR="007D27F6">
              <w:rPr>
                <w:rFonts w:ascii="Verdana" w:hAnsi="Verdana" w:cs="Times New Roman"/>
                <w:noProof/>
                <w:sz w:val="16"/>
                <w:szCs w:val="16"/>
              </w:rPr>
              <w:t>criminal offences</w:t>
            </w:r>
            <w:r w:rsidRPr="00B77326">
              <w:rPr>
                <w:rFonts w:ascii="Verdana" w:hAnsi="Verdana" w:cs="Times New Roman"/>
                <w:noProof/>
                <w:sz w:val="16"/>
                <w:szCs w:val="16"/>
              </w:rPr>
              <w:t>. This would also cleary reduce undue delays in the information sharing.</w:t>
            </w:r>
            <w:r w:rsidR="000660AD">
              <w:rPr>
                <w:rFonts w:ascii="Verdana" w:hAnsi="Verdana" w:cs="Times New Roman"/>
                <w:noProof/>
                <w:sz w:val="16"/>
                <w:szCs w:val="16"/>
              </w:rPr>
              <w:t xml:space="preserve"> </w:t>
            </w:r>
          </w:p>
        </w:tc>
      </w:tr>
      <w:tr w:rsidR="00C76702" w:rsidRPr="00CC4C89" w14:paraId="4E76EE6B" w14:textId="77777777" w:rsidTr="009D6B1A">
        <w:tc>
          <w:tcPr>
            <w:tcW w:w="9889" w:type="dxa"/>
            <w:tcBorders>
              <w:bottom w:val="single" w:sz="4" w:space="0" w:color="auto"/>
            </w:tcBorders>
            <w:shd w:val="clear" w:color="auto" w:fill="BDD6EE" w:themeFill="accent1" w:themeFillTint="66"/>
          </w:tcPr>
          <w:p w14:paraId="7691B26D"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rsidRPr="00CC4C89" w14:paraId="396D1D74" w14:textId="77777777" w:rsidTr="009D6B1A">
        <w:tc>
          <w:tcPr>
            <w:tcW w:w="9889" w:type="dxa"/>
            <w:shd w:val="clear" w:color="auto" w:fill="DEEAF6" w:themeFill="accent1" w:themeFillTint="33"/>
          </w:tcPr>
          <w:p w14:paraId="43A54B39"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on national authorities, which could </w:t>
            </w:r>
            <w:r w:rsidRPr="00B77326">
              <w:rPr>
                <w:rFonts w:ascii="Verdana" w:hAnsi="Verdana" w:cs="Times New Roman"/>
                <w:b/>
                <w:noProof/>
                <w:sz w:val="16"/>
                <w:szCs w:val="16"/>
              </w:rPr>
              <w:t>highly</w:t>
            </w:r>
            <w:r w:rsidRPr="00B77326">
              <w:rPr>
                <w:rFonts w:ascii="Verdana" w:hAnsi="Verdana" w:cs="Times New Roman"/>
                <w:noProof/>
                <w:sz w:val="16"/>
                <w:szCs w:val="16"/>
              </w:rPr>
              <w:t xml:space="preserve"> contribute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to efficiently combat</w:t>
            </w:r>
            <w:r w:rsidR="00954B41">
              <w:rPr>
                <w:rFonts w:ascii="Verdana" w:hAnsi="Verdana" w:cs="Times New Roman"/>
                <w:noProof/>
                <w:sz w:val="16"/>
                <w:szCs w:val="16"/>
              </w:rPr>
              <w:t xml:space="preserve"> criminal offences</w:t>
            </w:r>
            <w:r w:rsidRPr="00B77326">
              <w:rPr>
                <w:rFonts w:ascii="Verdana" w:hAnsi="Verdana" w:cs="Times New Roman"/>
                <w:noProof/>
                <w:sz w:val="16"/>
                <w:szCs w:val="16"/>
              </w:rPr>
              <w:t xml:space="preserve">, because of the provisions ensuring compliance with deadlines, including when a judicial authorisation is required. </w:t>
            </w:r>
          </w:p>
          <w:p w14:paraId="3743A712"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A </w:t>
            </w:r>
            <w:r w:rsidRPr="00B77326">
              <w:rPr>
                <w:rFonts w:ascii="Verdana" w:hAnsi="Verdana" w:cs="Times New Roman"/>
                <w:b/>
                <w:noProof/>
                <w:sz w:val="16"/>
                <w:szCs w:val="16"/>
              </w:rPr>
              <w:t xml:space="preserve">significant </w:t>
            </w:r>
            <w:r w:rsidRPr="00B77326">
              <w:rPr>
                <w:rFonts w:ascii="Verdana" w:hAnsi="Verdana" w:cs="Times New Roman"/>
                <w:noProof/>
                <w:sz w:val="16"/>
                <w:szCs w:val="16"/>
              </w:rPr>
              <w:t xml:space="preserve">negative impact would be a </w:t>
            </w:r>
            <w:r w:rsidRPr="00B77326">
              <w:rPr>
                <w:rFonts w:ascii="Verdana" w:hAnsi="Verdana" w:cs="Times New Roman"/>
                <w:b/>
                <w:noProof/>
                <w:sz w:val="16"/>
                <w:szCs w:val="16"/>
              </w:rPr>
              <w:t>possible significant</w:t>
            </w:r>
            <w:r w:rsidRPr="00B77326">
              <w:rPr>
                <w:rFonts w:ascii="Verdana" w:hAnsi="Verdana" w:cs="Times New Roman"/>
                <w:noProof/>
                <w:sz w:val="16"/>
                <w:szCs w:val="16"/>
              </w:rPr>
              <w:t xml:space="preserve"> workoad pressure for national SPOCs to deliver in a timely fashion.</w:t>
            </w:r>
          </w:p>
        </w:tc>
      </w:tr>
      <w:tr w:rsidR="00C76702" w:rsidRPr="00CC4C89" w14:paraId="39AB86DE" w14:textId="77777777" w:rsidTr="009D6B1A">
        <w:tc>
          <w:tcPr>
            <w:tcW w:w="9889" w:type="dxa"/>
            <w:tcBorders>
              <w:bottom w:val="single" w:sz="4" w:space="0" w:color="auto"/>
            </w:tcBorders>
            <w:shd w:val="clear" w:color="auto" w:fill="BDD6EE" w:themeFill="accent1" w:themeFillTint="66"/>
          </w:tcPr>
          <w:p w14:paraId="2A0FC2A9"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rsidRPr="00CC4C89" w14:paraId="33037638" w14:textId="77777777" w:rsidTr="009D6B1A">
        <w:tc>
          <w:tcPr>
            <w:tcW w:w="9889" w:type="dxa"/>
            <w:shd w:val="clear" w:color="auto" w:fill="DEEAF6" w:themeFill="accent1" w:themeFillTint="33"/>
          </w:tcPr>
          <w:p w14:paraId="0461B257"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On top of option </w:t>
            </w:r>
            <w:r w:rsidR="001C5034">
              <w:rPr>
                <w:rFonts w:ascii="Verdana" w:hAnsi="Verdana" w:cs="Times New Roman"/>
                <w:noProof/>
                <w:sz w:val="16"/>
                <w:szCs w:val="16"/>
              </w:rPr>
              <w:t>1.</w:t>
            </w:r>
            <w:r w:rsidRPr="00B77326">
              <w:rPr>
                <w:rFonts w:ascii="Verdana" w:hAnsi="Verdana" w:cs="Times New Roman"/>
                <w:noProof/>
                <w:sz w:val="16"/>
                <w:szCs w:val="16"/>
              </w:rPr>
              <w:t xml:space="preserve">2, the the provisions ensuring compliance with deadlines, including when a judicial authorisation is required would </w:t>
            </w:r>
            <w:r w:rsidRPr="00B77326">
              <w:rPr>
                <w:rFonts w:ascii="Verdana" w:hAnsi="Verdana" w:cs="Times New Roman"/>
                <w:b/>
                <w:noProof/>
                <w:sz w:val="16"/>
                <w:szCs w:val="16"/>
              </w:rPr>
              <w:t>highly</w:t>
            </w:r>
            <w:r w:rsidRPr="00B77326">
              <w:rPr>
                <w:rFonts w:ascii="Verdana" w:hAnsi="Verdana" w:cs="Times New Roman"/>
                <w:noProof/>
                <w:sz w:val="16"/>
                <w:szCs w:val="16"/>
              </w:rPr>
              <w:t xml:space="preserve"> contribute to facilitate the timely support of Europol.</w:t>
            </w:r>
          </w:p>
        </w:tc>
      </w:tr>
      <w:tr w:rsidR="00C76702" w:rsidRPr="002E63DD" w14:paraId="3BD58B47" w14:textId="77777777" w:rsidTr="009D6B1A">
        <w:tc>
          <w:tcPr>
            <w:tcW w:w="9889" w:type="dxa"/>
            <w:tcBorders>
              <w:bottom w:val="single" w:sz="4" w:space="0" w:color="auto"/>
            </w:tcBorders>
            <w:shd w:val="clear" w:color="auto" w:fill="BDD6EE" w:themeFill="accent1" w:themeFillTint="66"/>
          </w:tcPr>
          <w:p w14:paraId="26DB082E"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4. Impact on fundamental rights [++]</w:t>
            </w:r>
          </w:p>
        </w:tc>
      </w:tr>
      <w:tr w:rsidR="00C76702" w:rsidRPr="002E63DD" w14:paraId="1D2C9A8D" w14:textId="77777777" w:rsidTr="009D6B1A">
        <w:tc>
          <w:tcPr>
            <w:tcW w:w="9889" w:type="dxa"/>
            <w:shd w:val="clear" w:color="auto" w:fill="DEEAF6" w:themeFill="accent1" w:themeFillTint="33"/>
          </w:tcPr>
          <w:p w14:paraId="0A4CEFF9" w14:textId="612649D9" w:rsidR="00C76702" w:rsidRPr="000660AD" w:rsidRDefault="00FA0D3C" w:rsidP="00634684">
            <w:pPr>
              <w:pStyle w:val="Body"/>
              <w:numPr>
                <w:ilvl w:val="0"/>
                <w:numId w:val="29"/>
              </w:numPr>
              <w:spacing w:after="0"/>
              <w:jc w:val="both"/>
              <w:rPr>
                <w:noProof/>
                <w:sz w:val="16"/>
                <w:szCs w:val="16"/>
              </w:rPr>
            </w:pPr>
            <w:r>
              <w:rPr>
                <w:b/>
                <w:noProof/>
                <w:sz w:val="16"/>
                <w:szCs w:val="16"/>
              </w:rPr>
              <w:t>Siginificant</w:t>
            </w:r>
            <w:r w:rsidR="00C76702" w:rsidRPr="00B77326">
              <w:rPr>
                <w:b/>
                <w:noProof/>
                <w:sz w:val="16"/>
                <w:szCs w:val="16"/>
              </w:rPr>
              <w:t xml:space="preserve"> </w:t>
            </w:r>
            <w:r w:rsidR="00C76702" w:rsidRPr="00B77326">
              <w:rPr>
                <w:noProof/>
                <w:sz w:val="16"/>
                <w:szCs w:val="16"/>
              </w:rPr>
              <w:t>positive impact.</w:t>
            </w:r>
          </w:p>
          <w:p w14:paraId="449EDA61" w14:textId="77777777" w:rsidR="00A608D8" w:rsidRPr="00CB254C" w:rsidRDefault="00CB254C" w:rsidP="00900BC7">
            <w:pPr>
              <w:pStyle w:val="Body"/>
              <w:numPr>
                <w:ilvl w:val="0"/>
                <w:numId w:val="31"/>
              </w:numPr>
              <w:spacing w:after="120"/>
              <w:ind w:left="714" w:hanging="357"/>
              <w:jc w:val="both"/>
              <w:rPr>
                <w:noProof/>
                <w:sz w:val="16"/>
                <w:szCs w:val="16"/>
              </w:rPr>
            </w:pPr>
            <w:r>
              <w:rPr>
                <w:noProof/>
                <w:sz w:val="16"/>
                <w:szCs w:val="16"/>
              </w:rPr>
              <w:t>C</w:t>
            </w:r>
            <w:r w:rsidRPr="00945713">
              <w:rPr>
                <w:noProof/>
                <w:sz w:val="16"/>
                <w:szCs w:val="16"/>
              </w:rPr>
              <w:t xml:space="preserve">ompliance with the deadlines by which data are to be made available to another Member State is often not ensured. One of the negative consequences could be that citizens who are (wrongfully) subject to criminal investigations are not cleared from pending charges as swiftly as possible. This option would address that. </w:t>
            </w:r>
          </w:p>
        </w:tc>
      </w:tr>
      <w:tr w:rsidR="00C76702" w:rsidRPr="00475E9D" w14:paraId="37E58F99" w14:textId="77777777" w:rsidTr="009D6B1A">
        <w:tc>
          <w:tcPr>
            <w:tcW w:w="9889" w:type="dxa"/>
            <w:tcBorders>
              <w:bottom w:val="single" w:sz="4" w:space="0" w:color="auto"/>
            </w:tcBorders>
            <w:shd w:val="clear" w:color="auto" w:fill="BDD6EE" w:themeFill="accent1" w:themeFillTint="66"/>
          </w:tcPr>
          <w:p w14:paraId="5331C87F"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 xml:space="preserve">5. Effectiveness in meeting the policy objectives [+++] </w:t>
            </w:r>
          </w:p>
        </w:tc>
      </w:tr>
      <w:tr w:rsidR="00C76702" w:rsidRPr="00F66492" w14:paraId="521279F6" w14:textId="77777777" w:rsidTr="009D6B1A">
        <w:tc>
          <w:tcPr>
            <w:tcW w:w="9889" w:type="dxa"/>
            <w:shd w:val="clear" w:color="auto" w:fill="DEEAF6" w:themeFill="accent1" w:themeFillTint="33"/>
          </w:tcPr>
          <w:p w14:paraId="7CC2A3CA" w14:textId="77777777" w:rsidR="00C76702" w:rsidRPr="00B77326"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 xml:space="preserve">Highly positive impact. </w:t>
            </w:r>
            <w:r w:rsidRPr="00B77326">
              <w:rPr>
                <w:rFonts w:ascii="Verdana" w:hAnsi="Verdana" w:cs="Times New Roman"/>
                <w:noProof/>
                <w:sz w:val="16"/>
                <w:szCs w:val="16"/>
              </w:rPr>
              <w:t xml:space="preserve">This policy option would </w:t>
            </w:r>
            <w:r w:rsidRPr="00B77326">
              <w:rPr>
                <w:rFonts w:ascii="Verdana" w:hAnsi="Verdana" w:cs="Times New Roman"/>
                <w:b/>
                <w:noProof/>
                <w:sz w:val="16"/>
                <w:szCs w:val="16"/>
              </w:rPr>
              <w:t>clearly</w:t>
            </w:r>
            <w:r w:rsidRPr="00B77326">
              <w:rPr>
                <w:rFonts w:ascii="Verdana" w:hAnsi="Verdana" w:cs="Times New Roman"/>
                <w:noProof/>
                <w:sz w:val="16"/>
                <w:szCs w:val="16"/>
              </w:rPr>
              <w:t xml:space="preserve"> address the objective of facilitating the implementation of the principle of equivalent access to information and intelligence held in another Member State while complying with fundamental rights and data protection requirements. The better respect of deadlines, including when a judicial authorisation is required, would be ensured.</w:t>
            </w:r>
          </w:p>
        </w:tc>
      </w:tr>
      <w:tr w:rsidR="00C76702" w:rsidRPr="00475E9D" w14:paraId="3A9CA27A" w14:textId="77777777" w:rsidTr="009D6B1A">
        <w:tc>
          <w:tcPr>
            <w:tcW w:w="9889" w:type="dxa"/>
            <w:shd w:val="clear" w:color="auto" w:fill="BDD6EE" w:themeFill="accent1" w:themeFillTint="66"/>
          </w:tcPr>
          <w:p w14:paraId="29DDBCB1" w14:textId="2B6E1079" w:rsidR="00C76702" w:rsidRPr="00B77326" w:rsidRDefault="00C76702" w:rsidP="00EB7963">
            <w:pPr>
              <w:spacing w:before="60" w:after="60"/>
              <w:rPr>
                <w:rFonts w:ascii="Verdana" w:hAnsi="Verdana" w:cs="Times New Roman"/>
                <w:noProof/>
                <w:sz w:val="16"/>
                <w:szCs w:val="16"/>
              </w:rPr>
            </w:pPr>
            <w:r w:rsidRPr="00B77326">
              <w:rPr>
                <w:rFonts w:ascii="Verdana" w:hAnsi="Verdana" w:cs="Times New Roman"/>
                <w:b/>
                <w:noProof/>
                <w:sz w:val="16"/>
                <w:szCs w:val="16"/>
              </w:rPr>
              <w:t>6. Efficiency in meeting the policy objectives [</w:t>
            </w:r>
            <w:r w:rsidR="00A04EF4">
              <w:rPr>
                <w:rFonts w:ascii="Verdana" w:hAnsi="Verdana" w:cs="Times New Roman"/>
                <w:b/>
                <w:noProof/>
                <w:sz w:val="16"/>
                <w:szCs w:val="16"/>
              </w:rPr>
              <w:t>++</w:t>
            </w:r>
            <w:r w:rsidRPr="00B77326">
              <w:rPr>
                <w:rFonts w:ascii="Verdana" w:hAnsi="Verdana" w:cs="Times New Roman"/>
                <w:b/>
                <w:noProof/>
                <w:sz w:val="16"/>
                <w:szCs w:val="16"/>
              </w:rPr>
              <w:t xml:space="preserve">] </w:t>
            </w:r>
          </w:p>
        </w:tc>
      </w:tr>
      <w:tr w:rsidR="00C76702" w:rsidRPr="00475E9D" w14:paraId="49F04E25" w14:textId="77777777" w:rsidTr="009D6B1A">
        <w:tc>
          <w:tcPr>
            <w:tcW w:w="9889" w:type="dxa"/>
            <w:shd w:val="clear" w:color="auto" w:fill="DEEAF6" w:themeFill="accent1" w:themeFillTint="33"/>
          </w:tcPr>
          <w:p w14:paraId="2611E36F" w14:textId="77777777" w:rsidR="00C76702" w:rsidRPr="001175D8"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1175D8">
              <w:rPr>
                <w:rFonts w:ascii="Verdana" w:hAnsi="Verdana" w:cs="Times New Roman"/>
                <w:noProof/>
                <w:sz w:val="16"/>
                <w:szCs w:val="16"/>
              </w:rPr>
              <w:t xml:space="preserve">As option </w:t>
            </w:r>
            <w:r w:rsidR="001C5034">
              <w:rPr>
                <w:rFonts w:ascii="Verdana" w:hAnsi="Verdana" w:cs="Times New Roman"/>
                <w:noProof/>
                <w:sz w:val="16"/>
                <w:szCs w:val="16"/>
              </w:rPr>
              <w:t>1.</w:t>
            </w:r>
            <w:r w:rsidRPr="001175D8">
              <w:rPr>
                <w:rFonts w:ascii="Verdana" w:hAnsi="Verdana" w:cs="Times New Roman"/>
                <w:noProof/>
                <w:sz w:val="16"/>
                <w:szCs w:val="16"/>
              </w:rPr>
              <w:t xml:space="preserve">2 + option </w:t>
            </w:r>
            <w:r w:rsidR="001C5034">
              <w:rPr>
                <w:rFonts w:ascii="Verdana" w:hAnsi="Verdana" w:cs="Times New Roman"/>
                <w:noProof/>
                <w:sz w:val="16"/>
                <w:szCs w:val="16"/>
              </w:rPr>
              <w:t>1.</w:t>
            </w:r>
            <w:r w:rsidRPr="001175D8">
              <w:rPr>
                <w:rFonts w:ascii="Verdana" w:hAnsi="Verdana" w:cs="Times New Roman"/>
                <w:noProof/>
                <w:sz w:val="16"/>
                <w:szCs w:val="16"/>
              </w:rPr>
              <w:t>3 which would</w:t>
            </w:r>
            <w:r w:rsidRPr="001175D8">
              <w:rPr>
                <w:rFonts w:ascii="Verdana" w:hAnsi="Verdana" w:cs="Times New Roman"/>
                <w:b/>
                <w:noProof/>
                <w:sz w:val="16"/>
                <w:szCs w:val="16"/>
              </w:rPr>
              <w:t xml:space="preserve"> </w:t>
            </w:r>
            <w:r w:rsidRPr="001175D8">
              <w:rPr>
                <w:rFonts w:ascii="Verdana" w:hAnsi="Verdana" w:cs="Times New Roman"/>
                <w:noProof/>
                <w:sz w:val="16"/>
                <w:szCs w:val="16"/>
              </w:rPr>
              <w:t>generate</w:t>
            </w:r>
            <w:r w:rsidRPr="001175D8">
              <w:rPr>
                <w:rFonts w:ascii="Verdana" w:hAnsi="Verdana" w:cs="Times New Roman"/>
                <w:b/>
                <w:noProof/>
                <w:sz w:val="16"/>
                <w:szCs w:val="16"/>
              </w:rPr>
              <w:t xml:space="preserve"> cost</w:t>
            </w:r>
            <w:r>
              <w:rPr>
                <w:rFonts w:ascii="Verdana" w:hAnsi="Verdana" w:cs="Times New Roman"/>
                <w:b/>
                <w:noProof/>
                <w:sz w:val="16"/>
                <w:szCs w:val="16"/>
              </w:rPr>
              <w:t>s</w:t>
            </w:r>
            <w:r w:rsidRPr="001175D8">
              <w:rPr>
                <w:rFonts w:ascii="Verdana" w:hAnsi="Verdana" w:cs="Times New Roman"/>
                <w:b/>
                <w:noProof/>
                <w:sz w:val="16"/>
                <w:szCs w:val="16"/>
              </w:rPr>
              <w:t xml:space="preserve"> </w:t>
            </w:r>
            <w:r w:rsidRPr="001175D8">
              <w:rPr>
                <w:rFonts w:ascii="Verdana" w:hAnsi="Verdana" w:cs="Times New Roman"/>
                <w:noProof/>
                <w:sz w:val="16"/>
                <w:szCs w:val="16"/>
              </w:rPr>
              <w:t>for a number of</w:t>
            </w:r>
            <w:r w:rsidRPr="001175D8">
              <w:rPr>
                <w:rFonts w:ascii="Verdana" w:hAnsi="Verdana" w:cs="Times New Roman"/>
                <w:b/>
                <w:noProof/>
                <w:sz w:val="16"/>
                <w:szCs w:val="16"/>
              </w:rPr>
              <w:t xml:space="preserve"> Member States. </w:t>
            </w:r>
          </w:p>
          <w:p w14:paraId="174EED3F" w14:textId="7E9BDE9A" w:rsidR="00C76702" w:rsidRPr="00B77326" w:rsidRDefault="00C76702" w:rsidP="00FE0E3B">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The</w:t>
            </w:r>
            <w:r>
              <w:rPr>
                <w:rFonts w:ascii="Verdana" w:hAnsi="Verdana" w:cs="Times New Roman"/>
                <w:noProof/>
                <w:sz w:val="16"/>
                <w:szCs w:val="16"/>
              </w:rPr>
              <w:t>se</w:t>
            </w:r>
            <w:r w:rsidRPr="00B77326">
              <w:rPr>
                <w:rFonts w:ascii="Verdana" w:hAnsi="Verdana" w:cs="Times New Roman"/>
                <w:noProof/>
                <w:sz w:val="16"/>
                <w:szCs w:val="16"/>
              </w:rPr>
              <w:t xml:space="preserve"> cost</w:t>
            </w:r>
            <w:r>
              <w:rPr>
                <w:rFonts w:ascii="Verdana" w:hAnsi="Verdana" w:cs="Times New Roman"/>
                <w:noProof/>
                <w:sz w:val="16"/>
                <w:szCs w:val="16"/>
              </w:rPr>
              <w:t>s</w:t>
            </w:r>
            <w:r w:rsidRPr="00B77326">
              <w:rPr>
                <w:rFonts w:ascii="Verdana" w:hAnsi="Verdana" w:cs="Times New Roman"/>
                <w:noProof/>
                <w:sz w:val="16"/>
                <w:szCs w:val="16"/>
              </w:rPr>
              <w:t xml:space="preserve"> would vary </w:t>
            </w:r>
            <w:r>
              <w:rPr>
                <w:rFonts w:ascii="Verdana" w:hAnsi="Verdana" w:cs="Times New Roman"/>
                <w:noProof/>
                <w:sz w:val="16"/>
                <w:szCs w:val="16"/>
              </w:rPr>
              <w:t xml:space="preserve">significantly </w:t>
            </w:r>
            <w:r w:rsidRPr="00B77326">
              <w:rPr>
                <w:rFonts w:ascii="Verdana" w:hAnsi="Verdana" w:cs="Times New Roman"/>
                <w:noProof/>
                <w:sz w:val="16"/>
                <w:szCs w:val="16"/>
              </w:rPr>
              <w:t>depending on the solution adopted by the concerned Member States to ensure the functional availability of a judicial authority.</w:t>
            </w:r>
            <w:r w:rsidR="00A04EF4">
              <w:rPr>
                <w:rFonts w:ascii="Verdana" w:hAnsi="Verdana" w:cs="Times New Roman"/>
                <w:noProof/>
                <w:sz w:val="16"/>
                <w:szCs w:val="16"/>
              </w:rPr>
              <w:t xml:space="preserve"> They don't outweight benefits.</w:t>
            </w:r>
          </w:p>
        </w:tc>
      </w:tr>
      <w:tr w:rsidR="00C76702" w:rsidRPr="00475E9D" w14:paraId="57C20B67" w14:textId="77777777" w:rsidTr="009D6B1A">
        <w:tc>
          <w:tcPr>
            <w:tcW w:w="9889" w:type="dxa"/>
            <w:tcBorders>
              <w:bottom w:val="single" w:sz="4" w:space="0" w:color="auto"/>
            </w:tcBorders>
            <w:shd w:val="clear" w:color="auto" w:fill="BDD6EE" w:themeFill="accent1" w:themeFillTint="66"/>
          </w:tcPr>
          <w:p w14:paraId="22F2CD7D" w14:textId="77777777" w:rsidR="00C76702" w:rsidRPr="00B77326" w:rsidRDefault="00C76702" w:rsidP="007933A1">
            <w:pPr>
              <w:spacing w:before="60" w:after="60"/>
              <w:rPr>
                <w:rFonts w:ascii="Verdana" w:hAnsi="Verdana" w:cs="Times New Roman"/>
                <w:b/>
                <w:noProof/>
                <w:sz w:val="16"/>
                <w:szCs w:val="16"/>
              </w:rPr>
            </w:pPr>
            <w:r w:rsidRPr="00B77326">
              <w:rPr>
                <w:rFonts w:ascii="Verdana" w:hAnsi="Verdana" w:cs="Times New Roman"/>
                <w:b/>
                <w:noProof/>
                <w:sz w:val="16"/>
                <w:szCs w:val="16"/>
              </w:rPr>
              <w:t>7. Legal feasibility [++]</w:t>
            </w:r>
          </w:p>
        </w:tc>
      </w:tr>
      <w:tr w:rsidR="00C76702" w:rsidRPr="00475E9D" w14:paraId="05034548" w14:textId="77777777" w:rsidTr="009D6B1A">
        <w:tc>
          <w:tcPr>
            <w:tcW w:w="9889" w:type="dxa"/>
            <w:shd w:val="clear" w:color="auto" w:fill="DEEAF6" w:themeFill="accent1" w:themeFillTint="33"/>
          </w:tcPr>
          <w:p w14:paraId="4A3C43D6" w14:textId="77777777" w:rsidR="00C76702" w:rsidRPr="00945713" w:rsidRDefault="00C76702" w:rsidP="000B505F">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policy option w</w:t>
            </w:r>
            <w:r>
              <w:rPr>
                <w:rFonts w:ascii="Verdana" w:hAnsi="Verdana" w:cs="Times New Roman"/>
                <w:noProof/>
                <w:sz w:val="16"/>
                <w:szCs w:val="16"/>
              </w:rPr>
              <w:t>ill</w:t>
            </w:r>
            <w:r w:rsidRPr="00B77326">
              <w:rPr>
                <w:rFonts w:ascii="Verdana" w:hAnsi="Verdana" w:cs="Times New Roman"/>
                <w:noProof/>
                <w:sz w:val="16"/>
                <w:szCs w:val="16"/>
              </w:rPr>
              <w:t xml:space="preserve"> require changes to the Swedish Framework Decision.</w:t>
            </w:r>
            <w:r w:rsidR="00005AEB">
              <w:rPr>
                <w:rFonts w:ascii="Verdana" w:hAnsi="Verdana" w:cs="Times New Roman"/>
                <w:noProof/>
                <w:sz w:val="16"/>
                <w:szCs w:val="16"/>
              </w:rPr>
              <w:t xml:space="preserve"> It</w:t>
            </w:r>
            <w:r w:rsidR="00005AEB">
              <w:rPr>
                <w:noProof/>
              </w:rPr>
              <w:t xml:space="preserve"> </w:t>
            </w:r>
            <w:r w:rsidR="00005AEB" w:rsidRPr="00B5430F">
              <w:rPr>
                <w:rFonts w:ascii="Verdana" w:hAnsi="Verdana"/>
                <w:noProof/>
                <w:sz w:val="16"/>
              </w:rPr>
              <w:t>ensures the</w:t>
            </w:r>
            <w:r w:rsidR="00005AEB" w:rsidRPr="00B5430F">
              <w:rPr>
                <w:noProof/>
                <w:sz w:val="16"/>
              </w:rPr>
              <w:t xml:space="preserve"> </w:t>
            </w:r>
            <w:r w:rsidR="00005AEB" w:rsidRPr="00B5430F">
              <w:rPr>
                <w:rFonts w:ascii="Verdana" w:hAnsi="Verdana"/>
                <w:noProof/>
                <w:sz w:val="16"/>
              </w:rPr>
              <w:t>respect</w:t>
            </w:r>
            <w:r w:rsidR="00005AEB">
              <w:rPr>
                <w:rFonts w:ascii="Verdana" w:hAnsi="Verdana"/>
                <w:noProof/>
                <w:sz w:val="16"/>
              </w:rPr>
              <w:t xml:space="preserve"> of the </w:t>
            </w:r>
            <w:r w:rsidR="00005AEB" w:rsidRPr="00B5430F">
              <w:rPr>
                <w:rFonts w:ascii="Verdana" w:hAnsi="Verdana"/>
                <w:noProof/>
                <w:sz w:val="16"/>
              </w:rPr>
              <w:t>conferral</w:t>
            </w:r>
            <w:r w:rsidR="00005AEB">
              <w:rPr>
                <w:rFonts w:ascii="Verdana" w:hAnsi="Verdana"/>
                <w:noProof/>
                <w:sz w:val="16"/>
              </w:rPr>
              <w:t xml:space="preserve"> of powers </w:t>
            </w:r>
            <w:r w:rsidR="00005AEB" w:rsidRPr="00B5430F">
              <w:rPr>
                <w:rFonts w:ascii="Verdana" w:hAnsi="Verdana"/>
                <w:noProof/>
                <w:sz w:val="16"/>
              </w:rPr>
              <w:t xml:space="preserve">and </w:t>
            </w:r>
            <w:r w:rsidR="00005AEB">
              <w:rPr>
                <w:rFonts w:ascii="Verdana" w:hAnsi="Verdana"/>
                <w:noProof/>
                <w:sz w:val="16"/>
              </w:rPr>
              <w:t xml:space="preserve">of </w:t>
            </w:r>
            <w:r w:rsidR="00005AEB" w:rsidRPr="00B5430F">
              <w:rPr>
                <w:rFonts w:ascii="Verdana" w:hAnsi="Verdana"/>
                <w:noProof/>
                <w:sz w:val="16"/>
              </w:rPr>
              <w:t>fundamental rights</w:t>
            </w:r>
            <w:r w:rsidR="00005AEB">
              <w:rPr>
                <w:rFonts w:ascii="Verdana" w:hAnsi="Verdana"/>
                <w:noProof/>
                <w:sz w:val="16"/>
              </w:rPr>
              <w:t>.</w:t>
            </w:r>
          </w:p>
        </w:tc>
      </w:tr>
      <w:tr w:rsidR="005D0A3D" w:rsidRPr="00475E9D" w14:paraId="459DB8ED" w14:textId="77777777" w:rsidTr="000660AD">
        <w:tc>
          <w:tcPr>
            <w:tcW w:w="9889" w:type="dxa"/>
            <w:shd w:val="clear" w:color="auto" w:fill="BDD6EE" w:themeFill="accent1" w:themeFillTint="66"/>
          </w:tcPr>
          <w:p w14:paraId="69859B25" w14:textId="77777777" w:rsidR="005D0A3D" w:rsidRPr="00945713" w:rsidRDefault="005D0A3D" w:rsidP="00945713">
            <w:pPr>
              <w:widowControl w:val="0"/>
              <w:adjustRightInd w:val="0"/>
              <w:spacing w:before="60" w:after="60" w:line="240" w:lineRule="auto"/>
              <w:jc w:val="both"/>
              <w:textAlignment w:val="baseline"/>
              <w:rPr>
                <w:rFonts w:ascii="Verdana" w:hAnsi="Verdana" w:cs="Times New Roman"/>
                <w:b/>
                <w:noProof/>
                <w:sz w:val="16"/>
                <w:szCs w:val="16"/>
              </w:rPr>
            </w:pPr>
            <w:r w:rsidRPr="00945713">
              <w:rPr>
                <w:rFonts w:ascii="Verdana" w:hAnsi="Verdana" w:cs="Times New Roman"/>
                <w:b/>
                <w:noProof/>
                <w:sz w:val="16"/>
                <w:szCs w:val="16"/>
              </w:rPr>
              <w:t>8. technical feasibility</w:t>
            </w:r>
            <w:r w:rsidR="005101C8">
              <w:rPr>
                <w:rFonts w:ascii="Verdana" w:hAnsi="Verdana" w:cs="Times New Roman"/>
                <w:b/>
                <w:noProof/>
                <w:sz w:val="16"/>
                <w:szCs w:val="16"/>
              </w:rPr>
              <w:t xml:space="preserve"> [+++]</w:t>
            </w:r>
          </w:p>
        </w:tc>
      </w:tr>
      <w:tr w:rsidR="005D0A3D" w:rsidRPr="00475E9D" w14:paraId="0B85E6A1" w14:textId="77777777" w:rsidTr="009D6B1A">
        <w:tc>
          <w:tcPr>
            <w:tcW w:w="9889" w:type="dxa"/>
            <w:shd w:val="clear" w:color="auto" w:fill="DEEAF6" w:themeFill="accent1" w:themeFillTint="33"/>
          </w:tcPr>
          <w:p w14:paraId="4ECC37CF" w14:textId="77777777" w:rsidR="005D0A3D" w:rsidRPr="00B77326" w:rsidRDefault="005D0A3D"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policy option would be technically feasible.</w:t>
            </w:r>
            <w:r w:rsidR="00961F6D">
              <w:rPr>
                <w:rFonts w:ascii="Verdana" w:hAnsi="Verdana" w:cs="Times New Roman"/>
                <w:noProof/>
                <w:sz w:val="16"/>
                <w:szCs w:val="16"/>
              </w:rPr>
              <w:t xml:space="preserve"> </w:t>
            </w:r>
            <w:r w:rsidR="00961F6D" w:rsidRPr="00417C64">
              <w:rPr>
                <w:rFonts w:ascii="Verdana" w:hAnsi="Verdana"/>
                <w:noProof/>
                <w:sz w:val="16"/>
                <w:szCs w:val="16"/>
              </w:rPr>
              <w:t>Member States would need to take the necessary steps to ensure</w:t>
            </w:r>
            <w:r w:rsidR="00961F6D" w:rsidRPr="00417C64">
              <w:rPr>
                <w:noProof/>
                <w:sz w:val="18"/>
              </w:rPr>
              <w:t xml:space="preserve"> </w:t>
            </w:r>
            <w:r w:rsidR="00961F6D">
              <w:rPr>
                <w:noProof/>
                <w:sz w:val="18"/>
              </w:rPr>
              <w:t>the implementation of new legal provisions.</w:t>
            </w:r>
          </w:p>
        </w:tc>
      </w:tr>
      <w:tr w:rsidR="00C76702" w:rsidRPr="00475E9D" w14:paraId="69C6EB11" w14:textId="77777777" w:rsidTr="009D6B1A">
        <w:tc>
          <w:tcPr>
            <w:tcW w:w="9889" w:type="dxa"/>
            <w:tcBorders>
              <w:bottom w:val="single" w:sz="4" w:space="0" w:color="auto"/>
            </w:tcBorders>
            <w:shd w:val="clear" w:color="auto" w:fill="BDD6EE" w:themeFill="accent1" w:themeFillTint="66"/>
          </w:tcPr>
          <w:p w14:paraId="11E06D1F" w14:textId="43BE32A3"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9</w:t>
            </w:r>
            <w:r w:rsidR="00C76702" w:rsidRPr="00B77326">
              <w:rPr>
                <w:rFonts w:ascii="Verdana" w:hAnsi="Verdana" w:cs="Times New Roman"/>
                <w:b/>
                <w:noProof/>
                <w:sz w:val="16"/>
                <w:szCs w:val="16"/>
              </w:rPr>
              <w:t xml:space="preserve">. Coherence with other measures [+++] </w:t>
            </w:r>
          </w:p>
        </w:tc>
      </w:tr>
      <w:tr w:rsidR="00C76702" w:rsidRPr="00475E9D" w14:paraId="7A0912FF" w14:textId="77777777" w:rsidTr="009D6B1A">
        <w:trPr>
          <w:trHeight w:val="425"/>
        </w:trPr>
        <w:tc>
          <w:tcPr>
            <w:tcW w:w="9889" w:type="dxa"/>
            <w:tcBorders>
              <w:bottom w:val="single" w:sz="4" w:space="0" w:color="auto"/>
            </w:tcBorders>
            <w:shd w:val="clear" w:color="auto" w:fill="DEEAF6" w:themeFill="accent1" w:themeFillTint="33"/>
          </w:tcPr>
          <w:p w14:paraId="0F34DCD8" w14:textId="77777777" w:rsidR="00C76702" w:rsidRPr="00B77326" w:rsidRDefault="00C76702" w:rsidP="00900BC7">
            <w:pPr>
              <w:pStyle w:val="ListParagraph"/>
              <w:widowControl w:val="0"/>
              <w:numPr>
                <w:ilvl w:val="0"/>
                <w:numId w:val="32"/>
              </w:numPr>
              <w:adjustRightInd w:val="0"/>
              <w:spacing w:before="60" w:after="60" w:line="240" w:lineRule="auto"/>
              <w:jc w:val="both"/>
              <w:textAlignment w:val="baseline"/>
              <w:rPr>
                <w:rFonts w:ascii="Verdana" w:hAnsi="Verdana" w:cs="Times New Roman"/>
                <w:b/>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This policy option would</w:t>
            </w:r>
            <w:r w:rsidRPr="00B77326">
              <w:rPr>
                <w:rFonts w:ascii="Verdana" w:hAnsi="Verdana" w:cs="Times New Roman"/>
                <w:b/>
                <w:noProof/>
                <w:sz w:val="16"/>
                <w:szCs w:val="16"/>
              </w:rPr>
              <w:t xml:space="preserve"> </w:t>
            </w:r>
            <w:r w:rsidR="00F020A0">
              <w:rPr>
                <w:rFonts w:ascii="Verdana" w:hAnsi="Verdana" w:cs="Times New Roman"/>
                <w:b/>
                <w:noProof/>
                <w:sz w:val="16"/>
                <w:szCs w:val="16"/>
              </w:rPr>
              <w:t xml:space="preserve">clearly </w:t>
            </w:r>
            <w:r w:rsidRPr="00B77326">
              <w:rPr>
                <w:rFonts w:ascii="Verdana" w:hAnsi="Verdana" w:cs="Times New Roman"/>
                <w:noProof/>
                <w:sz w:val="16"/>
                <w:szCs w:val="16"/>
              </w:rPr>
              <w:t>complement other Commission initiatives such as the Commission proposals for a new Schengen border code, for Prüm II and for Europol.</w:t>
            </w:r>
          </w:p>
        </w:tc>
      </w:tr>
    </w:tbl>
    <w:p w14:paraId="492ABA3F" w14:textId="77777777" w:rsidR="00C76702" w:rsidRPr="005B0CF0" w:rsidRDefault="00C76702" w:rsidP="00C76702">
      <w:pPr>
        <w:pStyle w:val="Text1"/>
        <w:spacing w:after="120"/>
        <w:ind w:left="0"/>
        <w:rPr>
          <w:b/>
          <w:noProof/>
          <w:sz w:val="16"/>
          <w:szCs w:val="16"/>
        </w:rPr>
      </w:pPr>
    </w:p>
    <w:p w14:paraId="0737D53D" w14:textId="77777777" w:rsidR="00C76702" w:rsidRPr="006A4C22" w:rsidRDefault="00C76702" w:rsidP="009117A9">
      <w:pPr>
        <w:pBdr>
          <w:top w:val="single" w:sz="4" w:space="1" w:color="auto"/>
          <w:left w:val="single" w:sz="4" w:space="4" w:color="auto"/>
          <w:bottom w:val="single" w:sz="4" w:space="1" w:color="auto"/>
          <w:right w:val="single" w:sz="4" w:space="4" w:color="auto"/>
          <w:between w:val="single" w:sz="4" w:space="1" w:color="auto"/>
        </w:pBdr>
        <w:shd w:val="clear" w:color="auto" w:fill="C5E0B3" w:themeFill="accent6" w:themeFillTint="66"/>
        <w:tabs>
          <w:tab w:val="left" w:pos="2302"/>
        </w:tabs>
        <w:spacing w:before="240" w:after="120" w:line="240" w:lineRule="auto"/>
        <w:jc w:val="both"/>
        <w:rPr>
          <w:rFonts w:ascii="Times New Roman" w:eastAsia="Times New Roman" w:hAnsi="Times New Roman" w:cs="Times New Roman"/>
          <w:b/>
          <w:noProof/>
          <w:sz w:val="24"/>
          <w:szCs w:val="24"/>
          <w:u w:val="single"/>
        </w:rPr>
      </w:pPr>
      <w:r w:rsidRPr="006A4C22">
        <w:rPr>
          <w:rFonts w:ascii="Times New Roman" w:eastAsia="Times New Roman" w:hAnsi="Times New Roman" w:cs="Times New Roman"/>
          <w:b/>
          <w:noProof/>
          <w:sz w:val="24"/>
          <w:szCs w:val="24"/>
          <w:u w:val="single"/>
        </w:rPr>
        <w:t>Problem 2:</w:t>
      </w:r>
      <w:r w:rsidRPr="006A4C22">
        <w:rPr>
          <w:rFonts w:ascii="Times New Roman" w:eastAsia="Times New Roman" w:hAnsi="Times New Roman" w:cs="Times New Roman"/>
          <w:b/>
          <w:noProof/>
          <w:sz w:val="24"/>
          <w:szCs w:val="24"/>
        </w:rPr>
        <w:t xml:space="preserve"> Structures and IT systems at national level are not set up and equipped in a sufficiently efficient and effective manner</w:t>
      </w:r>
    </w:p>
    <w:p w14:paraId="03FC2A2E" w14:textId="20A375B2" w:rsidR="00C76702" w:rsidRPr="00005241" w:rsidRDefault="00C76702" w:rsidP="00094199">
      <w:pPr>
        <w:pStyle w:val="Heading2"/>
        <w:rPr>
          <w:noProof/>
        </w:rPr>
      </w:pPr>
      <w:bookmarkStart w:id="101" w:name="_Toc74838179"/>
      <w:bookmarkStart w:id="102" w:name="_Toc83801041"/>
      <w:r w:rsidRPr="00222DD7">
        <w:rPr>
          <w:noProof/>
        </w:rPr>
        <w:t>Objective II:</w:t>
      </w:r>
      <w:r w:rsidRPr="00005241">
        <w:rPr>
          <w:noProof/>
        </w:rPr>
        <w:t xml:space="preserve"> </w:t>
      </w:r>
      <w:r w:rsidRPr="00516D03">
        <w:rPr>
          <w:noProof/>
        </w:rPr>
        <w:t xml:space="preserve">Ensure that all Member States have an effective functioning Single Point of </w:t>
      </w:r>
      <w:r w:rsidRPr="006A4C22">
        <w:rPr>
          <w:noProof/>
        </w:rPr>
        <w:t>Contact (SPOC), including when a judicial authorisation is required to provide the data upon request of another Member State, and ensuring</w:t>
      </w:r>
      <w:r w:rsidRPr="00516D03">
        <w:rPr>
          <w:noProof/>
        </w:rPr>
        <w:t xml:space="preserve"> its effective cooperation with Police and Customs Cooperation Centres (PCCCs)</w:t>
      </w:r>
      <w:bookmarkEnd w:id="101"/>
      <w:bookmarkEnd w:id="102"/>
    </w:p>
    <w:p w14:paraId="7BEACFD8" w14:textId="11067B73" w:rsidR="00C76702" w:rsidRPr="003253EA" w:rsidRDefault="00C76702" w:rsidP="00A414D7">
      <w:pPr>
        <w:pStyle w:val="Text2"/>
        <w:pBdr>
          <w:top w:val="single" w:sz="4" w:space="1" w:color="auto"/>
          <w:left w:val="single" w:sz="4" w:space="4" w:color="auto"/>
          <w:bottom w:val="single" w:sz="4" w:space="1" w:color="auto"/>
          <w:right w:val="single" w:sz="4" w:space="4" w:color="auto"/>
          <w:between w:val="single" w:sz="4" w:space="1" w:color="auto"/>
        </w:pBdr>
        <w:shd w:val="clear" w:color="auto" w:fill="B4C6E7" w:themeFill="accent5" w:themeFillTint="66"/>
        <w:spacing w:after="0"/>
        <w:ind w:left="0"/>
        <w:rPr>
          <w:b/>
          <w:i/>
          <w:noProof/>
          <w:szCs w:val="24"/>
        </w:rPr>
      </w:pPr>
      <w:r>
        <w:rPr>
          <w:b/>
          <w:noProof/>
          <w:u w:val="single"/>
        </w:rPr>
        <w:t xml:space="preserve">Policy option </w:t>
      </w:r>
      <w:r w:rsidR="001C5034">
        <w:rPr>
          <w:b/>
          <w:noProof/>
          <w:u w:val="single"/>
        </w:rPr>
        <w:t>2.1</w:t>
      </w:r>
      <w:r w:rsidRPr="003253EA">
        <w:rPr>
          <w:b/>
          <w:noProof/>
          <w:u w:val="single"/>
        </w:rPr>
        <w:t>:</w:t>
      </w:r>
      <w:r>
        <w:rPr>
          <w:b/>
          <w:noProof/>
        </w:rPr>
        <w:t xml:space="preserve"> </w:t>
      </w:r>
      <w:r w:rsidRPr="00990476">
        <w:rPr>
          <w:b/>
          <w:noProof/>
          <w:szCs w:val="24"/>
        </w:rPr>
        <w:t>Continue with Council non-binding guidelines on Single Point</w:t>
      </w:r>
      <w:r w:rsidR="00351D58">
        <w:rPr>
          <w:b/>
          <w:noProof/>
          <w:szCs w:val="24"/>
        </w:rPr>
        <w:t>s</w:t>
      </w:r>
      <w:r w:rsidRPr="00990476">
        <w:rPr>
          <w:b/>
          <w:noProof/>
          <w:szCs w:val="24"/>
        </w:rPr>
        <w:t xml:space="preserve"> of Contact + </w:t>
      </w:r>
      <w:r w:rsidR="00A84246">
        <w:rPr>
          <w:b/>
          <w:noProof/>
          <w:szCs w:val="24"/>
        </w:rPr>
        <w:t xml:space="preserve">new </w:t>
      </w:r>
      <w:r w:rsidRPr="00990476">
        <w:rPr>
          <w:b/>
          <w:iCs/>
          <w:noProof/>
          <w:szCs w:val="24"/>
        </w:rPr>
        <w:t xml:space="preserve">flanking soft measures (training, financial support, </w:t>
      </w:r>
      <w:r w:rsidR="00A84246">
        <w:rPr>
          <w:b/>
          <w:iCs/>
          <w:noProof/>
          <w:szCs w:val="24"/>
        </w:rPr>
        <w:t xml:space="preserve">Commission </w:t>
      </w:r>
      <w:r w:rsidRPr="00990476">
        <w:rPr>
          <w:b/>
          <w:iCs/>
          <w:noProof/>
          <w:szCs w:val="24"/>
        </w:rPr>
        <w:t>guidance)</w:t>
      </w:r>
      <w:r>
        <w:rPr>
          <w:iCs/>
          <w:noProof/>
          <w:szCs w:val="24"/>
        </w:rPr>
        <w:t xml:space="preserve"> </w:t>
      </w:r>
    </w:p>
    <w:p w14:paraId="7A3486F4" w14:textId="77777777" w:rsidR="00C76702" w:rsidRDefault="00C76702" w:rsidP="00C76702">
      <w:pPr>
        <w:pStyle w:val="Text1"/>
        <w:spacing w:after="0"/>
        <w:ind w:left="0"/>
        <w:rPr>
          <w:b/>
          <w:noProof/>
          <w:sz w:val="16"/>
          <w:szCs w:val="16"/>
        </w:rPr>
      </w:pPr>
    </w:p>
    <w:tbl>
      <w:tblPr>
        <w:tblStyle w:val="TableGrid1"/>
        <w:tblW w:w="9889" w:type="dxa"/>
        <w:tblLook w:val="04A0" w:firstRow="1" w:lastRow="0" w:firstColumn="1" w:lastColumn="0" w:noHBand="0" w:noVBand="1"/>
      </w:tblPr>
      <w:tblGrid>
        <w:gridCol w:w="9889"/>
      </w:tblGrid>
      <w:tr w:rsidR="00C76702" w:rsidRPr="00CC4C89" w14:paraId="0AA5C2A2" w14:textId="77777777" w:rsidTr="009D6B1A">
        <w:tc>
          <w:tcPr>
            <w:tcW w:w="9889" w:type="dxa"/>
            <w:tcBorders>
              <w:bottom w:val="single" w:sz="4" w:space="0" w:color="auto"/>
            </w:tcBorders>
            <w:shd w:val="clear" w:color="auto" w:fill="9CC2E5" w:themeFill="accent1" w:themeFillTint="99"/>
          </w:tcPr>
          <w:p w14:paraId="4C2A37A6" w14:textId="77777777" w:rsidR="00C76702" w:rsidRPr="00B77326" w:rsidRDefault="00C76702" w:rsidP="001C5034">
            <w:pPr>
              <w:spacing w:before="60" w:after="60"/>
              <w:jc w:val="center"/>
              <w:rPr>
                <w:rFonts w:ascii="Verdana" w:hAnsi="Verdana" w:cs="Times New Roman"/>
                <w:b/>
                <w:noProof/>
                <w:sz w:val="16"/>
                <w:szCs w:val="16"/>
              </w:rPr>
            </w:pPr>
            <w:r w:rsidRPr="00B77326">
              <w:rPr>
                <w:rFonts w:ascii="Verdana" w:hAnsi="Verdana" w:cs="Times New Roman"/>
                <w:b/>
                <w:noProof/>
                <w:sz w:val="16"/>
                <w:szCs w:val="16"/>
              </w:rPr>
              <w:t xml:space="preserve">Expected impact of policy option </w:t>
            </w:r>
            <w:r w:rsidR="001C5034">
              <w:rPr>
                <w:rFonts w:ascii="Verdana" w:hAnsi="Verdana" w:cs="Times New Roman"/>
                <w:b/>
                <w:noProof/>
                <w:sz w:val="16"/>
                <w:szCs w:val="16"/>
              </w:rPr>
              <w:t>2.1</w:t>
            </w:r>
          </w:p>
        </w:tc>
      </w:tr>
      <w:tr w:rsidR="00C76702" w:rsidRPr="00CC4C89" w14:paraId="71C98C3E" w14:textId="77777777" w:rsidTr="009D6B1A">
        <w:tc>
          <w:tcPr>
            <w:tcW w:w="9889" w:type="dxa"/>
            <w:tcBorders>
              <w:bottom w:val="single" w:sz="4" w:space="0" w:color="auto"/>
            </w:tcBorders>
            <w:shd w:val="clear" w:color="auto" w:fill="BDD6EE" w:themeFill="accent1" w:themeFillTint="66"/>
          </w:tcPr>
          <w:p w14:paraId="142886D6"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rsidRPr="00CC4C89" w14:paraId="55B68353" w14:textId="77777777" w:rsidTr="009D6B1A">
        <w:tc>
          <w:tcPr>
            <w:tcW w:w="9889" w:type="dxa"/>
            <w:shd w:val="clear" w:color="auto" w:fill="DEEAF6" w:themeFill="accent1" w:themeFillTint="33"/>
          </w:tcPr>
          <w:p w14:paraId="5C1611D2"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Low positive impact</w:t>
            </w:r>
            <w:r w:rsidRPr="00B77326">
              <w:rPr>
                <w:rFonts w:ascii="Verdana" w:hAnsi="Verdana" w:cs="Times New Roman"/>
                <w:noProof/>
                <w:sz w:val="16"/>
                <w:szCs w:val="16"/>
              </w:rPr>
              <w:t xml:space="preserve"> to the security of the European citizens and societies. The adoption and development of s</w:t>
            </w:r>
            <w:r w:rsidR="00594720">
              <w:rPr>
                <w:rFonts w:ascii="Verdana" w:hAnsi="Verdana" w:cs="Times New Roman"/>
                <w:noProof/>
                <w:sz w:val="16"/>
                <w:szCs w:val="16"/>
              </w:rPr>
              <w:t>oft</w:t>
            </w:r>
            <w:r w:rsidRPr="00B77326">
              <w:rPr>
                <w:rFonts w:ascii="Verdana" w:hAnsi="Verdana" w:cs="Times New Roman"/>
                <w:noProof/>
                <w:sz w:val="16"/>
                <w:szCs w:val="16"/>
              </w:rPr>
              <w:t xml:space="preserve"> measures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 xml:space="preserve">support Member States to more effectively counter any forms of </w:t>
            </w:r>
            <w:r w:rsidR="00954B41">
              <w:rPr>
                <w:rFonts w:ascii="Verdana" w:hAnsi="Verdana" w:cs="Times New Roman"/>
                <w:noProof/>
                <w:sz w:val="16"/>
                <w:szCs w:val="16"/>
              </w:rPr>
              <w:t>criminal offences</w:t>
            </w:r>
            <w:r w:rsidRPr="00B77326">
              <w:rPr>
                <w:rFonts w:ascii="Verdana" w:hAnsi="Verdana" w:cs="Times New Roman"/>
                <w:noProof/>
                <w:sz w:val="16"/>
                <w:szCs w:val="16"/>
              </w:rPr>
              <w:t xml:space="preserve">. This would also </w:t>
            </w:r>
            <w:r w:rsidRPr="00B77326">
              <w:rPr>
                <w:rFonts w:ascii="Verdana" w:hAnsi="Verdana" w:cs="Times New Roman"/>
                <w:b/>
                <w:noProof/>
                <w:sz w:val="16"/>
                <w:szCs w:val="16"/>
              </w:rPr>
              <w:t>marginally</w:t>
            </w:r>
            <w:r w:rsidRPr="00B77326">
              <w:rPr>
                <w:rFonts w:ascii="Verdana" w:hAnsi="Verdana" w:cs="Times New Roman"/>
                <w:noProof/>
                <w:sz w:val="16"/>
                <w:szCs w:val="16"/>
              </w:rPr>
              <w:t xml:space="preserve"> reduce undue delays in the information sharing.</w:t>
            </w:r>
            <w:r w:rsidR="005B0CF0" w:rsidRPr="00B77326">
              <w:rPr>
                <w:bCs/>
                <w:noProof/>
                <w:sz w:val="16"/>
                <w:szCs w:val="16"/>
              </w:rPr>
              <w:t xml:space="preserve"> </w:t>
            </w:r>
          </w:p>
        </w:tc>
      </w:tr>
      <w:tr w:rsidR="00C76702" w:rsidRPr="00CC4C89" w14:paraId="7BFFE4A8" w14:textId="77777777" w:rsidTr="009D6B1A">
        <w:tc>
          <w:tcPr>
            <w:tcW w:w="9889" w:type="dxa"/>
            <w:tcBorders>
              <w:bottom w:val="single" w:sz="4" w:space="0" w:color="auto"/>
            </w:tcBorders>
            <w:shd w:val="clear" w:color="auto" w:fill="BDD6EE" w:themeFill="accent1" w:themeFillTint="66"/>
          </w:tcPr>
          <w:p w14:paraId="55D8DF6B"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rsidRPr="00CC4C89" w14:paraId="5C788551" w14:textId="77777777" w:rsidTr="009D6B1A">
        <w:tc>
          <w:tcPr>
            <w:tcW w:w="9889" w:type="dxa"/>
            <w:shd w:val="clear" w:color="auto" w:fill="DEEAF6" w:themeFill="accent1" w:themeFillTint="33"/>
          </w:tcPr>
          <w:p w14:paraId="22F40A9A"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Low positive impact</w:t>
            </w:r>
            <w:r w:rsidRPr="00B77326">
              <w:rPr>
                <w:rFonts w:ascii="Verdana" w:hAnsi="Verdana" w:cs="Times New Roman"/>
                <w:noProof/>
                <w:sz w:val="16"/>
                <w:szCs w:val="16"/>
              </w:rPr>
              <w:t xml:space="preserve"> on national authorities, which could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 xml:space="preserve">to efficiently combat </w:t>
            </w:r>
            <w:r w:rsidR="00954B41">
              <w:rPr>
                <w:rFonts w:ascii="Verdana" w:hAnsi="Verdana" w:cs="Times New Roman"/>
                <w:noProof/>
                <w:sz w:val="16"/>
                <w:szCs w:val="16"/>
              </w:rPr>
              <w:t>criminal offences</w:t>
            </w:r>
            <w:r w:rsidRPr="00B77326">
              <w:rPr>
                <w:rFonts w:ascii="Verdana" w:hAnsi="Verdana" w:cs="Times New Roman"/>
                <w:noProof/>
                <w:sz w:val="16"/>
                <w:szCs w:val="16"/>
              </w:rPr>
              <w:t xml:space="preserve">, because of the adoption and development of support measures. </w:t>
            </w:r>
          </w:p>
          <w:p w14:paraId="07477C4F"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A </w:t>
            </w:r>
            <w:r w:rsidRPr="00B77326">
              <w:rPr>
                <w:rFonts w:ascii="Verdana" w:hAnsi="Verdana" w:cs="Times New Roman"/>
                <w:b/>
                <w:noProof/>
                <w:sz w:val="16"/>
                <w:szCs w:val="16"/>
              </w:rPr>
              <w:t>low</w:t>
            </w:r>
            <w:r w:rsidRPr="00B77326">
              <w:rPr>
                <w:rFonts w:ascii="Verdana" w:hAnsi="Verdana" w:cs="Times New Roman"/>
                <w:noProof/>
                <w:sz w:val="16"/>
                <w:szCs w:val="16"/>
              </w:rPr>
              <w:t xml:space="preserve"> negative impact would be a </w:t>
            </w:r>
            <w:r w:rsidRPr="00B77326">
              <w:rPr>
                <w:rFonts w:ascii="Verdana" w:hAnsi="Verdana" w:cs="Times New Roman"/>
                <w:b/>
                <w:noProof/>
                <w:sz w:val="16"/>
                <w:szCs w:val="16"/>
              </w:rPr>
              <w:t>possible marginal</w:t>
            </w:r>
            <w:r w:rsidRPr="00B77326">
              <w:rPr>
                <w:rFonts w:ascii="Verdana" w:hAnsi="Verdana" w:cs="Times New Roman"/>
                <w:noProof/>
                <w:sz w:val="16"/>
                <w:szCs w:val="16"/>
              </w:rPr>
              <w:t xml:space="preserve"> workoad increase for national SPOCs however marginally offset by the improvements the soft measures would bring.</w:t>
            </w:r>
          </w:p>
        </w:tc>
      </w:tr>
      <w:tr w:rsidR="00C76702" w:rsidRPr="00CC4C89" w14:paraId="78119DCE" w14:textId="77777777" w:rsidTr="009D6B1A">
        <w:tc>
          <w:tcPr>
            <w:tcW w:w="9889" w:type="dxa"/>
            <w:tcBorders>
              <w:bottom w:val="single" w:sz="4" w:space="0" w:color="auto"/>
            </w:tcBorders>
            <w:shd w:val="clear" w:color="auto" w:fill="BDD6EE" w:themeFill="accent1" w:themeFillTint="66"/>
          </w:tcPr>
          <w:p w14:paraId="169F4B1F"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rsidRPr="00113989" w14:paraId="63F5BA7C" w14:textId="77777777" w:rsidTr="009D6B1A">
        <w:tc>
          <w:tcPr>
            <w:tcW w:w="9889" w:type="dxa"/>
            <w:shd w:val="clear" w:color="auto" w:fill="DEEAF6" w:themeFill="accent1" w:themeFillTint="33"/>
          </w:tcPr>
          <w:p w14:paraId="56DFD4DB"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 adoption and development of support measures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contribute to increase the quality and quantity of information shared with Europol.</w:t>
            </w:r>
          </w:p>
        </w:tc>
      </w:tr>
      <w:tr w:rsidR="00C76702" w:rsidRPr="002E63DD" w14:paraId="5008C9C7" w14:textId="77777777" w:rsidTr="009D6B1A">
        <w:tc>
          <w:tcPr>
            <w:tcW w:w="9889" w:type="dxa"/>
            <w:tcBorders>
              <w:bottom w:val="single" w:sz="4" w:space="0" w:color="auto"/>
            </w:tcBorders>
            <w:shd w:val="clear" w:color="auto" w:fill="BDD6EE" w:themeFill="accent1" w:themeFillTint="66"/>
          </w:tcPr>
          <w:p w14:paraId="65001A96" w14:textId="77777777" w:rsidR="00C76702" w:rsidRPr="00B77326" w:rsidRDefault="00C76702" w:rsidP="005F485B">
            <w:pPr>
              <w:spacing w:before="60" w:after="60"/>
              <w:rPr>
                <w:rFonts w:ascii="Verdana" w:hAnsi="Verdana" w:cs="Times New Roman"/>
                <w:b/>
                <w:noProof/>
                <w:sz w:val="16"/>
                <w:szCs w:val="16"/>
              </w:rPr>
            </w:pPr>
            <w:r w:rsidRPr="00B77326">
              <w:rPr>
                <w:rFonts w:ascii="Verdana" w:hAnsi="Verdana" w:cs="Times New Roman"/>
                <w:b/>
                <w:noProof/>
                <w:sz w:val="16"/>
                <w:szCs w:val="16"/>
              </w:rPr>
              <w:t>4. Impact on fundamental rights [</w:t>
            </w:r>
            <w:r w:rsidR="00C36AF1">
              <w:rPr>
                <w:rFonts w:ascii="Verdana" w:hAnsi="Verdana" w:cs="Times New Roman"/>
                <w:b/>
                <w:noProof/>
                <w:sz w:val="16"/>
                <w:szCs w:val="16"/>
              </w:rPr>
              <w:t>+</w:t>
            </w:r>
            <w:r w:rsidRPr="00B77326">
              <w:rPr>
                <w:rFonts w:ascii="Verdana" w:hAnsi="Verdana" w:cs="Times New Roman"/>
                <w:b/>
                <w:noProof/>
                <w:sz w:val="16"/>
                <w:szCs w:val="16"/>
              </w:rPr>
              <w:t>]</w:t>
            </w:r>
          </w:p>
        </w:tc>
      </w:tr>
      <w:tr w:rsidR="00C76702" w:rsidRPr="002E63DD" w14:paraId="1A370D96" w14:textId="77777777" w:rsidTr="009D6B1A">
        <w:tc>
          <w:tcPr>
            <w:tcW w:w="9889" w:type="dxa"/>
            <w:shd w:val="clear" w:color="auto" w:fill="DEEAF6" w:themeFill="accent1" w:themeFillTint="33"/>
          </w:tcPr>
          <w:p w14:paraId="7C31B699" w14:textId="77777777" w:rsidR="00C76702" w:rsidRPr="00B77326" w:rsidRDefault="00C76702" w:rsidP="00D552E0">
            <w:pPr>
              <w:pStyle w:val="Body"/>
              <w:numPr>
                <w:ilvl w:val="0"/>
                <w:numId w:val="30"/>
              </w:numPr>
              <w:spacing w:before="60" w:after="60"/>
              <w:ind w:left="714" w:hanging="357"/>
              <w:jc w:val="both"/>
              <w:rPr>
                <w:noProof/>
                <w:sz w:val="16"/>
                <w:szCs w:val="16"/>
              </w:rPr>
            </w:pPr>
            <w:r w:rsidRPr="00B77326">
              <w:rPr>
                <w:b/>
                <w:noProof/>
                <w:sz w:val="16"/>
                <w:szCs w:val="16"/>
              </w:rPr>
              <w:t>Low positive impact.</w:t>
            </w:r>
            <w:r w:rsidRPr="00B77326">
              <w:rPr>
                <w:noProof/>
                <w:sz w:val="16"/>
                <w:szCs w:val="16"/>
              </w:rPr>
              <w:t xml:space="preserve"> </w:t>
            </w:r>
            <w:r w:rsidR="005F485B">
              <w:rPr>
                <w:bCs/>
                <w:noProof/>
                <w:sz w:val="16"/>
                <w:szCs w:val="16"/>
              </w:rPr>
              <w:t xml:space="preserve">Possible </w:t>
            </w:r>
            <w:r w:rsidR="005F485B" w:rsidRPr="00B77326">
              <w:rPr>
                <w:bCs/>
                <w:noProof/>
                <w:sz w:val="16"/>
                <w:szCs w:val="16"/>
              </w:rPr>
              <w:t>guidance</w:t>
            </w:r>
            <w:r w:rsidR="005B0CF0" w:rsidRPr="00B77326">
              <w:rPr>
                <w:bCs/>
                <w:noProof/>
                <w:sz w:val="16"/>
                <w:szCs w:val="16"/>
              </w:rPr>
              <w:t xml:space="preserve"> on the implementation of </w:t>
            </w:r>
            <w:r w:rsidR="005B0CF0" w:rsidRPr="00B77326">
              <w:rPr>
                <w:noProof/>
                <w:sz w:val="16"/>
                <w:szCs w:val="16"/>
              </w:rPr>
              <w:t xml:space="preserve">the 2016 </w:t>
            </w:r>
            <w:r w:rsidR="00F560B2" w:rsidRPr="00B77326">
              <w:rPr>
                <w:noProof/>
                <w:sz w:val="16"/>
                <w:szCs w:val="16"/>
              </w:rPr>
              <w:t xml:space="preserve">law enforcement </w:t>
            </w:r>
            <w:r w:rsidR="00F560B2">
              <w:rPr>
                <w:noProof/>
                <w:sz w:val="16"/>
                <w:szCs w:val="16"/>
              </w:rPr>
              <w:t>d</w:t>
            </w:r>
            <w:r w:rsidR="005B0CF0" w:rsidRPr="00B77326">
              <w:rPr>
                <w:noProof/>
                <w:sz w:val="16"/>
                <w:szCs w:val="16"/>
              </w:rPr>
              <w:t xml:space="preserve">ata protection Directive (LED) </w:t>
            </w:r>
            <w:r w:rsidR="005B0CF0" w:rsidRPr="00B77326">
              <w:rPr>
                <w:bCs/>
                <w:noProof/>
                <w:sz w:val="16"/>
                <w:szCs w:val="16"/>
              </w:rPr>
              <w:t xml:space="preserve">at national level </w:t>
            </w:r>
            <w:r w:rsidR="005B0CF0" w:rsidRPr="00B77326">
              <w:rPr>
                <w:noProof/>
                <w:sz w:val="16"/>
                <w:szCs w:val="16"/>
              </w:rPr>
              <w:t xml:space="preserve">would </w:t>
            </w:r>
            <w:r w:rsidR="005B0CF0" w:rsidRPr="00B77326">
              <w:rPr>
                <w:b/>
                <w:bCs/>
                <w:noProof/>
                <w:sz w:val="16"/>
                <w:szCs w:val="16"/>
              </w:rPr>
              <w:t>better</w:t>
            </w:r>
            <w:r w:rsidR="005B0CF0" w:rsidRPr="00B77326">
              <w:rPr>
                <w:bCs/>
                <w:noProof/>
                <w:sz w:val="16"/>
                <w:szCs w:val="16"/>
              </w:rPr>
              <w:t xml:space="preserve"> safeguard the Right to respect for private and family life and the Right to protection of personal data</w:t>
            </w:r>
            <w:r w:rsidRPr="00B77326">
              <w:rPr>
                <w:bCs/>
                <w:noProof/>
                <w:sz w:val="16"/>
                <w:szCs w:val="16"/>
              </w:rPr>
              <w:t>.</w:t>
            </w:r>
            <w:r w:rsidRPr="00B77326">
              <w:rPr>
                <w:noProof/>
                <w:sz w:val="16"/>
                <w:szCs w:val="16"/>
              </w:rPr>
              <w:t xml:space="preserve"> </w:t>
            </w:r>
            <w:r w:rsidR="00F560B2">
              <w:rPr>
                <w:noProof/>
                <w:sz w:val="16"/>
                <w:szCs w:val="16"/>
              </w:rPr>
              <w:t>They would not have additional capabilities in data processing.</w:t>
            </w:r>
          </w:p>
        </w:tc>
      </w:tr>
      <w:tr w:rsidR="00C76702" w:rsidRPr="00475E9D" w14:paraId="1D53FFF0" w14:textId="77777777" w:rsidTr="009D6B1A">
        <w:tc>
          <w:tcPr>
            <w:tcW w:w="9889" w:type="dxa"/>
            <w:tcBorders>
              <w:bottom w:val="single" w:sz="4" w:space="0" w:color="auto"/>
            </w:tcBorders>
            <w:shd w:val="clear" w:color="auto" w:fill="BDD6EE" w:themeFill="accent1" w:themeFillTint="66"/>
          </w:tcPr>
          <w:p w14:paraId="4D10ECA9"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 xml:space="preserve">5. Effectiveness in meeting the policy objectives [+] </w:t>
            </w:r>
          </w:p>
        </w:tc>
      </w:tr>
      <w:tr w:rsidR="00C76702" w:rsidRPr="00F66492" w14:paraId="128BC57E" w14:textId="77777777" w:rsidTr="009D6B1A">
        <w:tc>
          <w:tcPr>
            <w:tcW w:w="9889" w:type="dxa"/>
            <w:shd w:val="clear" w:color="auto" w:fill="DEEAF6" w:themeFill="accent1" w:themeFillTint="33"/>
          </w:tcPr>
          <w:p w14:paraId="3A8E6D49" w14:textId="77777777" w:rsidR="00C76702" w:rsidRPr="00B77326" w:rsidRDefault="00C76702" w:rsidP="00900BC7">
            <w:pPr>
              <w:pStyle w:val="Body"/>
              <w:widowControl w:val="0"/>
              <w:numPr>
                <w:ilvl w:val="0"/>
                <w:numId w:val="30"/>
              </w:numPr>
              <w:adjustRightInd w:val="0"/>
              <w:spacing w:before="60" w:after="60"/>
              <w:ind w:left="714" w:hanging="357"/>
              <w:jc w:val="both"/>
              <w:textAlignment w:val="baseline"/>
              <w:rPr>
                <w:noProof/>
                <w:sz w:val="16"/>
                <w:szCs w:val="16"/>
              </w:rPr>
            </w:pPr>
            <w:r w:rsidRPr="00B77326">
              <w:rPr>
                <w:noProof/>
                <w:sz w:val="16"/>
                <w:szCs w:val="16"/>
              </w:rPr>
              <w:t xml:space="preserve">This policy option would </w:t>
            </w:r>
            <w:r w:rsidRPr="00B77326">
              <w:rPr>
                <w:b/>
                <w:noProof/>
                <w:sz w:val="16"/>
                <w:szCs w:val="16"/>
              </w:rPr>
              <w:t xml:space="preserve">marginally </w:t>
            </w:r>
            <w:r w:rsidRPr="00B77326">
              <w:rPr>
                <w:noProof/>
                <w:sz w:val="16"/>
                <w:szCs w:val="16"/>
              </w:rPr>
              <w:t>address the objective of an effective functioning of the SPOCs, PCCCs (</w:t>
            </w:r>
            <w:r w:rsidRPr="00B77326">
              <w:rPr>
                <w:bCs/>
                <w:noProof/>
                <w:sz w:val="16"/>
                <w:szCs w:val="16"/>
              </w:rPr>
              <w:t>and any other equivalents bodies)</w:t>
            </w:r>
            <w:r w:rsidRPr="00B77326">
              <w:rPr>
                <w:noProof/>
                <w:sz w:val="16"/>
                <w:szCs w:val="16"/>
              </w:rPr>
              <w:t xml:space="preserve">. </w:t>
            </w:r>
          </w:p>
          <w:p w14:paraId="05034DDC"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Given national specificities, actual progress would essentially be left to Member States' ability and wilingness to diligently follow up on updated guidances. </w:t>
            </w:r>
          </w:p>
          <w:p w14:paraId="6ACE9735" w14:textId="77777777" w:rsidR="00C76702" w:rsidRPr="00B77326" w:rsidRDefault="00C76702" w:rsidP="00D552E0">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Member States developments may not be aligned</w:t>
            </w:r>
            <w:r w:rsidR="00CE1145">
              <w:rPr>
                <w:rFonts w:ascii="Verdana" w:hAnsi="Verdana" w:cs="Times New Roman"/>
                <w:noProof/>
                <w:sz w:val="16"/>
                <w:szCs w:val="16"/>
              </w:rPr>
              <w:t xml:space="preserve">, thereby </w:t>
            </w:r>
            <w:r w:rsidRPr="00B77326">
              <w:rPr>
                <w:rFonts w:ascii="Verdana" w:hAnsi="Verdana" w:cs="Times New Roman"/>
                <w:noProof/>
                <w:sz w:val="16"/>
                <w:szCs w:val="16"/>
              </w:rPr>
              <w:t>further deepen</w:t>
            </w:r>
            <w:r w:rsidR="00CE1145">
              <w:rPr>
                <w:rFonts w:ascii="Verdana" w:hAnsi="Verdana" w:cs="Times New Roman"/>
                <w:noProof/>
                <w:sz w:val="16"/>
                <w:szCs w:val="16"/>
              </w:rPr>
              <w:t>ing</w:t>
            </w:r>
            <w:r w:rsidRPr="00B77326">
              <w:rPr>
                <w:rFonts w:ascii="Verdana" w:hAnsi="Verdana" w:cs="Times New Roman"/>
                <w:noProof/>
                <w:sz w:val="16"/>
                <w:szCs w:val="16"/>
              </w:rPr>
              <w:t xml:space="preserve"> existing differences in the functionning of the SPOC, PCCCs and any other equivalent bodies.</w:t>
            </w:r>
          </w:p>
        </w:tc>
      </w:tr>
      <w:tr w:rsidR="00C76702" w:rsidRPr="00475E9D" w14:paraId="6046BDA5" w14:textId="77777777" w:rsidTr="009D6B1A">
        <w:tc>
          <w:tcPr>
            <w:tcW w:w="9889" w:type="dxa"/>
            <w:shd w:val="clear" w:color="auto" w:fill="BDD6EE" w:themeFill="accent1" w:themeFillTint="66"/>
          </w:tcPr>
          <w:p w14:paraId="1724225B" w14:textId="266C7FDE" w:rsidR="00C76702" w:rsidRPr="00B77326" w:rsidRDefault="00C76702" w:rsidP="00EB7963">
            <w:pPr>
              <w:spacing w:before="60" w:after="60"/>
              <w:rPr>
                <w:rFonts w:ascii="Verdana" w:hAnsi="Verdana" w:cs="Times New Roman"/>
                <w:noProof/>
                <w:sz w:val="16"/>
                <w:szCs w:val="16"/>
              </w:rPr>
            </w:pPr>
            <w:r w:rsidRPr="00B77326">
              <w:rPr>
                <w:rFonts w:ascii="Verdana" w:hAnsi="Verdana" w:cs="Times New Roman"/>
                <w:b/>
                <w:noProof/>
                <w:sz w:val="16"/>
                <w:szCs w:val="16"/>
              </w:rPr>
              <w:t>6. Efficiency in meeting the policy objectives [</w:t>
            </w:r>
            <w:r w:rsidR="00A04EF4">
              <w:rPr>
                <w:rFonts w:ascii="Verdana" w:hAnsi="Verdana" w:cs="Times New Roman"/>
                <w:b/>
                <w:noProof/>
                <w:sz w:val="16"/>
                <w:szCs w:val="16"/>
              </w:rPr>
              <w:t>++</w:t>
            </w:r>
            <w:r w:rsidRPr="00B77326">
              <w:rPr>
                <w:rFonts w:ascii="Verdana" w:hAnsi="Verdana" w:cs="Times New Roman"/>
                <w:b/>
                <w:noProof/>
                <w:sz w:val="16"/>
                <w:szCs w:val="16"/>
              </w:rPr>
              <w:t xml:space="preserve">] </w:t>
            </w:r>
          </w:p>
        </w:tc>
      </w:tr>
      <w:tr w:rsidR="00C76702" w:rsidRPr="00475E9D" w14:paraId="60A4C71E" w14:textId="77777777" w:rsidTr="009D6B1A">
        <w:tc>
          <w:tcPr>
            <w:tcW w:w="9889" w:type="dxa"/>
            <w:shd w:val="clear" w:color="auto" w:fill="DEEAF6" w:themeFill="accent1" w:themeFillTint="33"/>
          </w:tcPr>
          <w:p w14:paraId="14E652D0"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option may generate</w:t>
            </w:r>
            <w:r w:rsidRPr="00B77326">
              <w:rPr>
                <w:rFonts w:ascii="Verdana" w:hAnsi="Verdana" w:cs="Times New Roman"/>
                <w:b/>
                <w:noProof/>
                <w:sz w:val="16"/>
                <w:szCs w:val="16"/>
              </w:rPr>
              <w:t xml:space="preserve"> cost </w:t>
            </w:r>
            <w:r w:rsidRPr="00B77326">
              <w:rPr>
                <w:rFonts w:ascii="Verdana" w:hAnsi="Verdana" w:cs="Times New Roman"/>
                <w:noProof/>
                <w:sz w:val="16"/>
                <w:szCs w:val="16"/>
              </w:rPr>
              <w:t>at EU and Member States.</w:t>
            </w:r>
          </w:p>
          <w:p w14:paraId="6303B04E"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The extent of these costs may vary depending on the nature and scale of the soft measures.</w:t>
            </w:r>
          </w:p>
          <w:p w14:paraId="1F8F89C3" w14:textId="3ADE8058"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Some of these costs would already be covered</w:t>
            </w:r>
            <w:r w:rsidR="00E511E5">
              <w:rPr>
                <w:rFonts w:ascii="Verdana" w:hAnsi="Verdana" w:cs="Times New Roman"/>
                <w:noProof/>
                <w:sz w:val="16"/>
                <w:szCs w:val="16"/>
              </w:rPr>
              <w:t xml:space="preserve"> by</w:t>
            </w:r>
            <w:r w:rsidRPr="00B77326">
              <w:rPr>
                <w:rFonts w:ascii="Verdana" w:hAnsi="Verdana" w:cs="Times New Roman"/>
                <w:noProof/>
                <w:sz w:val="16"/>
                <w:szCs w:val="16"/>
              </w:rPr>
              <w:t xml:space="preserve"> relevant EU agencies as part of their support functions to Member States (e.g. training).</w:t>
            </w:r>
            <w:r w:rsidR="00A04EF4">
              <w:rPr>
                <w:rFonts w:ascii="Verdana" w:hAnsi="Verdana" w:cs="Times New Roman"/>
                <w:noProof/>
                <w:sz w:val="16"/>
                <w:szCs w:val="16"/>
              </w:rPr>
              <w:t xml:space="preserve"> They don't outweight benefits.</w:t>
            </w:r>
          </w:p>
        </w:tc>
      </w:tr>
      <w:tr w:rsidR="00C76702" w:rsidRPr="00475E9D" w14:paraId="0885F0A8" w14:textId="77777777" w:rsidTr="009D6B1A">
        <w:tc>
          <w:tcPr>
            <w:tcW w:w="9889" w:type="dxa"/>
            <w:tcBorders>
              <w:bottom w:val="single" w:sz="4" w:space="0" w:color="auto"/>
            </w:tcBorders>
            <w:shd w:val="clear" w:color="auto" w:fill="BDD6EE" w:themeFill="accent1" w:themeFillTint="66"/>
          </w:tcPr>
          <w:p w14:paraId="2C77BC77" w14:textId="77777777" w:rsidR="00C76702" w:rsidRPr="00B77326" w:rsidRDefault="00C76702" w:rsidP="00D6533F">
            <w:pPr>
              <w:spacing w:before="60" w:after="60"/>
              <w:rPr>
                <w:rFonts w:ascii="Verdana" w:hAnsi="Verdana" w:cs="Times New Roman"/>
                <w:b/>
                <w:noProof/>
                <w:sz w:val="16"/>
                <w:szCs w:val="16"/>
              </w:rPr>
            </w:pPr>
            <w:r w:rsidRPr="00B77326">
              <w:rPr>
                <w:rFonts w:ascii="Verdana" w:hAnsi="Verdana" w:cs="Times New Roman"/>
                <w:b/>
                <w:noProof/>
                <w:sz w:val="16"/>
                <w:szCs w:val="16"/>
              </w:rPr>
              <w:t>7. Legal feasibility [</w:t>
            </w:r>
            <w:r w:rsidR="00D6533F">
              <w:rPr>
                <w:rFonts w:ascii="Verdana" w:hAnsi="Verdana" w:cs="Times New Roman"/>
                <w:b/>
                <w:noProof/>
                <w:sz w:val="16"/>
                <w:szCs w:val="16"/>
              </w:rPr>
              <w:t>0</w:t>
            </w:r>
            <w:r w:rsidRPr="00B77326">
              <w:rPr>
                <w:rFonts w:ascii="Verdana" w:hAnsi="Verdana" w:cs="Times New Roman"/>
                <w:b/>
                <w:noProof/>
                <w:sz w:val="16"/>
                <w:szCs w:val="16"/>
              </w:rPr>
              <w:t>]</w:t>
            </w:r>
          </w:p>
        </w:tc>
      </w:tr>
      <w:tr w:rsidR="00C76702" w:rsidRPr="00475E9D" w14:paraId="3D957934" w14:textId="77777777" w:rsidTr="009D6B1A">
        <w:tc>
          <w:tcPr>
            <w:tcW w:w="9889" w:type="dxa"/>
            <w:shd w:val="clear" w:color="auto" w:fill="DEEAF6" w:themeFill="accent1" w:themeFillTint="33"/>
          </w:tcPr>
          <w:p w14:paraId="156E2531" w14:textId="77777777" w:rsidR="00C76702" w:rsidRPr="00945713" w:rsidRDefault="00C76702" w:rsidP="000B505F">
            <w:pPr>
              <w:pStyle w:val="ListParagraph"/>
              <w:widowControl w:val="0"/>
              <w:numPr>
                <w:ilvl w:val="0"/>
                <w:numId w:val="79"/>
              </w:numPr>
              <w:adjustRightInd w:val="0"/>
              <w:spacing w:before="60" w:after="60" w:line="240" w:lineRule="auto"/>
              <w:ind w:left="714" w:hanging="357"/>
              <w:jc w:val="both"/>
              <w:textAlignment w:val="baseline"/>
              <w:rPr>
                <w:rFonts w:ascii="Verdana" w:hAnsi="Verdana" w:cs="Times New Roman"/>
                <w:noProof/>
                <w:sz w:val="16"/>
                <w:szCs w:val="16"/>
              </w:rPr>
            </w:pPr>
            <w:r w:rsidRPr="00945713">
              <w:rPr>
                <w:rFonts w:ascii="Verdana" w:hAnsi="Verdana" w:cs="Times New Roman"/>
                <w:noProof/>
                <w:sz w:val="16"/>
                <w:szCs w:val="16"/>
              </w:rPr>
              <w:t>This policy option would require no legal changes.</w:t>
            </w:r>
            <w:r w:rsidR="00005AEB">
              <w:rPr>
                <w:rFonts w:ascii="Verdana" w:hAnsi="Verdana" w:cs="Times New Roman"/>
                <w:noProof/>
                <w:sz w:val="16"/>
                <w:szCs w:val="16"/>
              </w:rPr>
              <w:t xml:space="preserve"> It is de facto in line </w:t>
            </w:r>
            <w:r w:rsidR="00005AEB">
              <w:rPr>
                <w:rFonts w:ascii="Verdana" w:hAnsi="Verdana"/>
                <w:noProof/>
                <w:sz w:val="16"/>
              </w:rPr>
              <w:t xml:space="preserve">the </w:t>
            </w:r>
            <w:r w:rsidR="00005AEB" w:rsidRPr="00B5430F">
              <w:rPr>
                <w:rFonts w:ascii="Verdana" w:hAnsi="Verdana"/>
                <w:noProof/>
                <w:sz w:val="16"/>
              </w:rPr>
              <w:t>conferral</w:t>
            </w:r>
            <w:r w:rsidR="00005AEB">
              <w:rPr>
                <w:rFonts w:ascii="Verdana" w:hAnsi="Verdana"/>
                <w:noProof/>
                <w:sz w:val="16"/>
              </w:rPr>
              <w:t xml:space="preserve"> of powers </w:t>
            </w:r>
            <w:r w:rsidR="00005AEB" w:rsidRPr="00B5430F">
              <w:rPr>
                <w:rFonts w:ascii="Verdana" w:hAnsi="Verdana"/>
                <w:noProof/>
                <w:sz w:val="16"/>
              </w:rPr>
              <w:t xml:space="preserve">and </w:t>
            </w:r>
            <w:r w:rsidR="00005AEB">
              <w:rPr>
                <w:rFonts w:ascii="Verdana" w:hAnsi="Verdana"/>
                <w:noProof/>
                <w:sz w:val="16"/>
              </w:rPr>
              <w:t xml:space="preserve">with the respects of </w:t>
            </w:r>
            <w:r w:rsidR="00005AEB" w:rsidRPr="00B5430F">
              <w:rPr>
                <w:rFonts w:ascii="Verdana" w:hAnsi="Verdana"/>
                <w:noProof/>
                <w:sz w:val="16"/>
              </w:rPr>
              <w:t>fundamental rights</w:t>
            </w:r>
            <w:r w:rsidR="00005AEB">
              <w:rPr>
                <w:rFonts w:ascii="Verdana" w:hAnsi="Verdana"/>
                <w:noProof/>
                <w:sz w:val="16"/>
              </w:rPr>
              <w:t>.</w:t>
            </w:r>
          </w:p>
        </w:tc>
      </w:tr>
      <w:tr w:rsidR="00942B90" w:rsidRPr="00475E9D" w14:paraId="7FA59619" w14:textId="77777777" w:rsidTr="00942B90">
        <w:tc>
          <w:tcPr>
            <w:tcW w:w="9889" w:type="dxa"/>
            <w:shd w:val="clear" w:color="auto" w:fill="BDD6EE" w:themeFill="accent1" w:themeFillTint="66"/>
          </w:tcPr>
          <w:p w14:paraId="2A57A6C5" w14:textId="77777777" w:rsidR="00942B90" w:rsidRPr="00945713" w:rsidRDefault="004B37D7" w:rsidP="00942B90">
            <w:pPr>
              <w:widowControl w:val="0"/>
              <w:adjustRightInd w:val="0"/>
              <w:spacing w:before="60" w:after="60" w:line="240" w:lineRule="auto"/>
              <w:jc w:val="both"/>
              <w:textAlignment w:val="baseline"/>
              <w:rPr>
                <w:rFonts w:ascii="Verdana" w:hAnsi="Verdana" w:cs="Times New Roman"/>
                <w:b/>
                <w:noProof/>
                <w:sz w:val="16"/>
                <w:szCs w:val="16"/>
              </w:rPr>
            </w:pPr>
            <w:r w:rsidRPr="00945713">
              <w:rPr>
                <w:rFonts w:ascii="Verdana" w:hAnsi="Verdana" w:cs="Times New Roman"/>
                <w:b/>
                <w:noProof/>
                <w:sz w:val="16"/>
                <w:szCs w:val="16"/>
              </w:rPr>
              <w:t xml:space="preserve">8. technical feasibility </w:t>
            </w:r>
            <w:r>
              <w:rPr>
                <w:rFonts w:ascii="Verdana" w:hAnsi="Verdana" w:cs="Times New Roman"/>
                <w:b/>
                <w:noProof/>
                <w:sz w:val="16"/>
                <w:szCs w:val="16"/>
              </w:rPr>
              <w:t>[</w:t>
            </w:r>
            <w:r w:rsidR="00F72F82">
              <w:rPr>
                <w:rFonts w:ascii="Verdana" w:hAnsi="Verdana" w:cs="Times New Roman"/>
                <w:b/>
                <w:noProof/>
                <w:sz w:val="16"/>
                <w:szCs w:val="16"/>
              </w:rPr>
              <w:t>+]</w:t>
            </w:r>
          </w:p>
        </w:tc>
      </w:tr>
      <w:tr w:rsidR="00942B90" w:rsidRPr="00475E9D" w14:paraId="50FCD79C" w14:textId="77777777" w:rsidTr="009D6B1A">
        <w:tc>
          <w:tcPr>
            <w:tcW w:w="9889" w:type="dxa"/>
            <w:shd w:val="clear" w:color="auto" w:fill="DEEAF6" w:themeFill="accent1" w:themeFillTint="33"/>
          </w:tcPr>
          <w:p w14:paraId="0E7C48AD" w14:textId="77777777" w:rsidR="00942B90" w:rsidRPr="00B77326" w:rsidRDefault="004B37D7"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Pr>
                <w:rFonts w:ascii="Verdana" w:hAnsi="Verdana" w:cs="Times New Roman"/>
                <w:noProof/>
                <w:sz w:val="16"/>
                <w:szCs w:val="16"/>
              </w:rPr>
              <w:t>T</w:t>
            </w:r>
            <w:r w:rsidRPr="00B77326">
              <w:rPr>
                <w:rFonts w:ascii="Verdana" w:hAnsi="Verdana" w:cs="Times New Roman"/>
                <w:noProof/>
                <w:sz w:val="16"/>
                <w:szCs w:val="16"/>
              </w:rPr>
              <w:t>his policy option would be technically feasible</w:t>
            </w:r>
            <w:r>
              <w:rPr>
                <w:rFonts w:ascii="Verdana" w:hAnsi="Verdana" w:cs="Times New Roman"/>
                <w:noProof/>
                <w:sz w:val="16"/>
                <w:szCs w:val="16"/>
              </w:rPr>
              <w:t>. Its extent would depend on the</w:t>
            </w:r>
            <w:r w:rsidR="00F72F82">
              <w:rPr>
                <w:rFonts w:ascii="Verdana" w:hAnsi="Verdana" w:cs="Times New Roman"/>
                <w:noProof/>
                <w:sz w:val="16"/>
                <w:szCs w:val="16"/>
              </w:rPr>
              <w:t xml:space="preserve"> level of ambition and on the t</w:t>
            </w:r>
            <w:r>
              <w:rPr>
                <w:rFonts w:ascii="Verdana" w:hAnsi="Verdana" w:cs="Times New Roman"/>
                <w:noProof/>
                <w:sz w:val="16"/>
                <w:szCs w:val="16"/>
              </w:rPr>
              <w:t>echnical requirements needed at national level</w:t>
            </w:r>
            <w:r w:rsidRPr="00B77326">
              <w:rPr>
                <w:rFonts w:ascii="Verdana" w:hAnsi="Verdana" w:cs="Times New Roman"/>
                <w:noProof/>
                <w:sz w:val="16"/>
                <w:szCs w:val="16"/>
              </w:rPr>
              <w:t>.</w:t>
            </w:r>
          </w:p>
        </w:tc>
      </w:tr>
      <w:tr w:rsidR="00C76702" w:rsidRPr="00475E9D" w14:paraId="450BC98F" w14:textId="77777777" w:rsidTr="009D6B1A">
        <w:tc>
          <w:tcPr>
            <w:tcW w:w="9889" w:type="dxa"/>
            <w:tcBorders>
              <w:bottom w:val="single" w:sz="4" w:space="0" w:color="auto"/>
            </w:tcBorders>
            <w:shd w:val="clear" w:color="auto" w:fill="BDD6EE" w:themeFill="accent1" w:themeFillTint="66"/>
          </w:tcPr>
          <w:p w14:paraId="64B313CF" w14:textId="5CAC6691"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9</w:t>
            </w:r>
            <w:r w:rsidR="00C76702" w:rsidRPr="00B77326">
              <w:rPr>
                <w:rFonts w:ascii="Verdana" w:hAnsi="Verdana" w:cs="Times New Roman"/>
                <w:b/>
                <w:noProof/>
                <w:sz w:val="16"/>
                <w:szCs w:val="16"/>
              </w:rPr>
              <w:t xml:space="preserve">. Coherence with other measures [+] </w:t>
            </w:r>
          </w:p>
        </w:tc>
      </w:tr>
      <w:tr w:rsidR="00C76702" w:rsidRPr="00475E9D" w14:paraId="6FABDD95" w14:textId="77777777" w:rsidTr="009D6B1A">
        <w:trPr>
          <w:trHeight w:val="425"/>
        </w:trPr>
        <w:tc>
          <w:tcPr>
            <w:tcW w:w="9889" w:type="dxa"/>
            <w:tcBorders>
              <w:bottom w:val="single" w:sz="4" w:space="0" w:color="auto"/>
            </w:tcBorders>
            <w:shd w:val="clear" w:color="auto" w:fill="DEEAF6" w:themeFill="accent1" w:themeFillTint="33"/>
          </w:tcPr>
          <w:p w14:paraId="70405939"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b/>
                <w:noProof/>
                <w:sz w:val="16"/>
                <w:szCs w:val="16"/>
              </w:rPr>
            </w:pPr>
            <w:r w:rsidRPr="00B77326">
              <w:rPr>
                <w:rFonts w:ascii="Verdana" w:hAnsi="Verdana" w:cs="Times New Roman"/>
                <w:noProof/>
                <w:sz w:val="16"/>
                <w:szCs w:val="16"/>
              </w:rPr>
              <w:t xml:space="preserve">This policy option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complement other Commission initiatives such as the Commission proposals for a new Schengen border code, for Prüm II and for Europol.</w:t>
            </w:r>
          </w:p>
        </w:tc>
      </w:tr>
    </w:tbl>
    <w:p w14:paraId="2F60A354" w14:textId="77777777" w:rsidR="00C76702" w:rsidRPr="002261B6" w:rsidRDefault="00C76702" w:rsidP="00C76702">
      <w:pPr>
        <w:pStyle w:val="Text1"/>
        <w:spacing w:after="120"/>
        <w:ind w:left="0"/>
        <w:rPr>
          <w:b/>
          <w:noProof/>
          <w:sz w:val="16"/>
          <w:szCs w:val="16"/>
        </w:rPr>
      </w:pPr>
    </w:p>
    <w:p w14:paraId="29668D48" w14:textId="4631E783" w:rsidR="00C76702" w:rsidRPr="00990476"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0"/>
        <w:ind w:left="0"/>
        <w:rPr>
          <w:b/>
          <w:noProof/>
          <w:szCs w:val="24"/>
        </w:rPr>
      </w:pPr>
      <w:r>
        <w:rPr>
          <w:b/>
          <w:noProof/>
          <w:szCs w:val="24"/>
          <w:u w:val="single"/>
        </w:rPr>
        <w:t xml:space="preserve">Policy option </w:t>
      </w:r>
      <w:r w:rsidR="001C5034">
        <w:rPr>
          <w:b/>
          <w:noProof/>
          <w:szCs w:val="24"/>
          <w:u w:val="single"/>
        </w:rPr>
        <w:t>2.2</w:t>
      </w:r>
      <w:r w:rsidRPr="00514E93">
        <w:rPr>
          <w:b/>
          <w:noProof/>
          <w:szCs w:val="24"/>
          <w:u w:val="single"/>
        </w:rPr>
        <w:t>:</w:t>
      </w:r>
      <w:r w:rsidRPr="00990476">
        <w:rPr>
          <w:b/>
          <w:noProof/>
          <w:szCs w:val="24"/>
        </w:rPr>
        <w:t xml:space="preserve"> </w:t>
      </w:r>
      <w:r w:rsidRPr="00990476">
        <w:rPr>
          <w:b/>
          <w:i/>
          <w:noProof/>
          <w:szCs w:val="24"/>
        </w:rPr>
        <w:t>Approximation of minimum standards</w:t>
      </w:r>
      <w:r>
        <w:rPr>
          <w:noProof/>
          <w:szCs w:val="24"/>
        </w:rPr>
        <w:t xml:space="preserve"> </w:t>
      </w:r>
      <w:r w:rsidRPr="00990476">
        <w:rPr>
          <w:b/>
          <w:noProof/>
          <w:szCs w:val="24"/>
        </w:rPr>
        <w:t xml:space="preserve">on the composition of the Single Points of Contact (including </w:t>
      </w:r>
      <w:r w:rsidR="00FE0E3B" w:rsidRPr="00FE0E3B">
        <w:rPr>
          <w:b/>
          <w:noProof/>
          <w:szCs w:val="24"/>
        </w:rPr>
        <w:t>when a judicial a</w:t>
      </w:r>
      <w:r w:rsidR="00FE0E3B">
        <w:rPr>
          <w:b/>
          <w:noProof/>
          <w:szCs w:val="24"/>
        </w:rPr>
        <w:t>uthorisation is required</w:t>
      </w:r>
      <w:r w:rsidRPr="00990476">
        <w:rPr>
          <w:b/>
          <w:noProof/>
          <w:szCs w:val="24"/>
        </w:rPr>
        <w:t xml:space="preserve">), its functions, staffing and IT systems, and its cooperation with </w:t>
      </w:r>
      <w:r w:rsidR="007B0615">
        <w:rPr>
          <w:b/>
          <w:noProof/>
          <w:szCs w:val="24"/>
        </w:rPr>
        <w:t xml:space="preserve">regional </w:t>
      </w:r>
      <w:r w:rsidRPr="00990476">
        <w:rPr>
          <w:b/>
          <w:noProof/>
          <w:szCs w:val="24"/>
        </w:rPr>
        <w:t>structures such as Police and Customs Cooperation Centres</w:t>
      </w:r>
      <w:r>
        <w:rPr>
          <w:b/>
          <w:noProof/>
          <w:szCs w:val="24"/>
        </w:rPr>
        <w:t xml:space="preserve"> </w:t>
      </w:r>
      <w:r w:rsidRPr="00990476">
        <w:rPr>
          <w:b/>
          <w:noProof/>
          <w:szCs w:val="24"/>
        </w:rPr>
        <w:t xml:space="preserve">+ </w:t>
      </w:r>
      <w:r w:rsidR="00A84246">
        <w:rPr>
          <w:b/>
          <w:noProof/>
          <w:szCs w:val="24"/>
        </w:rPr>
        <w:t xml:space="preserve">new </w:t>
      </w:r>
      <w:r w:rsidRPr="00990476">
        <w:rPr>
          <w:b/>
          <w:iCs/>
          <w:noProof/>
          <w:szCs w:val="24"/>
        </w:rPr>
        <w:t>flanking soft measures (</w:t>
      </w:r>
      <w:r w:rsidR="00A84246">
        <w:rPr>
          <w:b/>
          <w:iCs/>
          <w:noProof/>
          <w:szCs w:val="24"/>
        </w:rPr>
        <w:t>as in option 2.1</w:t>
      </w:r>
      <w:r w:rsidRPr="00990476">
        <w:rPr>
          <w:b/>
          <w:iCs/>
          <w:noProof/>
          <w:szCs w:val="24"/>
        </w:rPr>
        <w:t>)</w:t>
      </w:r>
    </w:p>
    <w:p w14:paraId="5E46CCBC" w14:textId="77777777" w:rsidR="00C76702" w:rsidRPr="0032290C" w:rsidRDefault="00C76702" w:rsidP="00C76702">
      <w:pPr>
        <w:spacing w:after="0" w:line="240" w:lineRule="auto"/>
        <w:rPr>
          <w:noProof/>
          <w:color w:val="44546A" w:themeColor="text2"/>
          <w:sz w:val="16"/>
          <w:szCs w:val="16"/>
        </w:rPr>
      </w:pPr>
    </w:p>
    <w:tbl>
      <w:tblPr>
        <w:tblStyle w:val="TableGrid1"/>
        <w:tblW w:w="9889" w:type="dxa"/>
        <w:tblLook w:val="04A0" w:firstRow="1" w:lastRow="0" w:firstColumn="1" w:lastColumn="0" w:noHBand="0" w:noVBand="1"/>
      </w:tblPr>
      <w:tblGrid>
        <w:gridCol w:w="9889"/>
      </w:tblGrid>
      <w:tr w:rsidR="00C76702" w:rsidRPr="00CC4C89" w14:paraId="103191D1" w14:textId="77777777" w:rsidTr="009D6B1A">
        <w:tc>
          <w:tcPr>
            <w:tcW w:w="9889" w:type="dxa"/>
            <w:tcBorders>
              <w:bottom w:val="single" w:sz="4" w:space="0" w:color="auto"/>
            </w:tcBorders>
            <w:shd w:val="clear" w:color="auto" w:fill="9CC2E5" w:themeFill="accent1" w:themeFillTint="99"/>
          </w:tcPr>
          <w:p w14:paraId="5D29305F" w14:textId="77777777" w:rsidR="00C76702" w:rsidRPr="00B77326" w:rsidRDefault="00C76702" w:rsidP="001C5034">
            <w:pPr>
              <w:spacing w:before="60" w:after="60"/>
              <w:jc w:val="center"/>
              <w:rPr>
                <w:rFonts w:ascii="Verdana" w:hAnsi="Verdana" w:cs="Times New Roman"/>
                <w:b/>
                <w:noProof/>
                <w:sz w:val="16"/>
                <w:szCs w:val="16"/>
              </w:rPr>
            </w:pPr>
            <w:r w:rsidRPr="00B77326">
              <w:rPr>
                <w:rFonts w:ascii="Verdana" w:hAnsi="Verdana" w:cs="Times New Roman"/>
                <w:b/>
                <w:noProof/>
                <w:sz w:val="16"/>
                <w:szCs w:val="16"/>
              </w:rPr>
              <w:t xml:space="preserve">Expected impact of policy option </w:t>
            </w:r>
            <w:r w:rsidR="001C5034">
              <w:rPr>
                <w:rFonts w:ascii="Verdana" w:hAnsi="Verdana" w:cs="Times New Roman"/>
                <w:b/>
                <w:noProof/>
                <w:sz w:val="16"/>
                <w:szCs w:val="16"/>
              </w:rPr>
              <w:t>2.2</w:t>
            </w:r>
          </w:p>
        </w:tc>
      </w:tr>
      <w:tr w:rsidR="00C76702" w:rsidRPr="00CC4C89" w14:paraId="0422C4D0" w14:textId="77777777" w:rsidTr="009D6B1A">
        <w:tc>
          <w:tcPr>
            <w:tcW w:w="9889" w:type="dxa"/>
            <w:tcBorders>
              <w:bottom w:val="single" w:sz="4" w:space="0" w:color="auto"/>
            </w:tcBorders>
            <w:shd w:val="clear" w:color="auto" w:fill="BDD6EE" w:themeFill="accent1" w:themeFillTint="66"/>
          </w:tcPr>
          <w:p w14:paraId="58B3C894"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rsidRPr="00CC4C89" w14:paraId="2431EBA2" w14:textId="77777777" w:rsidTr="009D6B1A">
        <w:tc>
          <w:tcPr>
            <w:tcW w:w="9889" w:type="dxa"/>
            <w:shd w:val="clear" w:color="auto" w:fill="DEEAF6" w:themeFill="accent1" w:themeFillTint="33"/>
          </w:tcPr>
          <w:p w14:paraId="44E51A62"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Significant positive impact</w:t>
            </w:r>
            <w:r w:rsidRPr="00B77326">
              <w:rPr>
                <w:rFonts w:ascii="Verdana" w:hAnsi="Verdana" w:cs="Times New Roman"/>
                <w:noProof/>
                <w:sz w:val="16"/>
                <w:szCs w:val="16"/>
              </w:rPr>
              <w:t xml:space="preserve"> to the security of the European citizens and societies. The approximation of common minimum standards in the functioning of the SPOCs, PCCCs and any other equivalent bodies would </w:t>
            </w:r>
            <w:r w:rsidRPr="00B77326">
              <w:rPr>
                <w:rFonts w:ascii="Verdana" w:hAnsi="Verdana" w:cs="Times New Roman"/>
                <w:b/>
                <w:noProof/>
                <w:sz w:val="16"/>
                <w:szCs w:val="16"/>
              </w:rPr>
              <w:t xml:space="preserve">significantly </w:t>
            </w:r>
            <w:r w:rsidRPr="00B77326">
              <w:rPr>
                <w:rFonts w:ascii="Verdana" w:hAnsi="Verdana" w:cs="Times New Roman"/>
                <w:noProof/>
                <w:sz w:val="16"/>
                <w:szCs w:val="16"/>
              </w:rPr>
              <w:t xml:space="preserve">support Member States to more effectively counter any forms of </w:t>
            </w:r>
            <w:r w:rsidR="00954B41">
              <w:rPr>
                <w:rFonts w:ascii="Verdana" w:hAnsi="Verdana" w:cs="Times New Roman"/>
                <w:noProof/>
                <w:sz w:val="16"/>
                <w:szCs w:val="16"/>
              </w:rPr>
              <w:t>criminal offences</w:t>
            </w:r>
            <w:r w:rsidRPr="00B77326">
              <w:rPr>
                <w:rFonts w:ascii="Verdana" w:hAnsi="Verdana" w:cs="Times New Roman"/>
                <w:noProof/>
                <w:sz w:val="16"/>
                <w:szCs w:val="16"/>
              </w:rPr>
              <w:t xml:space="preserve">. This would also </w:t>
            </w:r>
            <w:r w:rsidRPr="00B77326">
              <w:rPr>
                <w:rFonts w:ascii="Verdana" w:hAnsi="Verdana" w:cs="Times New Roman"/>
                <w:b/>
                <w:noProof/>
                <w:sz w:val="16"/>
                <w:szCs w:val="16"/>
              </w:rPr>
              <w:t>significantly</w:t>
            </w:r>
            <w:r w:rsidRPr="00B77326">
              <w:rPr>
                <w:rFonts w:ascii="Verdana" w:hAnsi="Verdana" w:cs="Times New Roman"/>
                <w:noProof/>
                <w:sz w:val="16"/>
                <w:szCs w:val="16"/>
              </w:rPr>
              <w:t xml:space="preserve"> reduce undue delays in the information sharing.</w:t>
            </w:r>
            <w:r w:rsidR="00D818F2" w:rsidRPr="00B77326">
              <w:rPr>
                <w:bCs/>
                <w:noProof/>
                <w:sz w:val="16"/>
                <w:szCs w:val="16"/>
              </w:rPr>
              <w:t xml:space="preserve"> </w:t>
            </w:r>
          </w:p>
        </w:tc>
      </w:tr>
      <w:tr w:rsidR="00C76702" w:rsidRPr="00CC4C89" w14:paraId="11FB1EAB" w14:textId="77777777" w:rsidTr="009D6B1A">
        <w:tc>
          <w:tcPr>
            <w:tcW w:w="9889" w:type="dxa"/>
            <w:tcBorders>
              <w:bottom w:val="single" w:sz="4" w:space="0" w:color="auto"/>
            </w:tcBorders>
            <w:shd w:val="clear" w:color="auto" w:fill="BDD6EE" w:themeFill="accent1" w:themeFillTint="66"/>
          </w:tcPr>
          <w:p w14:paraId="2A296B03"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rsidRPr="00CC4C89" w14:paraId="7FCD935B" w14:textId="77777777" w:rsidTr="009D6B1A">
        <w:tc>
          <w:tcPr>
            <w:tcW w:w="9889" w:type="dxa"/>
            <w:shd w:val="clear" w:color="auto" w:fill="DEEAF6" w:themeFill="accent1" w:themeFillTint="33"/>
          </w:tcPr>
          <w:p w14:paraId="69D45205" w14:textId="261B5986"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Significant positive impact</w:t>
            </w:r>
            <w:r w:rsidRPr="00B77326">
              <w:rPr>
                <w:rFonts w:ascii="Verdana" w:hAnsi="Verdana" w:cs="Times New Roman"/>
                <w:noProof/>
                <w:sz w:val="16"/>
                <w:szCs w:val="16"/>
              </w:rPr>
              <w:t xml:space="preserve"> on national authorities, which could significantly contribute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 xml:space="preserve">to efficiently combat </w:t>
            </w:r>
            <w:r w:rsidR="00954B41">
              <w:rPr>
                <w:rFonts w:ascii="Verdana" w:hAnsi="Verdana" w:cs="Times New Roman"/>
                <w:noProof/>
                <w:sz w:val="16"/>
                <w:szCs w:val="16"/>
              </w:rPr>
              <w:t>criminal offences</w:t>
            </w:r>
            <w:r w:rsidRPr="00B77326">
              <w:rPr>
                <w:rFonts w:ascii="Verdana" w:hAnsi="Verdana" w:cs="Times New Roman"/>
                <w:noProof/>
                <w:sz w:val="16"/>
                <w:szCs w:val="16"/>
              </w:rPr>
              <w:t xml:space="preserve">, because of </w:t>
            </w:r>
            <w:r w:rsidR="001B3E3B">
              <w:rPr>
                <w:rFonts w:ascii="Verdana" w:hAnsi="Verdana" w:cs="Times New Roman"/>
                <w:noProof/>
                <w:sz w:val="16"/>
                <w:szCs w:val="16"/>
              </w:rPr>
              <w:t xml:space="preserve">what </w:t>
            </w:r>
            <w:r w:rsidRPr="00B77326">
              <w:rPr>
                <w:rFonts w:ascii="Verdana" w:hAnsi="Verdana" w:cs="Times New Roman"/>
                <w:noProof/>
                <w:sz w:val="16"/>
                <w:szCs w:val="16"/>
              </w:rPr>
              <w:t xml:space="preserve">the approximation of common minimum standards would bring in the functioning of the SPOCs, PCCCs and any other equivalent bodies. </w:t>
            </w:r>
            <w:r w:rsidR="008A57C3">
              <w:rPr>
                <w:rFonts w:ascii="Verdana" w:hAnsi="Verdana" w:cs="Times New Roman"/>
                <w:noProof/>
                <w:sz w:val="16"/>
                <w:szCs w:val="16"/>
              </w:rPr>
              <w:t>It would also facilitate the link with judicial authorities whenever judicial authorisation is needed.</w:t>
            </w:r>
          </w:p>
          <w:p w14:paraId="115B8A19" w14:textId="77777777" w:rsidR="00412182" w:rsidRPr="00704502" w:rsidRDefault="00C76702" w:rsidP="007045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A negative impact would be a</w:t>
            </w:r>
            <w:r w:rsidRPr="00B77326">
              <w:rPr>
                <w:rFonts w:ascii="Verdana" w:hAnsi="Verdana" w:cs="Times New Roman"/>
                <w:b/>
                <w:noProof/>
                <w:sz w:val="16"/>
                <w:szCs w:val="16"/>
              </w:rPr>
              <w:t xml:space="preserve"> likely</w:t>
            </w:r>
            <w:r w:rsidRPr="00B77326">
              <w:rPr>
                <w:rFonts w:ascii="Verdana" w:hAnsi="Verdana" w:cs="Times New Roman"/>
                <w:noProof/>
                <w:sz w:val="16"/>
                <w:szCs w:val="16"/>
              </w:rPr>
              <w:t xml:space="preserve"> workoad increase for national SPOCs however offset by the improvements the approximation of common minimum standards would bring.</w:t>
            </w:r>
          </w:p>
        </w:tc>
      </w:tr>
      <w:tr w:rsidR="00C76702" w:rsidRPr="00CC4C89" w14:paraId="3236260D" w14:textId="77777777" w:rsidTr="009D6B1A">
        <w:tc>
          <w:tcPr>
            <w:tcW w:w="9889" w:type="dxa"/>
            <w:tcBorders>
              <w:bottom w:val="single" w:sz="4" w:space="0" w:color="auto"/>
            </w:tcBorders>
            <w:shd w:val="clear" w:color="auto" w:fill="BDD6EE" w:themeFill="accent1" w:themeFillTint="66"/>
          </w:tcPr>
          <w:p w14:paraId="0C9B05B2"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rsidRPr="00113989" w14:paraId="702DF34B" w14:textId="77777777" w:rsidTr="009D6B1A">
        <w:tc>
          <w:tcPr>
            <w:tcW w:w="9889" w:type="dxa"/>
            <w:shd w:val="clear" w:color="auto" w:fill="DEEAF6" w:themeFill="accent1" w:themeFillTint="33"/>
          </w:tcPr>
          <w:p w14:paraId="625E96E3"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 adoption and development of support measures would </w:t>
            </w:r>
            <w:r w:rsidRPr="00B77326">
              <w:rPr>
                <w:rFonts w:ascii="Verdana" w:hAnsi="Verdana" w:cs="Times New Roman"/>
                <w:b/>
                <w:noProof/>
                <w:sz w:val="16"/>
                <w:szCs w:val="16"/>
              </w:rPr>
              <w:t>significantly</w:t>
            </w:r>
            <w:r w:rsidRPr="00B77326">
              <w:rPr>
                <w:rFonts w:ascii="Verdana" w:hAnsi="Verdana" w:cs="Times New Roman"/>
                <w:noProof/>
                <w:sz w:val="16"/>
                <w:szCs w:val="16"/>
              </w:rPr>
              <w:t xml:space="preserve"> contribute to increase the quality and quantity of information shared with Europol.</w:t>
            </w:r>
          </w:p>
          <w:p w14:paraId="61CF7E52"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iCs/>
                <w:noProof/>
                <w:sz w:val="16"/>
                <w:szCs w:val="16"/>
              </w:rPr>
              <w:t xml:space="preserve">The adoption and development of </w:t>
            </w:r>
            <w:r w:rsidRPr="00B77326">
              <w:rPr>
                <w:rFonts w:ascii="Verdana" w:hAnsi="Verdana" w:cs="Times New Roman"/>
                <w:b/>
                <w:iCs/>
                <w:noProof/>
                <w:sz w:val="16"/>
                <w:szCs w:val="16"/>
              </w:rPr>
              <w:t>flanking soft measures</w:t>
            </w:r>
            <w:r w:rsidRPr="00B77326">
              <w:rPr>
                <w:rFonts w:ascii="Verdana" w:hAnsi="Verdana" w:cs="Times New Roman"/>
                <w:iCs/>
                <w:noProof/>
                <w:sz w:val="16"/>
                <w:szCs w:val="16"/>
              </w:rPr>
              <w:t xml:space="preserve"> (training, financial support, guidance) would be essential. </w:t>
            </w:r>
          </w:p>
        </w:tc>
      </w:tr>
      <w:tr w:rsidR="00C76702" w:rsidRPr="002E63DD" w14:paraId="54F73541" w14:textId="77777777" w:rsidTr="009D6B1A">
        <w:tc>
          <w:tcPr>
            <w:tcW w:w="9889" w:type="dxa"/>
            <w:tcBorders>
              <w:bottom w:val="single" w:sz="4" w:space="0" w:color="auto"/>
            </w:tcBorders>
            <w:shd w:val="clear" w:color="auto" w:fill="BDD6EE" w:themeFill="accent1" w:themeFillTint="66"/>
          </w:tcPr>
          <w:p w14:paraId="2DDB667B"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4. Impact on fundamental rights [++]</w:t>
            </w:r>
          </w:p>
        </w:tc>
      </w:tr>
      <w:tr w:rsidR="00C76702" w:rsidRPr="002E63DD" w14:paraId="10C2C2A2" w14:textId="77777777" w:rsidTr="009D6B1A">
        <w:tc>
          <w:tcPr>
            <w:tcW w:w="9889" w:type="dxa"/>
            <w:shd w:val="clear" w:color="auto" w:fill="DEEAF6" w:themeFill="accent1" w:themeFillTint="33"/>
          </w:tcPr>
          <w:p w14:paraId="2AC2DDC6" w14:textId="77777777" w:rsidR="0072630B" w:rsidRPr="0072630B" w:rsidRDefault="00C76702" w:rsidP="005E58A9">
            <w:pPr>
              <w:pStyle w:val="Body"/>
              <w:numPr>
                <w:ilvl w:val="0"/>
                <w:numId w:val="141"/>
              </w:numPr>
              <w:spacing w:before="60" w:after="60"/>
              <w:jc w:val="both"/>
              <w:rPr>
                <w:noProof/>
                <w:sz w:val="16"/>
                <w:szCs w:val="16"/>
              </w:rPr>
            </w:pPr>
            <w:r w:rsidRPr="00B77326">
              <w:rPr>
                <w:b/>
                <w:noProof/>
                <w:sz w:val="16"/>
                <w:szCs w:val="16"/>
              </w:rPr>
              <w:t>Significant positive impact.</w:t>
            </w:r>
            <w:r w:rsidRPr="00B77326">
              <w:rPr>
                <w:noProof/>
                <w:sz w:val="16"/>
                <w:szCs w:val="16"/>
              </w:rPr>
              <w:t xml:space="preserve"> </w:t>
            </w:r>
            <w:r w:rsidR="00D818F2" w:rsidRPr="0072630B">
              <w:rPr>
                <w:noProof/>
                <w:sz w:val="16"/>
                <w:szCs w:val="16"/>
              </w:rPr>
              <w:t>S</w:t>
            </w:r>
            <w:r w:rsidR="00D818F2" w:rsidRPr="00945713">
              <w:rPr>
                <w:noProof/>
                <w:sz w:val="16"/>
                <w:szCs w:val="16"/>
              </w:rPr>
              <w:t xml:space="preserve">ince SPOCs are not always informed about all international law enforcement cooperation requests dealt with at national level, there is a risk that procedures are being duplicated or </w:t>
            </w:r>
            <w:r w:rsidR="00D818F2">
              <w:rPr>
                <w:noProof/>
                <w:sz w:val="16"/>
                <w:szCs w:val="16"/>
              </w:rPr>
              <w:t>"</w:t>
            </w:r>
            <w:r w:rsidR="00D818F2" w:rsidRPr="00945713">
              <w:rPr>
                <w:noProof/>
                <w:sz w:val="16"/>
                <w:szCs w:val="16"/>
              </w:rPr>
              <w:t>fly below the radar</w:t>
            </w:r>
            <w:r w:rsidR="00D818F2">
              <w:rPr>
                <w:noProof/>
                <w:sz w:val="16"/>
                <w:szCs w:val="16"/>
              </w:rPr>
              <w:t>"</w:t>
            </w:r>
            <w:r w:rsidR="00D818F2" w:rsidRPr="00945713">
              <w:rPr>
                <w:noProof/>
                <w:sz w:val="16"/>
                <w:szCs w:val="16"/>
              </w:rPr>
              <w:t xml:space="preserve"> which, for instance,</w:t>
            </w:r>
            <w:r w:rsidR="006D6BE9">
              <w:rPr>
                <w:noProof/>
                <w:sz w:val="16"/>
                <w:szCs w:val="16"/>
              </w:rPr>
              <w:t xml:space="preserve"> </w:t>
            </w:r>
            <w:r w:rsidR="00D818F2" w:rsidRPr="00945713">
              <w:rPr>
                <w:noProof/>
                <w:sz w:val="16"/>
                <w:szCs w:val="16"/>
              </w:rPr>
              <w:t xml:space="preserve">can be a risk in relation to </w:t>
            </w:r>
            <w:r w:rsidR="00D818F2">
              <w:rPr>
                <w:noProof/>
                <w:sz w:val="16"/>
                <w:szCs w:val="16"/>
              </w:rPr>
              <w:t xml:space="preserve">the </w:t>
            </w:r>
            <w:r w:rsidR="00D818F2" w:rsidRPr="00945713">
              <w:rPr>
                <w:noProof/>
                <w:sz w:val="16"/>
                <w:szCs w:val="16"/>
              </w:rPr>
              <w:t>right</w:t>
            </w:r>
            <w:r w:rsidR="00D818F2">
              <w:rPr>
                <w:noProof/>
                <w:sz w:val="16"/>
                <w:szCs w:val="16"/>
              </w:rPr>
              <w:t>s</w:t>
            </w:r>
            <w:r w:rsidR="00D818F2" w:rsidRPr="00945713">
              <w:rPr>
                <w:noProof/>
                <w:sz w:val="16"/>
                <w:szCs w:val="16"/>
              </w:rPr>
              <w:t xml:space="preserve"> to privacy</w:t>
            </w:r>
            <w:r w:rsidR="009B45FE">
              <w:rPr>
                <w:noProof/>
                <w:sz w:val="16"/>
                <w:szCs w:val="16"/>
              </w:rPr>
              <w:t xml:space="preserve"> since the same information can be requested a number of times</w:t>
            </w:r>
            <w:r w:rsidR="00D818F2">
              <w:rPr>
                <w:noProof/>
                <w:sz w:val="16"/>
                <w:szCs w:val="16"/>
              </w:rPr>
              <w:t xml:space="preserve">. </w:t>
            </w:r>
            <w:r w:rsidR="00CB76DA">
              <w:rPr>
                <w:noProof/>
                <w:sz w:val="16"/>
                <w:szCs w:val="16"/>
              </w:rPr>
              <w:t xml:space="preserve">Minimum requirements regarding the functioning of the SPOC will </w:t>
            </w:r>
            <w:r w:rsidR="005E58A9">
              <w:rPr>
                <w:noProof/>
                <w:sz w:val="16"/>
                <w:szCs w:val="16"/>
              </w:rPr>
              <w:t xml:space="preserve">also </w:t>
            </w:r>
            <w:r w:rsidR="00CB76DA">
              <w:rPr>
                <w:noProof/>
                <w:sz w:val="16"/>
                <w:szCs w:val="16"/>
              </w:rPr>
              <w:t xml:space="preserve">improve the efficiency and effectiveness of information sharing thereby more swiftly contribute to establishing a possible offender </w:t>
            </w:r>
            <w:r w:rsidR="005E58A9">
              <w:rPr>
                <w:noProof/>
                <w:sz w:val="16"/>
                <w:szCs w:val="16"/>
              </w:rPr>
              <w:t>implication (or lack thereof)</w:t>
            </w:r>
            <w:r w:rsidR="00D818F2">
              <w:rPr>
                <w:noProof/>
                <w:sz w:val="16"/>
                <w:szCs w:val="16"/>
              </w:rPr>
              <w:t xml:space="preserve">. </w:t>
            </w:r>
          </w:p>
        </w:tc>
      </w:tr>
      <w:tr w:rsidR="00C76702" w:rsidRPr="00475E9D" w14:paraId="26DC5444" w14:textId="77777777" w:rsidTr="009D6B1A">
        <w:tc>
          <w:tcPr>
            <w:tcW w:w="9889" w:type="dxa"/>
            <w:tcBorders>
              <w:bottom w:val="single" w:sz="4" w:space="0" w:color="auto"/>
            </w:tcBorders>
            <w:shd w:val="clear" w:color="auto" w:fill="BDD6EE" w:themeFill="accent1" w:themeFillTint="66"/>
          </w:tcPr>
          <w:p w14:paraId="1AB18231"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 xml:space="preserve">5. Effectiveness in meeting the policy objectives [++] </w:t>
            </w:r>
          </w:p>
        </w:tc>
      </w:tr>
      <w:tr w:rsidR="00C76702" w:rsidRPr="00F66492" w14:paraId="31E816C1" w14:textId="77777777" w:rsidTr="009D6B1A">
        <w:tc>
          <w:tcPr>
            <w:tcW w:w="9889" w:type="dxa"/>
            <w:shd w:val="clear" w:color="auto" w:fill="DEEAF6" w:themeFill="accent1" w:themeFillTint="33"/>
          </w:tcPr>
          <w:p w14:paraId="6D996C99" w14:textId="77777777" w:rsidR="00C76702" w:rsidRPr="00B77326" w:rsidRDefault="00C76702" w:rsidP="00900BC7">
            <w:pPr>
              <w:pStyle w:val="Body"/>
              <w:widowControl w:val="0"/>
              <w:numPr>
                <w:ilvl w:val="0"/>
                <w:numId w:val="30"/>
              </w:numPr>
              <w:adjustRightInd w:val="0"/>
              <w:spacing w:before="60" w:after="60"/>
              <w:ind w:left="714" w:hanging="357"/>
              <w:jc w:val="both"/>
              <w:textAlignment w:val="baseline"/>
              <w:rPr>
                <w:noProof/>
                <w:sz w:val="16"/>
                <w:szCs w:val="16"/>
              </w:rPr>
            </w:pPr>
            <w:r w:rsidRPr="00B77326">
              <w:rPr>
                <w:noProof/>
                <w:sz w:val="16"/>
                <w:szCs w:val="16"/>
              </w:rPr>
              <w:t xml:space="preserve">This policy option would </w:t>
            </w:r>
            <w:r w:rsidRPr="00B77326">
              <w:rPr>
                <w:b/>
                <w:noProof/>
                <w:sz w:val="16"/>
                <w:szCs w:val="16"/>
              </w:rPr>
              <w:t>significantly</w:t>
            </w:r>
            <w:r w:rsidRPr="00B77326">
              <w:rPr>
                <w:noProof/>
                <w:sz w:val="16"/>
                <w:szCs w:val="16"/>
              </w:rPr>
              <w:t xml:space="preserve"> address the objective of an effective functioning of the SPOCs, PCCCs (</w:t>
            </w:r>
            <w:r w:rsidRPr="00B77326">
              <w:rPr>
                <w:bCs/>
                <w:noProof/>
                <w:sz w:val="16"/>
                <w:szCs w:val="16"/>
              </w:rPr>
              <w:t>and any other equivalents bodies)</w:t>
            </w:r>
            <w:r w:rsidRPr="00B77326">
              <w:rPr>
                <w:noProof/>
                <w:sz w:val="16"/>
                <w:szCs w:val="16"/>
              </w:rPr>
              <w:t xml:space="preserve">. </w:t>
            </w:r>
          </w:p>
        </w:tc>
      </w:tr>
      <w:tr w:rsidR="00C76702" w:rsidRPr="00475E9D" w14:paraId="1C139056" w14:textId="77777777" w:rsidTr="009D6B1A">
        <w:tc>
          <w:tcPr>
            <w:tcW w:w="9889" w:type="dxa"/>
            <w:shd w:val="clear" w:color="auto" w:fill="BDD6EE" w:themeFill="accent1" w:themeFillTint="66"/>
          </w:tcPr>
          <w:p w14:paraId="2FBDB69E" w14:textId="6146CC91" w:rsidR="00C76702" w:rsidRPr="00B77326" w:rsidRDefault="00C76702" w:rsidP="00EB7963">
            <w:pPr>
              <w:spacing w:before="60" w:after="60"/>
              <w:rPr>
                <w:rFonts w:ascii="Verdana" w:hAnsi="Verdana" w:cs="Times New Roman"/>
                <w:noProof/>
                <w:sz w:val="16"/>
                <w:szCs w:val="16"/>
              </w:rPr>
            </w:pPr>
            <w:r w:rsidRPr="00B77326">
              <w:rPr>
                <w:rFonts w:ascii="Verdana" w:hAnsi="Verdana" w:cs="Times New Roman"/>
                <w:b/>
                <w:noProof/>
                <w:sz w:val="16"/>
                <w:szCs w:val="16"/>
              </w:rPr>
              <w:t>6. Efficiency in meeting the policy objectives [</w:t>
            </w:r>
            <w:r w:rsidR="00A04EF4">
              <w:rPr>
                <w:rFonts w:ascii="Verdana" w:hAnsi="Verdana" w:cs="Times New Roman"/>
                <w:b/>
                <w:noProof/>
                <w:sz w:val="16"/>
                <w:szCs w:val="16"/>
              </w:rPr>
              <w:t>++</w:t>
            </w:r>
            <w:r w:rsidRPr="00B77326">
              <w:rPr>
                <w:rFonts w:ascii="Verdana" w:hAnsi="Verdana" w:cs="Times New Roman"/>
                <w:b/>
                <w:noProof/>
                <w:sz w:val="16"/>
                <w:szCs w:val="16"/>
              </w:rPr>
              <w:t xml:space="preserve">] </w:t>
            </w:r>
          </w:p>
        </w:tc>
      </w:tr>
      <w:tr w:rsidR="00C76702" w:rsidRPr="00475E9D" w14:paraId="38AF088D" w14:textId="77777777" w:rsidTr="009D6B1A">
        <w:tc>
          <w:tcPr>
            <w:tcW w:w="9889" w:type="dxa"/>
            <w:shd w:val="clear" w:color="auto" w:fill="DEEAF6" w:themeFill="accent1" w:themeFillTint="33"/>
          </w:tcPr>
          <w:p w14:paraId="3594EAEA" w14:textId="77777777" w:rsidR="00C76702" w:rsidRPr="00667D1F"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667D1F">
              <w:rPr>
                <w:rFonts w:ascii="Verdana" w:hAnsi="Verdana" w:cs="Times New Roman"/>
                <w:noProof/>
                <w:sz w:val="16"/>
                <w:szCs w:val="16"/>
              </w:rPr>
              <w:t xml:space="preserve">As option </w:t>
            </w:r>
            <w:r w:rsidR="001C5034">
              <w:rPr>
                <w:rFonts w:ascii="Verdana" w:hAnsi="Verdana" w:cs="Times New Roman"/>
                <w:noProof/>
                <w:sz w:val="16"/>
                <w:szCs w:val="16"/>
              </w:rPr>
              <w:t>2.1</w:t>
            </w:r>
            <w:r w:rsidRPr="00667D1F">
              <w:rPr>
                <w:rFonts w:ascii="Verdana" w:hAnsi="Verdana" w:cs="Times New Roman"/>
                <w:noProof/>
                <w:sz w:val="16"/>
                <w:szCs w:val="16"/>
              </w:rPr>
              <w:t xml:space="preserve"> + option</w:t>
            </w:r>
            <w:r w:rsidR="001C5034">
              <w:rPr>
                <w:rFonts w:ascii="Verdana" w:hAnsi="Verdana" w:cs="Times New Roman"/>
                <w:noProof/>
                <w:sz w:val="16"/>
                <w:szCs w:val="16"/>
              </w:rPr>
              <w:t xml:space="preserve"> 2.2</w:t>
            </w:r>
            <w:r w:rsidRPr="00667D1F">
              <w:rPr>
                <w:rFonts w:ascii="Verdana" w:hAnsi="Verdana" w:cs="Times New Roman"/>
                <w:noProof/>
                <w:sz w:val="16"/>
                <w:szCs w:val="16"/>
              </w:rPr>
              <w:t xml:space="preserve"> which would</w:t>
            </w:r>
            <w:r w:rsidRPr="00667D1F">
              <w:rPr>
                <w:rFonts w:ascii="Verdana" w:hAnsi="Verdana" w:cs="Times New Roman"/>
                <w:b/>
                <w:noProof/>
                <w:sz w:val="16"/>
                <w:szCs w:val="16"/>
              </w:rPr>
              <w:t xml:space="preserve"> </w:t>
            </w:r>
            <w:r w:rsidRPr="00667D1F">
              <w:rPr>
                <w:rFonts w:ascii="Verdana" w:hAnsi="Verdana" w:cs="Times New Roman"/>
                <w:noProof/>
                <w:sz w:val="16"/>
                <w:szCs w:val="16"/>
              </w:rPr>
              <w:t>generate</w:t>
            </w:r>
            <w:r w:rsidRPr="00667D1F">
              <w:rPr>
                <w:rFonts w:ascii="Verdana" w:hAnsi="Verdana" w:cs="Times New Roman"/>
                <w:b/>
                <w:noProof/>
                <w:sz w:val="16"/>
                <w:szCs w:val="16"/>
              </w:rPr>
              <w:t xml:space="preserve"> cost</w:t>
            </w:r>
            <w:r>
              <w:rPr>
                <w:rFonts w:ascii="Verdana" w:hAnsi="Verdana" w:cs="Times New Roman"/>
                <w:b/>
                <w:noProof/>
                <w:sz w:val="16"/>
                <w:szCs w:val="16"/>
              </w:rPr>
              <w:t>s</w:t>
            </w:r>
            <w:r w:rsidRPr="00667D1F">
              <w:rPr>
                <w:rFonts w:ascii="Verdana" w:hAnsi="Verdana" w:cs="Times New Roman"/>
                <w:b/>
                <w:noProof/>
                <w:sz w:val="16"/>
                <w:szCs w:val="16"/>
              </w:rPr>
              <w:t xml:space="preserve"> </w:t>
            </w:r>
            <w:r w:rsidRPr="00667D1F">
              <w:rPr>
                <w:rFonts w:ascii="Verdana" w:hAnsi="Verdana" w:cs="Times New Roman"/>
                <w:noProof/>
                <w:sz w:val="16"/>
                <w:szCs w:val="16"/>
              </w:rPr>
              <w:t>for a number of</w:t>
            </w:r>
            <w:r w:rsidRPr="00667D1F">
              <w:rPr>
                <w:rFonts w:ascii="Verdana" w:hAnsi="Verdana" w:cs="Times New Roman"/>
                <w:b/>
                <w:noProof/>
                <w:sz w:val="16"/>
                <w:szCs w:val="16"/>
              </w:rPr>
              <w:t xml:space="preserve"> Member States. </w:t>
            </w:r>
          </w:p>
          <w:p w14:paraId="2D04EB46"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The</w:t>
            </w:r>
            <w:r>
              <w:rPr>
                <w:rFonts w:ascii="Verdana" w:hAnsi="Verdana" w:cs="Times New Roman"/>
                <w:noProof/>
                <w:sz w:val="16"/>
                <w:szCs w:val="16"/>
              </w:rPr>
              <w:t>se</w:t>
            </w:r>
            <w:r w:rsidRPr="00B77326">
              <w:rPr>
                <w:rFonts w:ascii="Verdana" w:hAnsi="Verdana" w:cs="Times New Roman"/>
                <w:noProof/>
                <w:sz w:val="16"/>
                <w:szCs w:val="16"/>
              </w:rPr>
              <w:t xml:space="preserve"> cost</w:t>
            </w:r>
            <w:r>
              <w:rPr>
                <w:rFonts w:ascii="Verdana" w:hAnsi="Verdana" w:cs="Times New Roman"/>
                <w:noProof/>
                <w:sz w:val="16"/>
                <w:szCs w:val="16"/>
              </w:rPr>
              <w:t>s</w:t>
            </w:r>
            <w:r w:rsidR="00D7651F">
              <w:rPr>
                <w:rFonts w:ascii="Verdana" w:hAnsi="Verdana" w:cs="Times New Roman"/>
                <w:noProof/>
                <w:sz w:val="16"/>
                <w:szCs w:val="16"/>
              </w:rPr>
              <w:t xml:space="preserve"> </w:t>
            </w:r>
            <w:r w:rsidRPr="00B77326">
              <w:rPr>
                <w:rFonts w:ascii="Verdana" w:hAnsi="Verdana" w:cs="Times New Roman"/>
                <w:noProof/>
                <w:sz w:val="16"/>
                <w:szCs w:val="16"/>
              </w:rPr>
              <w:t xml:space="preserve">would vary </w:t>
            </w:r>
            <w:r>
              <w:rPr>
                <w:rFonts w:ascii="Verdana" w:hAnsi="Verdana" w:cs="Times New Roman"/>
                <w:noProof/>
                <w:sz w:val="16"/>
                <w:szCs w:val="16"/>
              </w:rPr>
              <w:t xml:space="preserve">significantly </w:t>
            </w:r>
            <w:r w:rsidRPr="00B77326">
              <w:rPr>
                <w:rFonts w:ascii="Verdana" w:hAnsi="Verdana" w:cs="Times New Roman"/>
                <w:noProof/>
                <w:sz w:val="16"/>
                <w:szCs w:val="16"/>
              </w:rPr>
              <w:t>depending on the effective</w:t>
            </w:r>
            <w:r>
              <w:rPr>
                <w:rFonts w:ascii="Verdana" w:hAnsi="Verdana" w:cs="Times New Roman"/>
                <w:noProof/>
                <w:sz w:val="16"/>
                <w:szCs w:val="16"/>
              </w:rPr>
              <w:t>nss and efficiency of the natio</w:t>
            </w:r>
            <w:r w:rsidRPr="00B77326">
              <w:rPr>
                <w:rFonts w:ascii="Verdana" w:hAnsi="Verdana" w:cs="Times New Roman"/>
                <w:noProof/>
                <w:sz w:val="16"/>
                <w:szCs w:val="16"/>
              </w:rPr>
              <w:t>n</w:t>
            </w:r>
            <w:r>
              <w:rPr>
                <w:rFonts w:ascii="Verdana" w:hAnsi="Verdana" w:cs="Times New Roman"/>
                <w:noProof/>
                <w:sz w:val="16"/>
                <w:szCs w:val="16"/>
              </w:rPr>
              <w:t>a</w:t>
            </w:r>
            <w:r w:rsidRPr="00B77326">
              <w:rPr>
                <w:rFonts w:ascii="Verdana" w:hAnsi="Verdana" w:cs="Times New Roman"/>
                <w:noProof/>
                <w:sz w:val="16"/>
                <w:szCs w:val="16"/>
              </w:rPr>
              <w:t xml:space="preserve">l SPOCs and PCCCs (if any). </w:t>
            </w:r>
          </w:p>
          <w:p w14:paraId="30C2B539" w14:textId="32DD79EF"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would essentially cover possible IT upgrades.</w:t>
            </w:r>
            <w:r w:rsidR="00A04EF4">
              <w:rPr>
                <w:rFonts w:ascii="Verdana" w:hAnsi="Verdana" w:cs="Times New Roman"/>
                <w:noProof/>
                <w:sz w:val="16"/>
                <w:szCs w:val="16"/>
              </w:rPr>
              <w:t xml:space="preserve"> They don't outweight benefits.</w:t>
            </w:r>
          </w:p>
        </w:tc>
      </w:tr>
      <w:tr w:rsidR="00C76702" w:rsidRPr="00475E9D" w14:paraId="3113501C" w14:textId="77777777" w:rsidTr="009D6B1A">
        <w:tc>
          <w:tcPr>
            <w:tcW w:w="9889" w:type="dxa"/>
            <w:tcBorders>
              <w:bottom w:val="single" w:sz="4" w:space="0" w:color="auto"/>
            </w:tcBorders>
            <w:shd w:val="clear" w:color="auto" w:fill="BDD6EE" w:themeFill="accent1" w:themeFillTint="66"/>
          </w:tcPr>
          <w:p w14:paraId="2DE7CF95" w14:textId="77777777" w:rsidR="00C76702" w:rsidRPr="00B77326" w:rsidRDefault="00C76702" w:rsidP="00F72F82">
            <w:pPr>
              <w:spacing w:before="60" w:after="60"/>
              <w:rPr>
                <w:rFonts w:ascii="Verdana" w:hAnsi="Verdana" w:cs="Times New Roman"/>
                <w:b/>
                <w:noProof/>
                <w:sz w:val="16"/>
                <w:szCs w:val="16"/>
              </w:rPr>
            </w:pPr>
            <w:r w:rsidRPr="00B77326">
              <w:rPr>
                <w:rFonts w:ascii="Verdana" w:hAnsi="Verdana" w:cs="Times New Roman"/>
                <w:b/>
                <w:noProof/>
                <w:sz w:val="16"/>
                <w:szCs w:val="16"/>
              </w:rPr>
              <w:t>7. Legal feasibility [++]</w:t>
            </w:r>
          </w:p>
        </w:tc>
      </w:tr>
      <w:tr w:rsidR="00C76702" w:rsidRPr="00475E9D" w14:paraId="71C7B631" w14:textId="77777777" w:rsidTr="009D6B1A">
        <w:tc>
          <w:tcPr>
            <w:tcW w:w="9889" w:type="dxa"/>
            <w:shd w:val="clear" w:color="auto" w:fill="DEEAF6" w:themeFill="accent1" w:themeFillTint="33"/>
          </w:tcPr>
          <w:p w14:paraId="4CF518DD" w14:textId="77777777" w:rsidR="00C76702" w:rsidRPr="00945713" w:rsidRDefault="00C76702" w:rsidP="000B505F">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This policy option would require </w:t>
            </w:r>
            <w:r w:rsidRPr="00B77326">
              <w:rPr>
                <w:rFonts w:ascii="Verdana" w:hAnsi="Verdana" w:cs="Times New Roman"/>
                <w:b/>
                <w:noProof/>
                <w:sz w:val="16"/>
                <w:szCs w:val="16"/>
              </w:rPr>
              <w:t>new provisions</w:t>
            </w:r>
            <w:r w:rsidRPr="00B77326">
              <w:rPr>
                <w:rFonts w:ascii="Verdana" w:hAnsi="Verdana" w:cs="Times New Roman"/>
                <w:noProof/>
                <w:sz w:val="16"/>
                <w:szCs w:val="16"/>
              </w:rPr>
              <w:t xml:space="preserve"> regarding the functioning of the SPOCs, PCCCs and any other equivalent bodies.</w:t>
            </w:r>
            <w:r w:rsidR="00443017">
              <w:rPr>
                <w:rFonts w:ascii="Verdana" w:hAnsi="Verdana" w:cs="Times New Roman"/>
                <w:noProof/>
                <w:sz w:val="16"/>
                <w:szCs w:val="16"/>
              </w:rPr>
              <w:t xml:space="preserve"> These provisions e</w:t>
            </w:r>
            <w:r w:rsidR="00443017" w:rsidRPr="00B5430F">
              <w:rPr>
                <w:rFonts w:ascii="Verdana" w:hAnsi="Verdana"/>
                <w:noProof/>
                <w:sz w:val="16"/>
              </w:rPr>
              <w:t>nsure the</w:t>
            </w:r>
            <w:r w:rsidR="00443017" w:rsidRPr="00B5430F">
              <w:rPr>
                <w:noProof/>
                <w:sz w:val="16"/>
              </w:rPr>
              <w:t xml:space="preserve"> </w:t>
            </w:r>
            <w:r w:rsidR="00443017" w:rsidRPr="00B5430F">
              <w:rPr>
                <w:rFonts w:ascii="Verdana" w:hAnsi="Verdana"/>
                <w:noProof/>
                <w:sz w:val="16"/>
              </w:rPr>
              <w:t>respect</w:t>
            </w:r>
            <w:r w:rsidR="00443017">
              <w:rPr>
                <w:rFonts w:ascii="Verdana" w:hAnsi="Verdana"/>
                <w:noProof/>
                <w:sz w:val="16"/>
              </w:rPr>
              <w:t xml:space="preserve"> of the </w:t>
            </w:r>
            <w:r w:rsidR="00443017" w:rsidRPr="00B5430F">
              <w:rPr>
                <w:rFonts w:ascii="Verdana" w:hAnsi="Verdana"/>
                <w:noProof/>
                <w:sz w:val="16"/>
              </w:rPr>
              <w:t>conferral</w:t>
            </w:r>
            <w:r w:rsidR="00443017">
              <w:rPr>
                <w:rFonts w:ascii="Verdana" w:hAnsi="Verdana"/>
                <w:noProof/>
                <w:sz w:val="16"/>
              </w:rPr>
              <w:t xml:space="preserve"> of powers </w:t>
            </w:r>
            <w:r w:rsidR="00443017" w:rsidRPr="00B5430F">
              <w:rPr>
                <w:rFonts w:ascii="Verdana" w:hAnsi="Verdana"/>
                <w:noProof/>
                <w:sz w:val="16"/>
              </w:rPr>
              <w:t xml:space="preserve">and </w:t>
            </w:r>
            <w:r w:rsidR="00443017">
              <w:rPr>
                <w:rFonts w:ascii="Verdana" w:hAnsi="Verdana"/>
                <w:noProof/>
                <w:sz w:val="16"/>
              </w:rPr>
              <w:t xml:space="preserve">of </w:t>
            </w:r>
            <w:r w:rsidR="00443017" w:rsidRPr="00B5430F">
              <w:rPr>
                <w:rFonts w:ascii="Verdana" w:hAnsi="Verdana"/>
                <w:noProof/>
                <w:sz w:val="16"/>
              </w:rPr>
              <w:t>fundamental rights</w:t>
            </w:r>
            <w:r w:rsidR="00443017">
              <w:rPr>
                <w:rFonts w:ascii="Verdana" w:hAnsi="Verdana"/>
                <w:noProof/>
                <w:sz w:val="16"/>
              </w:rPr>
              <w:t xml:space="preserve"> (approximation of common minimum standards. Member States are free to go beyond as they see fit). </w:t>
            </w:r>
          </w:p>
        </w:tc>
      </w:tr>
      <w:tr w:rsidR="00F72F82" w:rsidRPr="00475E9D" w14:paraId="04CCF739" w14:textId="77777777" w:rsidTr="00D818F2">
        <w:tc>
          <w:tcPr>
            <w:tcW w:w="9889" w:type="dxa"/>
            <w:shd w:val="clear" w:color="auto" w:fill="BDD6EE" w:themeFill="accent1" w:themeFillTint="66"/>
          </w:tcPr>
          <w:p w14:paraId="15A562D3" w14:textId="77777777" w:rsidR="00F72F82" w:rsidRPr="00945713" w:rsidRDefault="00F72F82" w:rsidP="00945713">
            <w:pPr>
              <w:widowControl w:val="0"/>
              <w:adjustRightInd w:val="0"/>
              <w:spacing w:before="60" w:after="60" w:line="240" w:lineRule="auto"/>
              <w:jc w:val="both"/>
              <w:textAlignment w:val="baseline"/>
              <w:rPr>
                <w:rFonts w:ascii="Verdana" w:hAnsi="Verdana" w:cs="Times New Roman"/>
                <w:b/>
                <w:noProof/>
                <w:sz w:val="16"/>
                <w:szCs w:val="16"/>
              </w:rPr>
            </w:pPr>
            <w:r w:rsidRPr="00945713">
              <w:rPr>
                <w:rFonts w:ascii="Verdana" w:hAnsi="Verdana"/>
                <w:b/>
                <w:noProof/>
                <w:sz w:val="16"/>
              </w:rPr>
              <w:t>8. Technical feasibility</w:t>
            </w:r>
            <w:r>
              <w:rPr>
                <w:rFonts w:ascii="Verdana" w:hAnsi="Verdana"/>
                <w:b/>
                <w:noProof/>
                <w:sz w:val="16"/>
              </w:rPr>
              <w:t xml:space="preserve"> [+]</w:t>
            </w:r>
          </w:p>
        </w:tc>
      </w:tr>
      <w:tr w:rsidR="00F72F82" w:rsidRPr="00475E9D" w14:paraId="19F8FE42" w14:textId="77777777" w:rsidTr="009D6B1A">
        <w:tc>
          <w:tcPr>
            <w:tcW w:w="9889" w:type="dxa"/>
            <w:shd w:val="clear" w:color="auto" w:fill="DEEAF6" w:themeFill="accent1" w:themeFillTint="33"/>
          </w:tcPr>
          <w:p w14:paraId="4634EC85" w14:textId="77777777" w:rsidR="00F72F82" w:rsidRPr="00B77326" w:rsidRDefault="00F72F8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Even though this policy option would be technically feasible, the extent of this approximation would vary significantly from one Member State to the next depending on national needs. </w:t>
            </w:r>
          </w:p>
          <w:p w14:paraId="77628799" w14:textId="77777777" w:rsidR="00F72F82" w:rsidRPr="00B77326" w:rsidRDefault="00F72F8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iCs/>
                <w:noProof/>
                <w:sz w:val="16"/>
                <w:szCs w:val="16"/>
              </w:rPr>
              <w:t xml:space="preserve">The adoption and development of </w:t>
            </w:r>
            <w:r w:rsidRPr="00B77326">
              <w:rPr>
                <w:rFonts w:ascii="Verdana" w:hAnsi="Verdana" w:cs="Times New Roman"/>
                <w:b/>
                <w:iCs/>
                <w:noProof/>
                <w:sz w:val="16"/>
                <w:szCs w:val="16"/>
              </w:rPr>
              <w:t>flanking soft measures</w:t>
            </w:r>
            <w:r w:rsidRPr="00B77326">
              <w:rPr>
                <w:rFonts w:ascii="Verdana" w:hAnsi="Verdana" w:cs="Times New Roman"/>
                <w:iCs/>
                <w:noProof/>
                <w:sz w:val="16"/>
                <w:szCs w:val="16"/>
              </w:rPr>
              <w:t xml:space="preserve"> (training, financial support, guidance) would be essential.</w:t>
            </w:r>
          </w:p>
        </w:tc>
      </w:tr>
      <w:tr w:rsidR="00C76702" w:rsidRPr="00475E9D" w14:paraId="73A08A6F" w14:textId="77777777" w:rsidTr="009D6B1A">
        <w:tc>
          <w:tcPr>
            <w:tcW w:w="9889" w:type="dxa"/>
            <w:tcBorders>
              <w:bottom w:val="single" w:sz="4" w:space="0" w:color="auto"/>
            </w:tcBorders>
            <w:shd w:val="clear" w:color="auto" w:fill="BDD6EE" w:themeFill="accent1" w:themeFillTint="66"/>
          </w:tcPr>
          <w:p w14:paraId="437827ED" w14:textId="636DC38A"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9</w:t>
            </w:r>
            <w:r w:rsidR="00C76702" w:rsidRPr="00B77326">
              <w:rPr>
                <w:rFonts w:ascii="Verdana" w:hAnsi="Verdana" w:cs="Times New Roman"/>
                <w:b/>
                <w:noProof/>
                <w:sz w:val="16"/>
                <w:szCs w:val="16"/>
              </w:rPr>
              <w:t xml:space="preserve">. Coherence with other measures [++] </w:t>
            </w:r>
          </w:p>
        </w:tc>
      </w:tr>
      <w:tr w:rsidR="00C76702" w:rsidRPr="00475E9D" w14:paraId="1C898747" w14:textId="77777777" w:rsidTr="009D6B1A">
        <w:trPr>
          <w:trHeight w:val="425"/>
        </w:trPr>
        <w:tc>
          <w:tcPr>
            <w:tcW w:w="9889" w:type="dxa"/>
            <w:tcBorders>
              <w:bottom w:val="single" w:sz="4" w:space="0" w:color="auto"/>
            </w:tcBorders>
            <w:shd w:val="clear" w:color="auto" w:fill="DEEAF6" w:themeFill="accent1" w:themeFillTint="33"/>
          </w:tcPr>
          <w:p w14:paraId="70EBAE45"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b/>
                <w:noProof/>
                <w:sz w:val="16"/>
                <w:szCs w:val="16"/>
              </w:rPr>
            </w:pPr>
            <w:r w:rsidRPr="00B77326">
              <w:rPr>
                <w:rFonts w:ascii="Verdana" w:hAnsi="Verdana" w:cs="Times New Roman"/>
                <w:noProof/>
                <w:sz w:val="16"/>
                <w:szCs w:val="16"/>
              </w:rPr>
              <w:t>This policy option would</w:t>
            </w:r>
            <w:r w:rsidRPr="00B77326">
              <w:rPr>
                <w:rFonts w:ascii="Verdana" w:hAnsi="Verdana" w:cs="Times New Roman"/>
                <w:b/>
                <w:noProof/>
                <w:sz w:val="16"/>
                <w:szCs w:val="16"/>
              </w:rPr>
              <w:t xml:space="preserve"> significantly </w:t>
            </w:r>
            <w:r w:rsidRPr="00B77326">
              <w:rPr>
                <w:rFonts w:ascii="Verdana" w:hAnsi="Verdana" w:cs="Times New Roman"/>
                <w:noProof/>
                <w:sz w:val="16"/>
                <w:szCs w:val="16"/>
              </w:rPr>
              <w:t>complement other Commission initiatives such as the Commission proposals for a new Schengen border code, for Prüm II and for Europol.</w:t>
            </w:r>
          </w:p>
        </w:tc>
      </w:tr>
    </w:tbl>
    <w:p w14:paraId="63176C28" w14:textId="77777777" w:rsidR="00C76702" w:rsidRPr="002261B6" w:rsidRDefault="00C76702" w:rsidP="00C76702">
      <w:pPr>
        <w:pStyle w:val="Text1"/>
        <w:spacing w:after="120"/>
        <w:ind w:left="0"/>
        <w:rPr>
          <w:b/>
          <w:noProof/>
          <w:sz w:val="20"/>
        </w:rPr>
      </w:pPr>
    </w:p>
    <w:p w14:paraId="149D31AC" w14:textId="0478DD4B" w:rsidR="00C76702" w:rsidRPr="00990476"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0"/>
        <w:ind w:left="0"/>
        <w:rPr>
          <w:b/>
          <w:noProof/>
          <w:szCs w:val="24"/>
        </w:rPr>
      </w:pPr>
      <w:r>
        <w:rPr>
          <w:b/>
          <w:noProof/>
          <w:szCs w:val="24"/>
          <w:u w:val="single"/>
        </w:rPr>
        <w:t xml:space="preserve">Policy option </w:t>
      </w:r>
      <w:r w:rsidR="001C5034">
        <w:rPr>
          <w:b/>
          <w:noProof/>
          <w:szCs w:val="24"/>
          <w:u w:val="single"/>
        </w:rPr>
        <w:t>2.3</w:t>
      </w:r>
      <w:r w:rsidRPr="00514E93">
        <w:rPr>
          <w:b/>
          <w:noProof/>
          <w:szCs w:val="24"/>
          <w:u w:val="single"/>
        </w:rPr>
        <w:t>:</w:t>
      </w:r>
      <w:r w:rsidRPr="005854D1">
        <w:rPr>
          <w:b/>
          <w:noProof/>
          <w:szCs w:val="24"/>
        </w:rPr>
        <w:t xml:space="preserve"> </w:t>
      </w:r>
      <w:r>
        <w:rPr>
          <w:b/>
          <w:i/>
          <w:noProof/>
          <w:szCs w:val="24"/>
        </w:rPr>
        <w:t>H</w:t>
      </w:r>
      <w:r w:rsidRPr="00990476">
        <w:rPr>
          <w:b/>
          <w:i/>
          <w:noProof/>
          <w:szCs w:val="24"/>
        </w:rPr>
        <w:t xml:space="preserve">armonisation </w:t>
      </w:r>
      <w:r w:rsidRPr="00990476">
        <w:rPr>
          <w:b/>
          <w:noProof/>
          <w:szCs w:val="24"/>
        </w:rPr>
        <w:t xml:space="preserve">of rules on the composition of the Single Points of Contact (including </w:t>
      </w:r>
      <w:r w:rsidR="00FE0E3B" w:rsidRPr="00FE0E3B">
        <w:rPr>
          <w:b/>
          <w:noProof/>
          <w:szCs w:val="24"/>
        </w:rPr>
        <w:t>when a jud</w:t>
      </w:r>
      <w:r w:rsidR="00FE0E3B">
        <w:rPr>
          <w:b/>
          <w:noProof/>
          <w:szCs w:val="24"/>
        </w:rPr>
        <w:t>icial authorisation is required</w:t>
      </w:r>
      <w:r w:rsidRPr="00990476">
        <w:rPr>
          <w:b/>
          <w:noProof/>
          <w:szCs w:val="24"/>
        </w:rPr>
        <w:t xml:space="preserve">), its functions, staffing and IT systems, and its cooperation with </w:t>
      </w:r>
      <w:r w:rsidR="007B0615">
        <w:rPr>
          <w:b/>
          <w:noProof/>
          <w:szCs w:val="24"/>
        </w:rPr>
        <w:t xml:space="preserve">regional </w:t>
      </w:r>
      <w:r w:rsidRPr="00990476">
        <w:rPr>
          <w:b/>
          <w:noProof/>
          <w:szCs w:val="24"/>
        </w:rPr>
        <w:t>structures such as Police and Customs Cooperation Centres</w:t>
      </w:r>
      <w:r>
        <w:rPr>
          <w:b/>
          <w:noProof/>
          <w:szCs w:val="24"/>
        </w:rPr>
        <w:t xml:space="preserve"> </w:t>
      </w:r>
      <w:r w:rsidRPr="00990476">
        <w:rPr>
          <w:b/>
          <w:noProof/>
          <w:szCs w:val="24"/>
        </w:rPr>
        <w:t xml:space="preserve">+ </w:t>
      </w:r>
      <w:r w:rsidR="00A84246">
        <w:rPr>
          <w:b/>
          <w:noProof/>
          <w:szCs w:val="24"/>
        </w:rPr>
        <w:t xml:space="preserve">new </w:t>
      </w:r>
      <w:r w:rsidRPr="00990476">
        <w:rPr>
          <w:b/>
          <w:iCs/>
          <w:noProof/>
          <w:szCs w:val="24"/>
        </w:rPr>
        <w:t>flanking soft measures (</w:t>
      </w:r>
      <w:r w:rsidR="00A84246">
        <w:rPr>
          <w:b/>
          <w:iCs/>
          <w:noProof/>
          <w:szCs w:val="24"/>
        </w:rPr>
        <w:t>as in option 2.1</w:t>
      </w:r>
      <w:r w:rsidRPr="00990476">
        <w:rPr>
          <w:b/>
          <w:iCs/>
          <w:noProof/>
          <w:szCs w:val="24"/>
        </w:rPr>
        <w:t>)</w:t>
      </w:r>
    </w:p>
    <w:p w14:paraId="6D873F9D" w14:textId="77777777" w:rsidR="00C76702" w:rsidRPr="0032290C" w:rsidRDefault="00C76702" w:rsidP="00C76702">
      <w:pPr>
        <w:pStyle w:val="Text1"/>
        <w:spacing w:after="0"/>
        <w:ind w:left="0"/>
        <w:rPr>
          <w:noProof/>
          <w:sz w:val="16"/>
          <w:szCs w:val="16"/>
        </w:rPr>
      </w:pPr>
    </w:p>
    <w:tbl>
      <w:tblPr>
        <w:tblStyle w:val="TableGrid1"/>
        <w:tblW w:w="9889" w:type="dxa"/>
        <w:tblLook w:val="04A0" w:firstRow="1" w:lastRow="0" w:firstColumn="1" w:lastColumn="0" w:noHBand="0" w:noVBand="1"/>
      </w:tblPr>
      <w:tblGrid>
        <w:gridCol w:w="9889"/>
      </w:tblGrid>
      <w:tr w:rsidR="00C76702" w:rsidRPr="00CC4C89" w14:paraId="3D0458BD" w14:textId="77777777" w:rsidTr="009D6B1A">
        <w:tc>
          <w:tcPr>
            <w:tcW w:w="9889" w:type="dxa"/>
            <w:tcBorders>
              <w:bottom w:val="single" w:sz="4" w:space="0" w:color="auto"/>
            </w:tcBorders>
            <w:shd w:val="clear" w:color="auto" w:fill="9CC2E5" w:themeFill="accent1" w:themeFillTint="99"/>
          </w:tcPr>
          <w:p w14:paraId="78A069B6" w14:textId="77777777" w:rsidR="00C76702" w:rsidRPr="00B77326" w:rsidRDefault="00C76702" w:rsidP="001C5034">
            <w:pPr>
              <w:spacing w:before="60" w:after="60"/>
              <w:jc w:val="center"/>
              <w:rPr>
                <w:rFonts w:ascii="Verdana" w:hAnsi="Verdana" w:cs="Times New Roman"/>
                <w:b/>
                <w:noProof/>
                <w:sz w:val="16"/>
                <w:szCs w:val="16"/>
              </w:rPr>
            </w:pPr>
            <w:r w:rsidRPr="00B77326">
              <w:rPr>
                <w:rFonts w:ascii="Verdana" w:hAnsi="Verdana" w:cs="Times New Roman"/>
                <w:b/>
                <w:noProof/>
                <w:sz w:val="16"/>
                <w:szCs w:val="16"/>
              </w:rPr>
              <w:t xml:space="preserve">Expected impact of policy option </w:t>
            </w:r>
            <w:r w:rsidR="001C5034">
              <w:rPr>
                <w:rFonts w:ascii="Verdana" w:hAnsi="Verdana" w:cs="Times New Roman"/>
                <w:b/>
                <w:noProof/>
                <w:sz w:val="16"/>
                <w:szCs w:val="16"/>
              </w:rPr>
              <w:t>2.3</w:t>
            </w:r>
          </w:p>
        </w:tc>
      </w:tr>
      <w:tr w:rsidR="00C76702" w:rsidRPr="00CC4C89" w14:paraId="5982A53E" w14:textId="77777777" w:rsidTr="009D6B1A">
        <w:tc>
          <w:tcPr>
            <w:tcW w:w="9889" w:type="dxa"/>
            <w:tcBorders>
              <w:bottom w:val="single" w:sz="4" w:space="0" w:color="auto"/>
            </w:tcBorders>
            <w:shd w:val="clear" w:color="auto" w:fill="BDD6EE" w:themeFill="accent1" w:themeFillTint="66"/>
          </w:tcPr>
          <w:p w14:paraId="6ACD1A9B"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rsidRPr="00CC4C89" w14:paraId="12DF5714" w14:textId="77777777" w:rsidTr="009D6B1A">
        <w:tc>
          <w:tcPr>
            <w:tcW w:w="9889" w:type="dxa"/>
            <w:shd w:val="clear" w:color="auto" w:fill="DEEAF6" w:themeFill="accent1" w:themeFillTint="33"/>
          </w:tcPr>
          <w:p w14:paraId="040A1BF6"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to the security of the European citizens and societies. The harmonisation of rules concerning the functioning of the SPOCs, PCCCs and any other equivalent bodies would </w:t>
            </w:r>
            <w:r w:rsidRPr="00B77326">
              <w:rPr>
                <w:rFonts w:ascii="Verdana" w:hAnsi="Verdana" w:cs="Times New Roman"/>
                <w:b/>
                <w:noProof/>
                <w:sz w:val="16"/>
                <w:szCs w:val="16"/>
              </w:rPr>
              <w:t>highly</w:t>
            </w:r>
            <w:r w:rsidRPr="00B77326">
              <w:rPr>
                <w:rFonts w:ascii="Verdana" w:hAnsi="Verdana" w:cs="Times New Roman"/>
                <w:noProof/>
                <w:sz w:val="16"/>
                <w:szCs w:val="16"/>
              </w:rPr>
              <w:t xml:space="preserve"> support Member States to more effectively counter any forms of </w:t>
            </w:r>
            <w:r w:rsidR="00954B41">
              <w:rPr>
                <w:rFonts w:ascii="Verdana" w:hAnsi="Verdana" w:cs="Times New Roman"/>
                <w:noProof/>
                <w:sz w:val="16"/>
                <w:szCs w:val="16"/>
              </w:rPr>
              <w:t>criminal offences</w:t>
            </w:r>
            <w:r w:rsidRPr="00B77326">
              <w:rPr>
                <w:rFonts w:ascii="Verdana" w:hAnsi="Verdana" w:cs="Times New Roman"/>
                <w:noProof/>
                <w:sz w:val="16"/>
                <w:szCs w:val="16"/>
              </w:rPr>
              <w:t xml:space="preserve">. This would also </w:t>
            </w:r>
            <w:r w:rsidRPr="00B77326">
              <w:rPr>
                <w:rFonts w:ascii="Verdana" w:hAnsi="Verdana" w:cs="Times New Roman"/>
                <w:b/>
                <w:noProof/>
                <w:sz w:val="16"/>
                <w:szCs w:val="16"/>
              </w:rPr>
              <w:t xml:space="preserve">clearly </w:t>
            </w:r>
            <w:r w:rsidRPr="00B77326">
              <w:rPr>
                <w:rFonts w:ascii="Verdana" w:hAnsi="Verdana" w:cs="Times New Roman"/>
                <w:noProof/>
                <w:sz w:val="16"/>
                <w:szCs w:val="16"/>
              </w:rPr>
              <w:t>reduce undue delays in the information sharing.</w:t>
            </w:r>
            <w:r w:rsidR="005B382A">
              <w:rPr>
                <w:rFonts w:ascii="Verdana" w:hAnsi="Verdana" w:cs="Times New Roman"/>
                <w:noProof/>
                <w:sz w:val="16"/>
                <w:szCs w:val="16"/>
              </w:rPr>
              <w:t xml:space="preserve"> </w:t>
            </w:r>
          </w:p>
        </w:tc>
      </w:tr>
      <w:tr w:rsidR="00C76702" w:rsidRPr="00CC4C89" w14:paraId="64F2E042" w14:textId="77777777" w:rsidTr="009D6B1A">
        <w:tc>
          <w:tcPr>
            <w:tcW w:w="9889" w:type="dxa"/>
            <w:tcBorders>
              <w:bottom w:val="single" w:sz="4" w:space="0" w:color="auto"/>
            </w:tcBorders>
            <w:shd w:val="clear" w:color="auto" w:fill="BDD6EE" w:themeFill="accent1" w:themeFillTint="66"/>
          </w:tcPr>
          <w:p w14:paraId="1D1C6246"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rsidRPr="00CC4C89" w14:paraId="469DBBEB" w14:textId="77777777" w:rsidTr="009D6B1A">
        <w:tc>
          <w:tcPr>
            <w:tcW w:w="9889" w:type="dxa"/>
            <w:shd w:val="clear" w:color="auto" w:fill="DEEAF6" w:themeFill="accent1" w:themeFillTint="33"/>
          </w:tcPr>
          <w:p w14:paraId="54923318" w14:textId="7861436D"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on national authorities, which could significantly contribute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 xml:space="preserve">to efficiently combat </w:t>
            </w:r>
            <w:r w:rsidR="00954B41">
              <w:rPr>
                <w:rFonts w:ascii="Verdana" w:hAnsi="Verdana" w:cs="Times New Roman"/>
                <w:noProof/>
                <w:sz w:val="16"/>
                <w:szCs w:val="16"/>
              </w:rPr>
              <w:t>criminal offences</w:t>
            </w:r>
            <w:r w:rsidRPr="00B77326">
              <w:rPr>
                <w:rFonts w:ascii="Verdana" w:hAnsi="Verdana" w:cs="Times New Roman"/>
                <w:noProof/>
                <w:sz w:val="16"/>
                <w:szCs w:val="16"/>
              </w:rPr>
              <w:t>, because of the harmonisation of rules concerning the functioning of the SPOCs, PCCCs and any other equivalent bodies</w:t>
            </w:r>
            <w:r w:rsidR="00F020A0">
              <w:rPr>
                <w:rFonts w:ascii="Verdana" w:hAnsi="Verdana" w:cs="Times New Roman"/>
                <w:noProof/>
                <w:sz w:val="16"/>
                <w:szCs w:val="16"/>
              </w:rPr>
              <w:t xml:space="preserve"> would bring</w:t>
            </w:r>
            <w:r w:rsidRPr="00B77326">
              <w:rPr>
                <w:rFonts w:ascii="Verdana" w:hAnsi="Verdana" w:cs="Times New Roman"/>
                <w:noProof/>
                <w:sz w:val="16"/>
                <w:szCs w:val="16"/>
              </w:rPr>
              <w:t xml:space="preserve">. </w:t>
            </w:r>
            <w:r w:rsidR="008A57C3">
              <w:rPr>
                <w:rFonts w:ascii="Verdana" w:hAnsi="Verdana" w:cs="Times New Roman"/>
                <w:noProof/>
                <w:sz w:val="16"/>
                <w:szCs w:val="16"/>
              </w:rPr>
              <w:t>It would also facilitate the link with judicial authorities whenever judicial authorisation is needed.</w:t>
            </w:r>
          </w:p>
          <w:p w14:paraId="07BF07DF" w14:textId="77777777" w:rsidR="00412182" w:rsidRPr="00704502" w:rsidRDefault="00C76702" w:rsidP="000B505F">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A negative impact would be a</w:t>
            </w:r>
            <w:r w:rsidRPr="00B77326">
              <w:rPr>
                <w:rFonts w:ascii="Verdana" w:hAnsi="Verdana" w:cs="Times New Roman"/>
                <w:b/>
                <w:noProof/>
                <w:sz w:val="16"/>
                <w:szCs w:val="16"/>
              </w:rPr>
              <w:t xml:space="preserve"> likely</w:t>
            </w:r>
            <w:r w:rsidRPr="00B77326">
              <w:rPr>
                <w:rFonts w:ascii="Verdana" w:hAnsi="Verdana" w:cs="Times New Roman"/>
                <w:noProof/>
                <w:sz w:val="16"/>
                <w:szCs w:val="16"/>
              </w:rPr>
              <w:t xml:space="preserve"> workoad increase for national SPOCs however offset by the improvements the harmonisation of rules </w:t>
            </w:r>
            <w:r w:rsidR="00312627">
              <w:rPr>
                <w:rFonts w:ascii="Verdana" w:hAnsi="Verdana" w:cs="Times New Roman"/>
                <w:noProof/>
                <w:sz w:val="16"/>
                <w:szCs w:val="16"/>
              </w:rPr>
              <w:t>would bring</w:t>
            </w:r>
            <w:r w:rsidRPr="00B77326">
              <w:rPr>
                <w:rFonts w:ascii="Verdana" w:hAnsi="Verdana" w:cs="Times New Roman"/>
                <w:noProof/>
                <w:sz w:val="16"/>
                <w:szCs w:val="16"/>
              </w:rPr>
              <w:t>.</w:t>
            </w:r>
          </w:p>
        </w:tc>
      </w:tr>
      <w:tr w:rsidR="00C76702" w:rsidRPr="00CC4C89" w14:paraId="0AACAA20" w14:textId="77777777" w:rsidTr="009D6B1A">
        <w:tc>
          <w:tcPr>
            <w:tcW w:w="9889" w:type="dxa"/>
            <w:tcBorders>
              <w:bottom w:val="single" w:sz="4" w:space="0" w:color="auto"/>
            </w:tcBorders>
            <w:shd w:val="clear" w:color="auto" w:fill="BDD6EE" w:themeFill="accent1" w:themeFillTint="66"/>
          </w:tcPr>
          <w:p w14:paraId="2C3F1245"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rsidRPr="00113989" w14:paraId="0803F4B7" w14:textId="77777777" w:rsidTr="009D6B1A">
        <w:tc>
          <w:tcPr>
            <w:tcW w:w="9889" w:type="dxa"/>
            <w:shd w:val="clear" w:color="auto" w:fill="DEEAF6" w:themeFill="accent1" w:themeFillTint="33"/>
          </w:tcPr>
          <w:p w14:paraId="1D0744ED"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 harmonisation of rules concerning the functioning of the SPOCs, PCCCs and any other equivalent bodies would </w:t>
            </w:r>
            <w:r w:rsidRPr="00B77326">
              <w:rPr>
                <w:rFonts w:ascii="Verdana" w:hAnsi="Verdana" w:cs="Times New Roman"/>
                <w:b/>
                <w:noProof/>
                <w:sz w:val="16"/>
                <w:szCs w:val="16"/>
              </w:rPr>
              <w:t xml:space="preserve">highly </w:t>
            </w:r>
            <w:r w:rsidRPr="00B77326">
              <w:rPr>
                <w:rFonts w:ascii="Verdana" w:hAnsi="Verdana" w:cs="Times New Roman"/>
                <w:noProof/>
                <w:sz w:val="16"/>
                <w:szCs w:val="16"/>
              </w:rPr>
              <w:t>contribute to increase the quality and quantity of information shared with Europol.</w:t>
            </w:r>
          </w:p>
          <w:p w14:paraId="3AEBED86" w14:textId="77777777" w:rsidR="00C76702" w:rsidRPr="00B77326"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iCs/>
                <w:noProof/>
                <w:sz w:val="16"/>
                <w:szCs w:val="16"/>
              </w:rPr>
              <w:t xml:space="preserve">The adoption and development of </w:t>
            </w:r>
            <w:r w:rsidRPr="00B77326">
              <w:rPr>
                <w:rFonts w:ascii="Verdana" w:hAnsi="Verdana" w:cs="Times New Roman"/>
                <w:b/>
                <w:iCs/>
                <w:noProof/>
                <w:sz w:val="16"/>
                <w:szCs w:val="16"/>
              </w:rPr>
              <w:t>flanking soft measures</w:t>
            </w:r>
            <w:r w:rsidRPr="00B77326">
              <w:rPr>
                <w:rFonts w:ascii="Verdana" w:hAnsi="Verdana" w:cs="Times New Roman"/>
                <w:iCs/>
                <w:noProof/>
                <w:sz w:val="16"/>
                <w:szCs w:val="16"/>
              </w:rPr>
              <w:t xml:space="preserve"> (training, financial support, guidance) would be essential. </w:t>
            </w:r>
          </w:p>
        </w:tc>
      </w:tr>
      <w:tr w:rsidR="00C76702" w:rsidRPr="002E63DD" w14:paraId="30BCD2BF" w14:textId="77777777" w:rsidTr="009D6B1A">
        <w:tc>
          <w:tcPr>
            <w:tcW w:w="9889" w:type="dxa"/>
            <w:tcBorders>
              <w:bottom w:val="single" w:sz="4" w:space="0" w:color="auto"/>
            </w:tcBorders>
            <w:shd w:val="clear" w:color="auto" w:fill="BDD6EE" w:themeFill="accent1" w:themeFillTint="66"/>
          </w:tcPr>
          <w:p w14:paraId="1ACFCB74"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4. Impact on fundamental rights [+++]</w:t>
            </w:r>
          </w:p>
        </w:tc>
      </w:tr>
      <w:tr w:rsidR="00C76702" w:rsidRPr="002E63DD" w14:paraId="7611CBA9" w14:textId="77777777" w:rsidTr="009D6B1A">
        <w:tc>
          <w:tcPr>
            <w:tcW w:w="9889" w:type="dxa"/>
            <w:shd w:val="clear" w:color="auto" w:fill="DEEAF6" w:themeFill="accent1" w:themeFillTint="33"/>
          </w:tcPr>
          <w:p w14:paraId="56EDA64D" w14:textId="77777777" w:rsidR="0072630B" w:rsidRPr="005B382A" w:rsidRDefault="00C76702" w:rsidP="00704502">
            <w:pPr>
              <w:pStyle w:val="Body"/>
              <w:numPr>
                <w:ilvl w:val="0"/>
                <w:numId w:val="29"/>
              </w:numPr>
              <w:spacing w:before="60" w:after="60"/>
              <w:ind w:left="714" w:hanging="357"/>
              <w:jc w:val="both"/>
              <w:rPr>
                <w:noProof/>
                <w:sz w:val="16"/>
                <w:szCs w:val="16"/>
              </w:rPr>
            </w:pPr>
            <w:r w:rsidRPr="00B77326">
              <w:rPr>
                <w:b/>
                <w:noProof/>
                <w:sz w:val="16"/>
                <w:szCs w:val="16"/>
              </w:rPr>
              <w:t>Highly positive impact.</w:t>
            </w:r>
            <w:r w:rsidRPr="00B77326">
              <w:rPr>
                <w:noProof/>
                <w:sz w:val="16"/>
                <w:szCs w:val="16"/>
              </w:rPr>
              <w:t xml:space="preserve"> </w:t>
            </w:r>
            <w:r w:rsidR="0072630B" w:rsidRPr="005B382A">
              <w:rPr>
                <w:noProof/>
                <w:sz w:val="16"/>
                <w:szCs w:val="16"/>
              </w:rPr>
              <w:t xml:space="preserve">Since SPOCs are not always informed about all international law enforcement cooperation requests dealt with at national level, there is a risk that procedures are being duplicated or </w:t>
            </w:r>
            <w:r w:rsidR="00F020A0" w:rsidRPr="005B382A">
              <w:rPr>
                <w:noProof/>
                <w:sz w:val="16"/>
                <w:szCs w:val="16"/>
              </w:rPr>
              <w:t>"</w:t>
            </w:r>
            <w:r w:rsidR="0072630B" w:rsidRPr="005B382A">
              <w:rPr>
                <w:noProof/>
                <w:sz w:val="16"/>
                <w:szCs w:val="16"/>
              </w:rPr>
              <w:t>fly below the radar</w:t>
            </w:r>
            <w:r w:rsidR="00F020A0" w:rsidRPr="005B382A">
              <w:rPr>
                <w:noProof/>
                <w:sz w:val="16"/>
                <w:szCs w:val="16"/>
              </w:rPr>
              <w:t>"</w:t>
            </w:r>
            <w:r w:rsidR="0072630B" w:rsidRPr="005B382A">
              <w:rPr>
                <w:noProof/>
                <w:sz w:val="16"/>
                <w:szCs w:val="16"/>
              </w:rPr>
              <w:t xml:space="preserve"> which, for instance, can be a risk in relation to </w:t>
            </w:r>
            <w:r w:rsidR="00F020A0" w:rsidRPr="005B382A">
              <w:rPr>
                <w:noProof/>
                <w:sz w:val="16"/>
                <w:szCs w:val="16"/>
              </w:rPr>
              <w:t xml:space="preserve">the </w:t>
            </w:r>
            <w:r w:rsidR="0072630B" w:rsidRPr="005B382A">
              <w:rPr>
                <w:noProof/>
                <w:sz w:val="16"/>
                <w:szCs w:val="16"/>
              </w:rPr>
              <w:t>right</w:t>
            </w:r>
            <w:r w:rsidR="00F020A0" w:rsidRPr="005B382A">
              <w:rPr>
                <w:noProof/>
                <w:sz w:val="16"/>
                <w:szCs w:val="16"/>
              </w:rPr>
              <w:t>s</w:t>
            </w:r>
            <w:r w:rsidR="0072630B" w:rsidRPr="005B382A">
              <w:rPr>
                <w:noProof/>
                <w:sz w:val="16"/>
                <w:szCs w:val="16"/>
              </w:rPr>
              <w:t xml:space="preserve"> to privacy</w:t>
            </w:r>
            <w:r w:rsidR="009B45FE">
              <w:rPr>
                <w:noProof/>
                <w:sz w:val="16"/>
                <w:szCs w:val="16"/>
              </w:rPr>
              <w:t xml:space="preserve"> since the same information can be requested a number of times</w:t>
            </w:r>
            <w:r w:rsidR="0072630B" w:rsidRPr="005B382A">
              <w:rPr>
                <w:noProof/>
                <w:sz w:val="16"/>
                <w:szCs w:val="16"/>
              </w:rPr>
              <w:t xml:space="preserve">. </w:t>
            </w:r>
            <w:r w:rsidR="005E58A9">
              <w:rPr>
                <w:noProof/>
                <w:sz w:val="16"/>
                <w:szCs w:val="16"/>
              </w:rPr>
              <w:t>Harmonisation of requirements regarding the functioning of the SPOC will also improve the efficiency and effectiveness of information sharing in a standardised fashion, thereby more swiftly contribute to establishing a possible offender implication (or lack thereof).</w:t>
            </w:r>
          </w:p>
        </w:tc>
      </w:tr>
      <w:tr w:rsidR="00C76702" w:rsidRPr="00475E9D" w14:paraId="71146D8A" w14:textId="77777777" w:rsidTr="009D6B1A">
        <w:tc>
          <w:tcPr>
            <w:tcW w:w="9889" w:type="dxa"/>
            <w:tcBorders>
              <w:bottom w:val="single" w:sz="4" w:space="0" w:color="auto"/>
            </w:tcBorders>
            <w:shd w:val="clear" w:color="auto" w:fill="BDD6EE" w:themeFill="accent1" w:themeFillTint="66"/>
          </w:tcPr>
          <w:p w14:paraId="23BEFD9E"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 xml:space="preserve">5. Effectiveness in meeting the policy objectives [+++] </w:t>
            </w:r>
          </w:p>
        </w:tc>
      </w:tr>
      <w:tr w:rsidR="00C76702" w:rsidRPr="00F66492" w14:paraId="2259D1DB" w14:textId="77777777" w:rsidTr="009D6B1A">
        <w:tc>
          <w:tcPr>
            <w:tcW w:w="9889" w:type="dxa"/>
            <w:shd w:val="clear" w:color="auto" w:fill="DEEAF6" w:themeFill="accent1" w:themeFillTint="33"/>
          </w:tcPr>
          <w:p w14:paraId="37BB2A7D" w14:textId="77777777" w:rsidR="00C76702" w:rsidRPr="00B77326" w:rsidRDefault="00C76702" w:rsidP="00900BC7">
            <w:pPr>
              <w:pStyle w:val="Body"/>
              <w:widowControl w:val="0"/>
              <w:numPr>
                <w:ilvl w:val="0"/>
                <w:numId w:val="30"/>
              </w:numPr>
              <w:adjustRightInd w:val="0"/>
              <w:spacing w:before="60" w:after="60"/>
              <w:ind w:left="714" w:hanging="357"/>
              <w:jc w:val="both"/>
              <w:textAlignment w:val="baseline"/>
              <w:rPr>
                <w:noProof/>
                <w:sz w:val="16"/>
                <w:szCs w:val="16"/>
              </w:rPr>
            </w:pPr>
            <w:r w:rsidRPr="00B77326">
              <w:rPr>
                <w:b/>
                <w:noProof/>
                <w:sz w:val="16"/>
                <w:szCs w:val="16"/>
              </w:rPr>
              <w:t>Highly positive impact.</w:t>
            </w:r>
            <w:r w:rsidRPr="00B77326">
              <w:rPr>
                <w:noProof/>
                <w:sz w:val="16"/>
                <w:szCs w:val="16"/>
              </w:rPr>
              <w:t xml:space="preserve"> This policy option would </w:t>
            </w:r>
            <w:r w:rsidRPr="00B77326">
              <w:rPr>
                <w:b/>
                <w:noProof/>
                <w:sz w:val="16"/>
                <w:szCs w:val="16"/>
              </w:rPr>
              <w:t>clearly</w:t>
            </w:r>
            <w:r w:rsidRPr="00B77326">
              <w:rPr>
                <w:noProof/>
                <w:sz w:val="16"/>
                <w:szCs w:val="16"/>
              </w:rPr>
              <w:t xml:space="preserve"> address the objective of an effective functioning of the SPOCs, PCCCs (</w:t>
            </w:r>
            <w:r w:rsidRPr="00B77326">
              <w:rPr>
                <w:bCs/>
                <w:noProof/>
                <w:sz w:val="16"/>
                <w:szCs w:val="16"/>
              </w:rPr>
              <w:t>and any other equivalents bodies)</w:t>
            </w:r>
            <w:r w:rsidRPr="00B77326">
              <w:rPr>
                <w:noProof/>
                <w:sz w:val="16"/>
                <w:szCs w:val="16"/>
              </w:rPr>
              <w:t xml:space="preserve">. </w:t>
            </w:r>
          </w:p>
        </w:tc>
      </w:tr>
      <w:tr w:rsidR="00C76702" w:rsidRPr="00475E9D" w14:paraId="773B05FE" w14:textId="77777777" w:rsidTr="009D6B1A">
        <w:tc>
          <w:tcPr>
            <w:tcW w:w="9889" w:type="dxa"/>
            <w:shd w:val="clear" w:color="auto" w:fill="BDD6EE" w:themeFill="accent1" w:themeFillTint="66"/>
          </w:tcPr>
          <w:p w14:paraId="6AD48D3B" w14:textId="7D392C24" w:rsidR="00C76702" w:rsidRPr="00B77326" w:rsidRDefault="00C76702" w:rsidP="00EB7963">
            <w:pPr>
              <w:spacing w:before="60" w:after="60"/>
              <w:rPr>
                <w:rFonts w:ascii="Verdana" w:hAnsi="Verdana" w:cs="Times New Roman"/>
                <w:noProof/>
                <w:sz w:val="16"/>
                <w:szCs w:val="16"/>
              </w:rPr>
            </w:pPr>
            <w:r w:rsidRPr="00B77326">
              <w:rPr>
                <w:rFonts w:ascii="Verdana" w:hAnsi="Verdana" w:cs="Times New Roman"/>
                <w:b/>
                <w:noProof/>
                <w:sz w:val="16"/>
                <w:szCs w:val="16"/>
              </w:rPr>
              <w:t>6. Efficiency in meeting the policy objectives [</w:t>
            </w:r>
            <w:r w:rsidR="00A04EF4">
              <w:rPr>
                <w:rFonts w:ascii="Verdana" w:hAnsi="Verdana" w:cs="Times New Roman"/>
                <w:b/>
                <w:noProof/>
                <w:sz w:val="16"/>
                <w:szCs w:val="16"/>
              </w:rPr>
              <w:t>++</w:t>
            </w:r>
            <w:r w:rsidRPr="00B77326">
              <w:rPr>
                <w:rFonts w:ascii="Verdana" w:hAnsi="Verdana" w:cs="Times New Roman"/>
                <w:b/>
                <w:noProof/>
                <w:sz w:val="16"/>
                <w:szCs w:val="16"/>
              </w:rPr>
              <w:t xml:space="preserve">] </w:t>
            </w:r>
          </w:p>
        </w:tc>
      </w:tr>
      <w:tr w:rsidR="00C76702" w:rsidRPr="00475E9D" w14:paraId="43A1B3C1" w14:textId="77777777" w:rsidTr="009D6B1A">
        <w:tc>
          <w:tcPr>
            <w:tcW w:w="9889" w:type="dxa"/>
            <w:shd w:val="clear" w:color="auto" w:fill="DEEAF6" w:themeFill="accent1" w:themeFillTint="33"/>
          </w:tcPr>
          <w:p w14:paraId="2E61E154" w14:textId="77777777" w:rsidR="00C76702" w:rsidRPr="00BB7813"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Pr>
                <w:rFonts w:ascii="Verdana" w:hAnsi="Verdana" w:cs="Times New Roman"/>
                <w:noProof/>
                <w:sz w:val="16"/>
                <w:szCs w:val="16"/>
              </w:rPr>
              <w:t xml:space="preserve">The costs of option </w:t>
            </w:r>
            <w:r w:rsidR="001C5034">
              <w:rPr>
                <w:rFonts w:ascii="Verdana" w:hAnsi="Verdana" w:cs="Times New Roman"/>
                <w:noProof/>
                <w:sz w:val="16"/>
                <w:szCs w:val="16"/>
              </w:rPr>
              <w:t>2.3</w:t>
            </w:r>
            <w:r>
              <w:rPr>
                <w:rFonts w:ascii="Verdana" w:hAnsi="Verdana" w:cs="Times New Roman"/>
                <w:noProof/>
                <w:sz w:val="16"/>
                <w:szCs w:val="16"/>
              </w:rPr>
              <w:t xml:space="preserve"> would be fai</w:t>
            </w:r>
            <w:r w:rsidR="001C5034">
              <w:rPr>
                <w:rFonts w:ascii="Verdana" w:hAnsi="Verdana" w:cs="Times New Roman"/>
                <w:noProof/>
                <w:sz w:val="16"/>
                <w:szCs w:val="16"/>
              </w:rPr>
              <w:t>r</w:t>
            </w:r>
            <w:r>
              <w:rPr>
                <w:rFonts w:ascii="Verdana" w:hAnsi="Verdana" w:cs="Times New Roman"/>
                <w:noProof/>
                <w:sz w:val="16"/>
                <w:szCs w:val="16"/>
              </w:rPr>
              <w:t xml:space="preserve">ly comparable to those of option </w:t>
            </w:r>
            <w:r w:rsidR="001C5034">
              <w:rPr>
                <w:rFonts w:ascii="Verdana" w:hAnsi="Verdana" w:cs="Times New Roman"/>
                <w:noProof/>
                <w:sz w:val="16"/>
                <w:szCs w:val="16"/>
              </w:rPr>
              <w:t>2.2</w:t>
            </w:r>
            <w:r>
              <w:rPr>
                <w:rFonts w:ascii="Verdana" w:hAnsi="Verdana" w:cs="Times New Roman"/>
                <w:noProof/>
                <w:sz w:val="16"/>
                <w:szCs w:val="16"/>
              </w:rPr>
              <w:t xml:space="preserve">. </w:t>
            </w:r>
          </w:p>
          <w:p w14:paraId="7C0E1753" w14:textId="244EFE73"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These costs would essentially cover IT upgrades. </w:t>
            </w:r>
            <w:r w:rsidR="00A04EF4">
              <w:rPr>
                <w:rFonts w:ascii="Verdana" w:hAnsi="Verdana" w:cs="Times New Roman"/>
                <w:noProof/>
                <w:sz w:val="16"/>
                <w:szCs w:val="16"/>
              </w:rPr>
              <w:t>They don't outweight benefits.</w:t>
            </w:r>
          </w:p>
        </w:tc>
      </w:tr>
      <w:tr w:rsidR="00C76702" w:rsidRPr="00475E9D" w14:paraId="32401AC4" w14:textId="77777777" w:rsidTr="009D6B1A">
        <w:tc>
          <w:tcPr>
            <w:tcW w:w="9889" w:type="dxa"/>
            <w:tcBorders>
              <w:bottom w:val="single" w:sz="4" w:space="0" w:color="auto"/>
            </w:tcBorders>
            <w:shd w:val="clear" w:color="auto" w:fill="BDD6EE" w:themeFill="accent1" w:themeFillTint="66"/>
          </w:tcPr>
          <w:p w14:paraId="2D79BC78" w14:textId="2F11B2BB" w:rsidR="00C76702" w:rsidRPr="00B77326" w:rsidRDefault="00C76702" w:rsidP="00013696">
            <w:pPr>
              <w:spacing w:before="60" w:after="60"/>
              <w:rPr>
                <w:rFonts w:ascii="Verdana" w:hAnsi="Verdana" w:cs="Times New Roman"/>
                <w:b/>
                <w:noProof/>
                <w:sz w:val="16"/>
                <w:szCs w:val="16"/>
              </w:rPr>
            </w:pPr>
            <w:r w:rsidRPr="00B77326">
              <w:rPr>
                <w:rFonts w:ascii="Verdana" w:hAnsi="Verdana" w:cs="Times New Roman"/>
                <w:b/>
                <w:noProof/>
                <w:sz w:val="16"/>
                <w:szCs w:val="16"/>
              </w:rPr>
              <w:t>7. Legal feasibility [</w:t>
            </w:r>
            <w:r w:rsidR="00013696">
              <w:rPr>
                <w:rFonts w:ascii="Verdana" w:hAnsi="Verdana" w:cs="Times New Roman"/>
                <w:b/>
                <w:noProof/>
                <w:sz w:val="16"/>
                <w:szCs w:val="16"/>
              </w:rPr>
              <w:t>-</w:t>
            </w:r>
            <w:r w:rsidRPr="00B77326">
              <w:rPr>
                <w:rFonts w:ascii="Verdana" w:hAnsi="Verdana" w:cs="Times New Roman"/>
                <w:b/>
                <w:noProof/>
                <w:sz w:val="16"/>
                <w:szCs w:val="16"/>
              </w:rPr>
              <w:t>]</w:t>
            </w:r>
          </w:p>
        </w:tc>
      </w:tr>
      <w:tr w:rsidR="00C76702" w:rsidRPr="00475E9D" w14:paraId="6933EFC1" w14:textId="77777777" w:rsidTr="009D6B1A">
        <w:tc>
          <w:tcPr>
            <w:tcW w:w="9889" w:type="dxa"/>
            <w:shd w:val="clear" w:color="auto" w:fill="DEEAF6" w:themeFill="accent1" w:themeFillTint="33"/>
          </w:tcPr>
          <w:p w14:paraId="604F9C81" w14:textId="60A023C7" w:rsidR="00013696" w:rsidRPr="00945713" w:rsidRDefault="00013696" w:rsidP="000B505F">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Pr>
                <w:rFonts w:ascii="Verdana" w:hAnsi="Verdana"/>
                <w:noProof/>
                <w:sz w:val="16"/>
              </w:rPr>
              <w:t xml:space="preserve">This policy option would </w:t>
            </w:r>
            <w:r w:rsidRPr="006241B7">
              <w:rPr>
                <w:rFonts w:ascii="Verdana" w:hAnsi="Verdana"/>
                <w:b/>
                <w:noProof/>
                <w:sz w:val="16"/>
              </w:rPr>
              <w:t xml:space="preserve">not </w:t>
            </w:r>
            <w:r>
              <w:rPr>
                <w:rFonts w:ascii="Verdana" w:hAnsi="Verdana"/>
                <w:noProof/>
                <w:sz w:val="16"/>
              </w:rPr>
              <w:t xml:space="preserve">be fully aligned with the subsidiarity principle and existing </w:t>
            </w:r>
            <w:r w:rsidR="005C56D4">
              <w:rPr>
                <w:rFonts w:ascii="Verdana" w:hAnsi="Verdana"/>
                <w:noProof/>
                <w:sz w:val="16"/>
              </w:rPr>
              <w:t xml:space="preserve">national </w:t>
            </w:r>
            <w:r>
              <w:rPr>
                <w:rFonts w:ascii="Verdana" w:hAnsi="Verdana"/>
                <w:noProof/>
                <w:sz w:val="16"/>
              </w:rPr>
              <w:t>legal traditions.</w:t>
            </w:r>
          </w:p>
        </w:tc>
      </w:tr>
      <w:tr w:rsidR="00F72F82" w:rsidRPr="00475E9D" w14:paraId="7398637A" w14:textId="77777777" w:rsidTr="00207EAA">
        <w:tc>
          <w:tcPr>
            <w:tcW w:w="9889" w:type="dxa"/>
            <w:shd w:val="clear" w:color="auto" w:fill="BDD6EE" w:themeFill="accent1" w:themeFillTint="66"/>
          </w:tcPr>
          <w:p w14:paraId="0881B8BA" w14:textId="2D582924" w:rsidR="00F72F82" w:rsidRPr="00945713" w:rsidRDefault="00F72F82" w:rsidP="00013696">
            <w:pPr>
              <w:widowControl w:val="0"/>
              <w:adjustRightInd w:val="0"/>
              <w:spacing w:before="60" w:after="60" w:line="240" w:lineRule="auto"/>
              <w:jc w:val="both"/>
              <w:textAlignment w:val="baseline"/>
              <w:rPr>
                <w:rFonts w:ascii="Verdana" w:hAnsi="Verdana" w:cs="Times New Roman"/>
                <w:b/>
                <w:noProof/>
                <w:sz w:val="16"/>
                <w:szCs w:val="16"/>
              </w:rPr>
            </w:pPr>
            <w:r w:rsidRPr="00945713">
              <w:rPr>
                <w:rFonts w:ascii="Verdana" w:hAnsi="Verdana"/>
                <w:b/>
                <w:noProof/>
                <w:sz w:val="16"/>
                <w:szCs w:val="16"/>
              </w:rPr>
              <w:t xml:space="preserve">8. technical feasibility </w:t>
            </w:r>
            <w:r>
              <w:rPr>
                <w:rFonts w:ascii="Verdana" w:hAnsi="Verdana"/>
                <w:b/>
                <w:noProof/>
                <w:sz w:val="16"/>
                <w:szCs w:val="16"/>
              </w:rPr>
              <w:t>[</w:t>
            </w:r>
            <w:r w:rsidR="00013696">
              <w:rPr>
                <w:rFonts w:ascii="Verdana" w:hAnsi="Verdana"/>
                <w:b/>
                <w:noProof/>
                <w:sz w:val="16"/>
                <w:szCs w:val="16"/>
              </w:rPr>
              <w:t>-</w:t>
            </w:r>
            <w:r w:rsidR="00E4718F">
              <w:rPr>
                <w:rFonts w:ascii="Verdana" w:hAnsi="Verdana"/>
                <w:b/>
                <w:noProof/>
                <w:sz w:val="16"/>
                <w:szCs w:val="16"/>
              </w:rPr>
              <w:t>--</w:t>
            </w:r>
            <w:r w:rsidR="005D0A3D">
              <w:rPr>
                <w:rFonts w:ascii="Verdana" w:hAnsi="Verdana"/>
                <w:b/>
                <w:noProof/>
                <w:sz w:val="16"/>
                <w:szCs w:val="16"/>
              </w:rPr>
              <w:t>]</w:t>
            </w:r>
          </w:p>
        </w:tc>
      </w:tr>
      <w:tr w:rsidR="00F72F82" w:rsidRPr="00475E9D" w14:paraId="2993EE3A" w14:textId="77777777" w:rsidTr="009D6B1A">
        <w:tc>
          <w:tcPr>
            <w:tcW w:w="9889" w:type="dxa"/>
            <w:shd w:val="clear" w:color="auto" w:fill="DEEAF6" w:themeFill="accent1" w:themeFillTint="33"/>
          </w:tcPr>
          <w:p w14:paraId="382D2A18" w14:textId="2357E337" w:rsidR="00F72F82" w:rsidRPr="00B77326" w:rsidRDefault="005C56D4"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Pr>
                <w:rFonts w:ascii="Verdana" w:hAnsi="Verdana" w:cs="Times New Roman"/>
                <w:noProof/>
                <w:sz w:val="16"/>
                <w:szCs w:val="16"/>
              </w:rPr>
              <w:t>T</w:t>
            </w:r>
            <w:r w:rsidR="00F72F82" w:rsidRPr="00B77326">
              <w:rPr>
                <w:rFonts w:ascii="Verdana" w:hAnsi="Verdana" w:cs="Times New Roman"/>
                <w:noProof/>
                <w:sz w:val="16"/>
                <w:szCs w:val="16"/>
              </w:rPr>
              <w:t xml:space="preserve">his policy option </w:t>
            </w:r>
            <w:r w:rsidR="00013696">
              <w:rPr>
                <w:rFonts w:ascii="Verdana" w:hAnsi="Verdana" w:cs="Times New Roman"/>
                <w:noProof/>
                <w:sz w:val="16"/>
                <w:szCs w:val="16"/>
              </w:rPr>
              <w:t>w</w:t>
            </w:r>
            <w:r w:rsidR="00F72F82" w:rsidRPr="00B77326">
              <w:rPr>
                <w:rFonts w:ascii="Verdana" w:hAnsi="Verdana" w:cs="Times New Roman"/>
                <w:noProof/>
                <w:sz w:val="16"/>
                <w:szCs w:val="16"/>
              </w:rPr>
              <w:t xml:space="preserve">ould </w:t>
            </w:r>
            <w:r w:rsidR="00013696" w:rsidRPr="006241B7">
              <w:rPr>
                <w:rFonts w:ascii="Verdana" w:hAnsi="Verdana" w:cs="Times New Roman"/>
                <w:b/>
                <w:noProof/>
                <w:sz w:val="16"/>
                <w:szCs w:val="16"/>
              </w:rPr>
              <w:t>not</w:t>
            </w:r>
            <w:r w:rsidR="00013696">
              <w:rPr>
                <w:rFonts w:ascii="Verdana" w:hAnsi="Verdana" w:cs="Times New Roman"/>
                <w:noProof/>
                <w:sz w:val="16"/>
                <w:szCs w:val="16"/>
              </w:rPr>
              <w:t xml:space="preserve"> </w:t>
            </w:r>
            <w:r w:rsidR="00F72F82" w:rsidRPr="00B77326">
              <w:rPr>
                <w:rFonts w:ascii="Verdana" w:hAnsi="Verdana" w:cs="Times New Roman"/>
                <w:noProof/>
                <w:sz w:val="16"/>
                <w:szCs w:val="16"/>
              </w:rPr>
              <w:t>be technically feasible</w:t>
            </w:r>
            <w:r w:rsidR="00013696" w:rsidRPr="00013696">
              <w:rPr>
                <w:rFonts w:ascii="Verdana" w:hAnsi="Verdana" w:cs="Times New Roman"/>
                <w:noProof/>
                <w:sz w:val="20"/>
                <w:szCs w:val="20"/>
              </w:rPr>
              <w:t xml:space="preserve"> </w:t>
            </w:r>
            <w:r w:rsidR="00013696" w:rsidRPr="00013696">
              <w:rPr>
                <w:rFonts w:ascii="Verdana" w:hAnsi="Verdana" w:cs="Times New Roman"/>
                <w:noProof/>
                <w:sz w:val="16"/>
                <w:szCs w:val="16"/>
              </w:rPr>
              <w:t xml:space="preserve">given the </w:t>
            </w:r>
            <w:r w:rsidR="00013696" w:rsidRPr="006241B7">
              <w:rPr>
                <w:rFonts w:ascii="Verdana" w:hAnsi="Verdana" w:cs="Times New Roman"/>
                <w:b/>
                <w:noProof/>
                <w:sz w:val="16"/>
                <w:szCs w:val="16"/>
              </w:rPr>
              <w:t>major technical</w:t>
            </w:r>
            <w:r w:rsidR="00013696" w:rsidRPr="00013696">
              <w:rPr>
                <w:rFonts w:ascii="Verdana" w:hAnsi="Verdana" w:cs="Times New Roman"/>
                <w:noProof/>
                <w:sz w:val="16"/>
                <w:szCs w:val="16"/>
              </w:rPr>
              <w:t>, legal and financial implications.</w:t>
            </w:r>
            <w:r w:rsidR="00F72F82" w:rsidRPr="00B77326">
              <w:rPr>
                <w:rFonts w:ascii="Verdana" w:hAnsi="Verdana" w:cs="Times New Roman"/>
                <w:noProof/>
                <w:sz w:val="16"/>
                <w:szCs w:val="16"/>
              </w:rPr>
              <w:t xml:space="preserve"> </w:t>
            </w:r>
          </w:p>
          <w:p w14:paraId="37B4AE6A" w14:textId="77777777" w:rsidR="00F72F82" w:rsidRPr="00B77326" w:rsidRDefault="00F72F8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iCs/>
                <w:noProof/>
                <w:sz w:val="16"/>
                <w:szCs w:val="16"/>
              </w:rPr>
              <w:t xml:space="preserve">The adoption and development of </w:t>
            </w:r>
            <w:r w:rsidRPr="00B77326">
              <w:rPr>
                <w:rFonts w:ascii="Verdana" w:hAnsi="Verdana" w:cs="Times New Roman"/>
                <w:b/>
                <w:iCs/>
                <w:noProof/>
                <w:sz w:val="16"/>
                <w:szCs w:val="16"/>
              </w:rPr>
              <w:t>flanking soft measures</w:t>
            </w:r>
            <w:r w:rsidRPr="00B77326">
              <w:rPr>
                <w:rFonts w:ascii="Verdana" w:hAnsi="Verdana" w:cs="Times New Roman"/>
                <w:iCs/>
                <w:noProof/>
                <w:sz w:val="16"/>
                <w:szCs w:val="16"/>
              </w:rPr>
              <w:t xml:space="preserve"> (training, financial support, guidance) would be essential.</w:t>
            </w:r>
          </w:p>
        </w:tc>
      </w:tr>
      <w:tr w:rsidR="00C76702" w:rsidRPr="00475E9D" w14:paraId="1FE6E431" w14:textId="77777777" w:rsidTr="009D6B1A">
        <w:tc>
          <w:tcPr>
            <w:tcW w:w="9889" w:type="dxa"/>
            <w:tcBorders>
              <w:bottom w:val="single" w:sz="4" w:space="0" w:color="auto"/>
            </w:tcBorders>
            <w:shd w:val="clear" w:color="auto" w:fill="BDD6EE" w:themeFill="accent1" w:themeFillTint="66"/>
          </w:tcPr>
          <w:p w14:paraId="22D35169" w14:textId="1B5A0F95"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9</w:t>
            </w:r>
            <w:r w:rsidR="00C76702" w:rsidRPr="00B77326">
              <w:rPr>
                <w:rFonts w:ascii="Verdana" w:hAnsi="Verdana" w:cs="Times New Roman"/>
                <w:b/>
                <w:noProof/>
                <w:sz w:val="16"/>
                <w:szCs w:val="16"/>
              </w:rPr>
              <w:t xml:space="preserve">. Coherence with other measures [+] </w:t>
            </w:r>
          </w:p>
        </w:tc>
      </w:tr>
      <w:tr w:rsidR="00C76702" w:rsidRPr="00475E9D" w14:paraId="0A61EFAD" w14:textId="77777777" w:rsidTr="009D6B1A">
        <w:trPr>
          <w:trHeight w:val="425"/>
        </w:trPr>
        <w:tc>
          <w:tcPr>
            <w:tcW w:w="9889" w:type="dxa"/>
            <w:tcBorders>
              <w:bottom w:val="single" w:sz="4" w:space="0" w:color="auto"/>
            </w:tcBorders>
            <w:shd w:val="clear" w:color="auto" w:fill="DEEAF6" w:themeFill="accent1" w:themeFillTint="33"/>
          </w:tcPr>
          <w:p w14:paraId="77CCE45E"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b/>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This policy option would</w:t>
            </w:r>
            <w:r w:rsidRPr="00B77326">
              <w:rPr>
                <w:rFonts w:ascii="Verdana" w:hAnsi="Verdana" w:cs="Times New Roman"/>
                <w:b/>
                <w:noProof/>
                <w:sz w:val="16"/>
                <w:szCs w:val="16"/>
              </w:rPr>
              <w:t xml:space="preserve"> clearly </w:t>
            </w:r>
            <w:r w:rsidRPr="00F020A0">
              <w:rPr>
                <w:rFonts w:ascii="Verdana" w:hAnsi="Verdana" w:cs="Times New Roman"/>
                <w:noProof/>
                <w:sz w:val="16"/>
                <w:szCs w:val="16"/>
              </w:rPr>
              <w:t>c</w:t>
            </w:r>
            <w:r w:rsidRPr="00B77326">
              <w:rPr>
                <w:rFonts w:ascii="Verdana" w:hAnsi="Verdana" w:cs="Times New Roman"/>
                <w:noProof/>
                <w:sz w:val="16"/>
                <w:szCs w:val="16"/>
              </w:rPr>
              <w:t>omplement other Commission initiatives such as the Commission proposals for a new Schengen border code, for Prüm II and for Europol.</w:t>
            </w:r>
          </w:p>
        </w:tc>
      </w:tr>
    </w:tbl>
    <w:p w14:paraId="6A346755" w14:textId="77777777" w:rsidR="00C76702" w:rsidRPr="006A4C22" w:rsidRDefault="00C76702" w:rsidP="00704502">
      <w:pPr>
        <w:pBdr>
          <w:top w:val="single" w:sz="4" w:space="1" w:color="auto"/>
          <w:left w:val="single" w:sz="4" w:space="4" w:color="auto"/>
          <w:bottom w:val="single" w:sz="4" w:space="1" w:color="auto"/>
          <w:right w:val="single" w:sz="4" w:space="4" w:color="auto"/>
          <w:between w:val="single" w:sz="4" w:space="1" w:color="auto"/>
        </w:pBdr>
        <w:shd w:val="clear" w:color="auto" w:fill="C5E0B3" w:themeFill="accent6" w:themeFillTint="66"/>
        <w:tabs>
          <w:tab w:val="left" w:pos="2302"/>
        </w:tabs>
        <w:spacing w:before="360" w:after="120" w:line="240" w:lineRule="auto"/>
        <w:jc w:val="both"/>
        <w:rPr>
          <w:rFonts w:ascii="Times New Roman" w:eastAsia="Times New Roman" w:hAnsi="Times New Roman" w:cs="Times New Roman"/>
          <w:b/>
          <w:noProof/>
          <w:sz w:val="24"/>
          <w:szCs w:val="24"/>
          <w:u w:val="single"/>
        </w:rPr>
      </w:pPr>
      <w:r w:rsidRPr="006A4C22">
        <w:rPr>
          <w:rFonts w:ascii="Times New Roman" w:eastAsia="Times New Roman" w:hAnsi="Times New Roman" w:cs="Times New Roman"/>
          <w:b/>
          <w:noProof/>
          <w:sz w:val="24"/>
          <w:szCs w:val="24"/>
          <w:u w:val="single"/>
        </w:rPr>
        <w:t>Problem 3:</w:t>
      </w:r>
      <w:r w:rsidRPr="006A4C22">
        <w:rPr>
          <w:rFonts w:ascii="Times New Roman" w:eastAsia="Times New Roman" w:hAnsi="Times New Roman" w:cs="Times New Roman"/>
          <w:b/>
          <w:noProof/>
          <w:sz w:val="24"/>
          <w:szCs w:val="24"/>
        </w:rPr>
        <w:t xml:space="preserve"> The free choice of communication channel(s) between Member States causes recurrent duplication of requests</w:t>
      </w:r>
    </w:p>
    <w:p w14:paraId="776D1D83" w14:textId="5747CC7E" w:rsidR="00C76702" w:rsidRPr="00E760E4" w:rsidRDefault="00C76702" w:rsidP="00094199">
      <w:pPr>
        <w:pStyle w:val="Heading2"/>
        <w:rPr>
          <w:noProof/>
        </w:rPr>
      </w:pPr>
      <w:bookmarkStart w:id="103" w:name="_Toc74838180"/>
      <w:bookmarkStart w:id="104" w:name="_Toc83801042"/>
      <w:r w:rsidRPr="00222DD7">
        <w:rPr>
          <w:noProof/>
        </w:rPr>
        <w:t>Objective III</w:t>
      </w:r>
      <w:r w:rsidRPr="00E760E4">
        <w:rPr>
          <w:noProof/>
        </w:rPr>
        <w:t xml:space="preserve">: To </w:t>
      </w:r>
      <w:r w:rsidR="00C112C2" w:rsidRPr="00CB565C">
        <w:rPr>
          <w:noProof/>
        </w:rPr>
        <w:t>remedy the</w:t>
      </w:r>
      <w:r w:rsidR="00C112C2" w:rsidRPr="00CB565C">
        <w:rPr>
          <w:rFonts w:ascii="Verdana" w:hAnsi="Verdana"/>
          <w:noProof/>
          <w:sz w:val="16"/>
          <w:szCs w:val="16"/>
        </w:rPr>
        <w:t xml:space="preserve"> </w:t>
      </w:r>
      <w:r w:rsidR="00C112C2" w:rsidRPr="00CB565C">
        <w:rPr>
          <w:noProof/>
        </w:rPr>
        <w:t xml:space="preserve">proliferation of communication channels used for law enforcement information exchange between Member States while empowering Europol as the EU criminal information hub for offences falling within its mandate </w:t>
      </w:r>
      <w:r w:rsidR="00C112C2" w:rsidRPr="00CB565C">
        <w:rPr>
          <w:noProof/>
          <w:lang w:eastAsia="en-GB"/>
        </w:rPr>
        <w:t>(unless otherwise regulated by EU law)</w:t>
      </w:r>
      <w:bookmarkEnd w:id="103"/>
      <w:bookmarkEnd w:id="104"/>
    </w:p>
    <w:p w14:paraId="30123189" w14:textId="77777777" w:rsidR="00C76702" w:rsidRPr="003253EA" w:rsidRDefault="00C76702" w:rsidP="00A414D7">
      <w:pPr>
        <w:pStyle w:val="Text2"/>
        <w:pBdr>
          <w:top w:val="single" w:sz="4" w:space="1" w:color="auto"/>
          <w:left w:val="single" w:sz="4" w:space="4" w:color="auto"/>
          <w:bottom w:val="single" w:sz="4" w:space="1" w:color="auto"/>
          <w:right w:val="single" w:sz="4" w:space="4" w:color="auto"/>
          <w:between w:val="single" w:sz="4" w:space="1" w:color="auto"/>
        </w:pBdr>
        <w:shd w:val="clear" w:color="auto" w:fill="B4C6E7" w:themeFill="accent5" w:themeFillTint="66"/>
        <w:spacing w:after="0"/>
        <w:ind w:left="0"/>
        <w:rPr>
          <w:b/>
          <w:i/>
          <w:noProof/>
          <w:szCs w:val="24"/>
        </w:rPr>
      </w:pPr>
      <w:r>
        <w:rPr>
          <w:b/>
          <w:noProof/>
          <w:u w:val="single"/>
        </w:rPr>
        <w:t xml:space="preserve">Policy option </w:t>
      </w:r>
      <w:r w:rsidR="001C5034">
        <w:rPr>
          <w:b/>
          <w:noProof/>
          <w:u w:val="single"/>
        </w:rPr>
        <w:t>3.1</w:t>
      </w:r>
      <w:r w:rsidRPr="003253EA">
        <w:rPr>
          <w:b/>
          <w:noProof/>
          <w:u w:val="single"/>
        </w:rPr>
        <w:t>:</w:t>
      </w:r>
      <w:r>
        <w:rPr>
          <w:b/>
          <w:noProof/>
        </w:rPr>
        <w:t xml:space="preserve"> </w:t>
      </w:r>
      <w:r w:rsidRPr="00493270">
        <w:rPr>
          <w:b/>
          <w:noProof/>
          <w:szCs w:val="24"/>
        </w:rPr>
        <w:t>Continue with Council non-binding guidelines and Recommendations to put Europol in copy when using SIENA</w:t>
      </w:r>
      <w:r w:rsidRPr="00493270">
        <w:rPr>
          <w:rStyle w:val="FootnoteReference"/>
          <w:b/>
          <w:noProof/>
          <w:szCs w:val="24"/>
        </w:rPr>
        <w:footnoteReference w:id="99"/>
      </w:r>
      <w:r w:rsidRPr="00493270">
        <w:rPr>
          <w:b/>
          <w:noProof/>
          <w:szCs w:val="24"/>
        </w:rPr>
        <w:t xml:space="preserve"> in cases within Europol' mandate + n</w:t>
      </w:r>
      <w:r w:rsidRPr="00493270">
        <w:rPr>
          <w:b/>
          <w:iCs/>
          <w:noProof/>
          <w:szCs w:val="24"/>
        </w:rPr>
        <w:t>ew flanking soft measur</w:t>
      </w:r>
      <w:r w:rsidR="00D81A3D">
        <w:rPr>
          <w:b/>
          <w:iCs/>
          <w:noProof/>
          <w:szCs w:val="24"/>
        </w:rPr>
        <w:t>es (training, financial support</w:t>
      </w:r>
      <w:r w:rsidRPr="00493270">
        <w:rPr>
          <w:b/>
          <w:iCs/>
          <w:noProof/>
          <w:szCs w:val="24"/>
        </w:rPr>
        <w:t>)</w:t>
      </w:r>
    </w:p>
    <w:p w14:paraId="26E91F4B" w14:textId="77777777" w:rsidR="00C76702" w:rsidRPr="0032290C" w:rsidRDefault="00C76702" w:rsidP="00C76702">
      <w:pPr>
        <w:pStyle w:val="Text1"/>
        <w:spacing w:after="0"/>
        <w:ind w:left="0"/>
        <w:rPr>
          <w:b/>
          <w:noProof/>
          <w:sz w:val="16"/>
          <w:szCs w:val="16"/>
        </w:rPr>
      </w:pPr>
    </w:p>
    <w:tbl>
      <w:tblPr>
        <w:tblStyle w:val="TableGrid1"/>
        <w:tblW w:w="9889" w:type="dxa"/>
        <w:tblLook w:val="04A0" w:firstRow="1" w:lastRow="0" w:firstColumn="1" w:lastColumn="0" w:noHBand="0" w:noVBand="1"/>
      </w:tblPr>
      <w:tblGrid>
        <w:gridCol w:w="9889"/>
      </w:tblGrid>
      <w:tr w:rsidR="00C76702" w:rsidRPr="00CC4C89" w14:paraId="4D18F2D7" w14:textId="77777777" w:rsidTr="009D6B1A">
        <w:tc>
          <w:tcPr>
            <w:tcW w:w="9889" w:type="dxa"/>
            <w:tcBorders>
              <w:bottom w:val="single" w:sz="4" w:space="0" w:color="auto"/>
            </w:tcBorders>
            <w:shd w:val="clear" w:color="auto" w:fill="9CC2E5" w:themeFill="accent1" w:themeFillTint="99"/>
          </w:tcPr>
          <w:p w14:paraId="586245B4" w14:textId="77777777" w:rsidR="00C76702" w:rsidRPr="00B77326" w:rsidRDefault="00C76702" w:rsidP="00AB352C">
            <w:pPr>
              <w:spacing w:before="60" w:after="60"/>
              <w:jc w:val="center"/>
              <w:rPr>
                <w:rFonts w:ascii="Verdana" w:hAnsi="Verdana" w:cs="Times New Roman"/>
                <w:b/>
                <w:noProof/>
                <w:sz w:val="16"/>
                <w:szCs w:val="16"/>
              </w:rPr>
            </w:pPr>
            <w:r w:rsidRPr="00B77326">
              <w:rPr>
                <w:rFonts w:ascii="Verdana" w:hAnsi="Verdana" w:cs="Times New Roman"/>
                <w:b/>
                <w:noProof/>
                <w:sz w:val="16"/>
                <w:szCs w:val="16"/>
              </w:rPr>
              <w:t xml:space="preserve">Expected impact of policy option </w:t>
            </w:r>
            <w:r w:rsidR="00AB352C">
              <w:rPr>
                <w:rFonts w:ascii="Verdana" w:hAnsi="Verdana" w:cs="Times New Roman"/>
                <w:b/>
                <w:noProof/>
                <w:sz w:val="16"/>
                <w:szCs w:val="16"/>
              </w:rPr>
              <w:t>3.1</w:t>
            </w:r>
          </w:p>
        </w:tc>
      </w:tr>
      <w:tr w:rsidR="00C76702" w:rsidRPr="00CC4C89" w14:paraId="2D86F6E1" w14:textId="77777777" w:rsidTr="009D6B1A">
        <w:tc>
          <w:tcPr>
            <w:tcW w:w="9889" w:type="dxa"/>
            <w:tcBorders>
              <w:bottom w:val="single" w:sz="4" w:space="0" w:color="auto"/>
            </w:tcBorders>
            <w:shd w:val="clear" w:color="auto" w:fill="BDD6EE" w:themeFill="accent1" w:themeFillTint="66"/>
          </w:tcPr>
          <w:p w14:paraId="512903E3"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rsidRPr="00CC4C89" w14:paraId="4EDE6CD2" w14:textId="77777777" w:rsidTr="009D6B1A">
        <w:tc>
          <w:tcPr>
            <w:tcW w:w="9889" w:type="dxa"/>
            <w:shd w:val="clear" w:color="auto" w:fill="DEEAF6" w:themeFill="accent1" w:themeFillTint="33"/>
          </w:tcPr>
          <w:p w14:paraId="2DB9E04B"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Low positive impact</w:t>
            </w:r>
            <w:r w:rsidRPr="00B77326">
              <w:rPr>
                <w:rFonts w:ascii="Verdana" w:hAnsi="Verdana" w:cs="Times New Roman"/>
                <w:noProof/>
                <w:sz w:val="16"/>
                <w:szCs w:val="16"/>
              </w:rPr>
              <w:t xml:space="preserve"> to the security of the European citizens and societies. The adoption and development of support measures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 xml:space="preserve">support Member States to more effectively counter any forms of </w:t>
            </w:r>
            <w:r w:rsidR="00954B41">
              <w:rPr>
                <w:rFonts w:ascii="Verdana" w:hAnsi="Verdana" w:cs="Times New Roman"/>
                <w:noProof/>
                <w:sz w:val="16"/>
                <w:szCs w:val="16"/>
              </w:rPr>
              <w:t>criminal offences</w:t>
            </w:r>
            <w:r w:rsidRPr="00B77326">
              <w:rPr>
                <w:rFonts w:ascii="Verdana" w:hAnsi="Verdana" w:cs="Times New Roman"/>
                <w:noProof/>
                <w:sz w:val="16"/>
                <w:szCs w:val="16"/>
              </w:rPr>
              <w:t xml:space="preserve">. This would also </w:t>
            </w:r>
            <w:r w:rsidRPr="00B77326">
              <w:rPr>
                <w:rFonts w:ascii="Verdana" w:hAnsi="Verdana" w:cs="Times New Roman"/>
                <w:b/>
                <w:noProof/>
                <w:sz w:val="16"/>
                <w:szCs w:val="16"/>
              </w:rPr>
              <w:t>marginally</w:t>
            </w:r>
            <w:r w:rsidRPr="00B77326">
              <w:rPr>
                <w:rFonts w:ascii="Verdana" w:hAnsi="Verdana" w:cs="Times New Roman"/>
                <w:noProof/>
                <w:sz w:val="16"/>
                <w:szCs w:val="16"/>
              </w:rPr>
              <w:t xml:space="preserve"> reduce undue delays in the information sharing.</w:t>
            </w:r>
            <w:r w:rsidR="005B382A">
              <w:rPr>
                <w:rFonts w:ascii="Verdana" w:hAnsi="Verdana" w:cs="Times New Roman"/>
                <w:noProof/>
                <w:sz w:val="16"/>
                <w:szCs w:val="16"/>
              </w:rPr>
              <w:t xml:space="preserve"> </w:t>
            </w:r>
          </w:p>
        </w:tc>
      </w:tr>
      <w:tr w:rsidR="00C76702" w:rsidRPr="00CC4C89" w14:paraId="4426A020" w14:textId="77777777" w:rsidTr="009D6B1A">
        <w:tc>
          <w:tcPr>
            <w:tcW w:w="9889" w:type="dxa"/>
            <w:tcBorders>
              <w:bottom w:val="single" w:sz="4" w:space="0" w:color="auto"/>
            </w:tcBorders>
            <w:shd w:val="clear" w:color="auto" w:fill="BDD6EE" w:themeFill="accent1" w:themeFillTint="66"/>
          </w:tcPr>
          <w:p w14:paraId="46018A62"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rsidRPr="00CC4C89" w14:paraId="778A201A" w14:textId="77777777" w:rsidTr="009D6B1A">
        <w:tc>
          <w:tcPr>
            <w:tcW w:w="9889" w:type="dxa"/>
            <w:shd w:val="clear" w:color="auto" w:fill="DEEAF6" w:themeFill="accent1" w:themeFillTint="33"/>
          </w:tcPr>
          <w:p w14:paraId="18D9D341"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Low positive impact</w:t>
            </w:r>
            <w:r w:rsidRPr="00B77326">
              <w:rPr>
                <w:rFonts w:ascii="Verdana" w:hAnsi="Verdana" w:cs="Times New Roman"/>
                <w:noProof/>
                <w:sz w:val="16"/>
                <w:szCs w:val="16"/>
              </w:rPr>
              <w:t xml:space="preserve"> on national authorities, which could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 xml:space="preserve">to efficiently combat </w:t>
            </w:r>
            <w:r w:rsidR="00954B41">
              <w:rPr>
                <w:rFonts w:ascii="Verdana" w:hAnsi="Verdana" w:cs="Times New Roman"/>
                <w:noProof/>
                <w:sz w:val="16"/>
                <w:szCs w:val="16"/>
              </w:rPr>
              <w:t>criminal offences</w:t>
            </w:r>
            <w:r w:rsidRPr="00B77326">
              <w:rPr>
                <w:rFonts w:ascii="Verdana" w:hAnsi="Verdana" w:cs="Times New Roman"/>
                <w:noProof/>
                <w:sz w:val="16"/>
                <w:szCs w:val="16"/>
              </w:rPr>
              <w:t>, because of the adoption and development of support measures. Updated guidance could reduce the recurrent duplication of request across several communication channels.</w:t>
            </w:r>
          </w:p>
        </w:tc>
      </w:tr>
      <w:tr w:rsidR="00C76702" w:rsidRPr="00CC4C89" w14:paraId="28A1B44F" w14:textId="77777777" w:rsidTr="009D6B1A">
        <w:tc>
          <w:tcPr>
            <w:tcW w:w="9889" w:type="dxa"/>
            <w:tcBorders>
              <w:bottom w:val="single" w:sz="4" w:space="0" w:color="auto"/>
            </w:tcBorders>
            <w:shd w:val="clear" w:color="auto" w:fill="BDD6EE" w:themeFill="accent1" w:themeFillTint="66"/>
          </w:tcPr>
          <w:p w14:paraId="08FE8E31"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rsidRPr="00113989" w14:paraId="31A3A8D9" w14:textId="77777777" w:rsidTr="009D6B1A">
        <w:tc>
          <w:tcPr>
            <w:tcW w:w="9889" w:type="dxa"/>
            <w:shd w:val="clear" w:color="auto" w:fill="DEEAF6" w:themeFill="accent1" w:themeFillTint="33"/>
          </w:tcPr>
          <w:p w14:paraId="5E8F119D"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 adoption and development of support measures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contribute to increase the quality and quantity of information shared with Europol via SIENA.</w:t>
            </w:r>
          </w:p>
        </w:tc>
      </w:tr>
      <w:tr w:rsidR="00C76702" w:rsidRPr="002E63DD" w14:paraId="5C223A63" w14:textId="77777777" w:rsidTr="009D6B1A">
        <w:tc>
          <w:tcPr>
            <w:tcW w:w="9889" w:type="dxa"/>
            <w:tcBorders>
              <w:bottom w:val="single" w:sz="4" w:space="0" w:color="auto"/>
            </w:tcBorders>
            <w:shd w:val="clear" w:color="auto" w:fill="BDD6EE" w:themeFill="accent1" w:themeFillTint="66"/>
          </w:tcPr>
          <w:p w14:paraId="6E916D7D"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4. Impact on fundamental rights [+]</w:t>
            </w:r>
          </w:p>
        </w:tc>
      </w:tr>
      <w:tr w:rsidR="00C76702" w:rsidRPr="002E63DD" w14:paraId="7321FF47" w14:textId="77777777" w:rsidTr="009D6B1A">
        <w:tc>
          <w:tcPr>
            <w:tcW w:w="9889" w:type="dxa"/>
            <w:shd w:val="clear" w:color="auto" w:fill="DEEAF6" w:themeFill="accent1" w:themeFillTint="33"/>
          </w:tcPr>
          <w:p w14:paraId="2826CA0C" w14:textId="77777777" w:rsidR="00C76702" w:rsidRPr="00B77326" w:rsidRDefault="00C76702" w:rsidP="009E4A32">
            <w:pPr>
              <w:pStyle w:val="Body"/>
              <w:numPr>
                <w:ilvl w:val="0"/>
                <w:numId w:val="29"/>
              </w:numPr>
              <w:spacing w:before="60" w:after="60"/>
              <w:ind w:left="714" w:hanging="357"/>
              <w:jc w:val="both"/>
              <w:rPr>
                <w:bCs/>
                <w:noProof/>
                <w:sz w:val="16"/>
                <w:szCs w:val="16"/>
              </w:rPr>
            </w:pPr>
            <w:r w:rsidRPr="00B77326">
              <w:rPr>
                <w:b/>
                <w:noProof/>
                <w:sz w:val="16"/>
                <w:szCs w:val="16"/>
              </w:rPr>
              <w:t>Low positive impact</w:t>
            </w:r>
            <w:r w:rsidRPr="00B77326">
              <w:rPr>
                <w:noProof/>
                <w:sz w:val="16"/>
                <w:szCs w:val="16"/>
              </w:rPr>
              <w:t xml:space="preserve"> </w:t>
            </w:r>
            <w:r w:rsidRPr="00B77326">
              <w:rPr>
                <w:bCs/>
                <w:noProof/>
                <w:sz w:val="16"/>
                <w:szCs w:val="16"/>
              </w:rPr>
              <w:t>through soft measures aiming at improving the choice of the communication channel, thereby possibly reducing the duplication of requests across several communication channels.</w:t>
            </w:r>
            <w:r w:rsidR="000874A8">
              <w:rPr>
                <w:bCs/>
                <w:noProof/>
                <w:sz w:val="16"/>
                <w:szCs w:val="16"/>
              </w:rPr>
              <w:t xml:space="preserve"> </w:t>
            </w:r>
            <w:r w:rsidR="000874A8">
              <w:rPr>
                <w:noProof/>
                <w:sz w:val="16"/>
                <w:szCs w:val="16"/>
              </w:rPr>
              <w:t>Law enforcement authorities will remain free to consider what types of information should be made available for possible exchange.</w:t>
            </w:r>
            <w:r w:rsidR="00E8515B">
              <w:rPr>
                <w:noProof/>
                <w:sz w:val="16"/>
                <w:szCs w:val="16"/>
              </w:rPr>
              <w:t xml:space="preserve"> They would not have additional capabilities in data processing.</w:t>
            </w:r>
          </w:p>
        </w:tc>
      </w:tr>
      <w:tr w:rsidR="00C76702" w:rsidRPr="00475E9D" w14:paraId="35EC6B01" w14:textId="77777777" w:rsidTr="009D6B1A">
        <w:tc>
          <w:tcPr>
            <w:tcW w:w="9889" w:type="dxa"/>
            <w:tcBorders>
              <w:bottom w:val="single" w:sz="4" w:space="0" w:color="auto"/>
            </w:tcBorders>
            <w:shd w:val="clear" w:color="auto" w:fill="BDD6EE" w:themeFill="accent1" w:themeFillTint="66"/>
          </w:tcPr>
          <w:p w14:paraId="7A4B4D96"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 xml:space="preserve">5 Effectiveness in meeting the policy objectives [+] </w:t>
            </w:r>
          </w:p>
        </w:tc>
      </w:tr>
      <w:tr w:rsidR="00C76702" w:rsidRPr="00F66492" w14:paraId="4196A072" w14:textId="77777777" w:rsidTr="009D6B1A">
        <w:tc>
          <w:tcPr>
            <w:tcW w:w="9889" w:type="dxa"/>
            <w:shd w:val="clear" w:color="auto" w:fill="DEEAF6" w:themeFill="accent1" w:themeFillTint="33"/>
          </w:tcPr>
          <w:p w14:paraId="49D1D46A" w14:textId="77777777" w:rsidR="00C76702" w:rsidRPr="00B77326" w:rsidRDefault="00C76702" w:rsidP="00900BC7">
            <w:pPr>
              <w:pStyle w:val="Body"/>
              <w:widowControl w:val="0"/>
              <w:numPr>
                <w:ilvl w:val="0"/>
                <w:numId w:val="30"/>
              </w:numPr>
              <w:adjustRightInd w:val="0"/>
              <w:spacing w:before="60" w:after="60"/>
              <w:ind w:left="714" w:hanging="357"/>
              <w:jc w:val="both"/>
              <w:textAlignment w:val="baseline"/>
              <w:rPr>
                <w:noProof/>
                <w:sz w:val="16"/>
                <w:szCs w:val="16"/>
              </w:rPr>
            </w:pPr>
            <w:r w:rsidRPr="00B77326">
              <w:rPr>
                <w:noProof/>
                <w:sz w:val="16"/>
                <w:szCs w:val="16"/>
              </w:rPr>
              <w:t xml:space="preserve">This policy option would </w:t>
            </w:r>
            <w:r w:rsidRPr="00B77326">
              <w:rPr>
                <w:b/>
                <w:noProof/>
                <w:sz w:val="16"/>
                <w:szCs w:val="16"/>
              </w:rPr>
              <w:t xml:space="preserve">marginally </w:t>
            </w:r>
            <w:r w:rsidRPr="00B77326">
              <w:rPr>
                <w:noProof/>
                <w:sz w:val="16"/>
                <w:szCs w:val="16"/>
              </w:rPr>
              <w:t xml:space="preserve">address the objective of setting up a default communication channel for law enforcement exchange between Member States. </w:t>
            </w:r>
          </w:p>
          <w:p w14:paraId="11CEB230"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Actual progress would essentially be left to Member States' ability and wilingness to diligently follow up on updated guidances. </w:t>
            </w:r>
          </w:p>
        </w:tc>
      </w:tr>
      <w:tr w:rsidR="00C76702" w:rsidRPr="00475E9D" w14:paraId="7B804F03" w14:textId="77777777" w:rsidTr="009D6B1A">
        <w:tc>
          <w:tcPr>
            <w:tcW w:w="9889" w:type="dxa"/>
            <w:shd w:val="clear" w:color="auto" w:fill="BDD6EE" w:themeFill="accent1" w:themeFillTint="66"/>
          </w:tcPr>
          <w:p w14:paraId="4A961A6B" w14:textId="3D313B5A" w:rsidR="00C76702" w:rsidRPr="00B77326" w:rsidRDefault="00C76702" w:rsidP="00EB7963">
            <w:pPr>
              <w:spacing w:before="60" w:after="60"/>
              <w:rPr>
                <w:rFonts w:ascii="Verdana" w:hAnsi="Verdana" w:cs="Times New Roman"/>
                <w:noProof/>
                <w:sz w:val="16"/>
                <w:szCs w:val="16"/>
              </w:rPr>
            </w:pPr>
            <w:r w:rsidRPr="00B77326">
              <w:rPr>
                <w:rFonts w:ascii="Verdana" w:hAnsi="Verdana" w:cs="Times New Roman"/>
                <w:b/>
                <w:noProof/>
                <w:sz w:val="16"/>
                <w:szCs w:val="16"/>
              </w:rPr>
              <w:t>6. Efficiency in meeting the policy objectives [+</w:t>
            </w:r>
            <w:r w:rsidR="00A04EF4">
              <w:rPr>
                <w:rFonts w:ascii="Verdana" w:hAnsi="Verdana" w:cs="Times New Roman"/>
                <w:b/>
                <w:noProof/>
                <w:sz w:val="16"/>
                <w:szCs w:val="16"/>
              </w:rPr>
              <w:t>+</w:t>
            </w:r>
            <w:r w:rsidRPr="00B77326">
              <w:rPr>
                <w:rFonts w:ascii="Verdana" w:hAnsi="Verdana" w:cs="Times New Roman"/>
                <w:b/>
                <w:noProof/>
                <w:sz w:val="16"/>
                <w:szCs w:val="16"/>
              </w:rPr>
              <w:t xml:space="preserve">] </w:t>
            </w:r>
          </w:p>
        </w:tc>
      </w:tr>
      <w:tr w:rsidR="00C76702" w:rsidRPr="00475E9D" w14:paraId="7CBB9505" w14:textId="77777777" w:rsidTr="009D6B1A">
        <w:tc>
          <w:tcPr>
            <w:tcW w:w="9889" w:type="dxa"/>
            <w:shd w:val="clear" w:color="auto" w:fill="DEEAF6" w:themeFill="accent1" w:themeFillTint="33"/>
          </w:tcPr>
          <w:p w14:paraId="0464259F"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option may generate</w:t>
            </w:r>
            <w:r w:rsidRPr="00B77326">
              <w:rPr>
                <w:rFonts w:ascii="Verdana" w:hAnsi="Verdana" w:cs="Times New Roman"/>
                <w:b/>
                <w:noProof/>
                <w:sz w:val="16"/>
                <w:szCs w:val="16"/>
              </w:rPr>
              <w:t xml:space="preserve"> cost </w:t>
            </w:r>
            <w:r w:rsidRPr="00B77326">
              <w:rPr>
                <w:rFonts w:ascii="Verdana" w:hAnsi="Verdana" w:cs="Times New Roman"/>
                <w:noProof/>
                <w:sz w:val="16"/>
                <w:szCs w:val="16"/>
              </w:rPr>
              <w:t>at EU and Member States.</w:t>
            </w:r>
          </w:p>
          <w:p w14:paraId="1103FE3C"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The extent of these costs may vary depending on the nature and scale of the soft measures.</w:t>
            </w:r>
          </w:p>
          <w:p w14:paraId="613D037C" w14:textId="1C513CD4"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Some of these costs would already be covered </w:t>
            </w:r>
            <w:r w:rsidR="000A2E22">
              <w:rPr>
                <w:rFonts w:ascii="Verdana" w:hAnsi="Verdana" w:cs="Times New Roman"/>
                <w:noProof/>
                <w:sz w:val="16"/>
                <w:szCs w:val="16"/>
              </w:rPr>
              <w:t>by</w:t>
            </w:r>
            <w:r w:rsidRPr="00B77326">
              <w:rPr>
                <w:rFonts w:ascii="Verdana" w:hAnsi="Verdana" w:cs="Times New Roman"/>
                <w:noProof/>
                <w:sz w:val="16"/>
                <w:szCs w:val="16"/>
              </w:rPr>
              <w:t xml:space="preserve"> relevant EU agencies as part of their support functions to Member States (e.g. training, SIENA roll-out).</w:t>
            </w:r>
            <w:r w:rsidR="00A04EF4">
              <w:rPr>
                <w:rFonts w:ascii="Verdana" w:hAnsi="Verdana" w:cs="Times New Roman"/>
                <w:noProof/>
                <w:sz w:val="16"/>
                <w:szCs w:val="16"/>
              </w:rPr>
              <w:t xml:space="preserve"> They don't outweight benefits.</w:t>
            </w:r>
          </w:p>
        </w:tc>
      </w:tr>
      <w:tr w:rsidR="00C76702" w:rsidRPr="00475E9D" w14:paraId="0DD5D106" w14:textId="77777777" w:rsidTr="009D6B1A">
        <w:tc>
          <w:tcPr>
            <w:tcW w:w="9889" w:type="dxa"/>
            <w:tcBorders>
              <w:bottom w:val="single" w:sz="4" w:space="0" w:color="auto"/>
            </w:tcBorders>
            <w:shd w:val="clear" w:color="auto" w:fill="BDD6EE" w:themeFill="accent1" w:themeFillTint="66"/>
          </w:tcPr>
          <w:p w14:paraId="4350CD03" w14:textId="77777777" w:rsidR="00C76702" w:rsidRPr="00B77326" w:rsidRDefault="00C76702" w:rsidP="005101C8">
            <w:pPr>
              <w:spacing w:before="60" w:after="60"/>
              <w:rPr>
                <w:rFonts w:ascii="Verdana" w:hAnsi="Verdana" w:cs="Times New Roman"/>
                <w:b/>
                <w:noProof/>
                <w:sz w:val="16"/>
                <w:szCs w:val="16"/>
              </w:rPr>
            </w:pPr>
            <w:r w:rsidRPr="00B77326">
              <w:rPr>
                <w:rFonts w:ascii="Verdana" w:hAnsi="Verdana" w:cs="Times New Roman"/>
                <w:b/>
                <w:noProof/>
                <w:sz w:val="16"/>
                <w:szCs w:val="16"/>
              </w:rPr>
              <w:t>7. Legal feasibility [</w:t>
            </w:r>
            <w:r w:rsidR="00D6533F">
              <w:rPr>
                <w:rFonts w:ascii="Verdana" w:hAnsi="Verdana" w:cs="Times New Roman"/>
                <w:b/>
                <w:noProof/>
                <w:sz w:val="16"/>
                <w:szCs w:val="16"/>
              </w:rPr>
              <w:t>0</w:t>
            </w:r>
            <w:r w:rsidRPr="00B77326">
              <w:rPr>
                <w:rFonts w:ascii="Verdana" w:hAnsi="Verdana" w:cs="Times New Roman"/>
                <w:b/>
                <w:noProof/>
                <w:sz w:val="16"/>
                <w:szCs w:val="16"/>
              </w:rPr>
              <w:t>]</w:t>
            </w:r>
          </w:p>
        </w:tc>
      </w:tr>
      <w:tr w:rsidR="00C76702" w:rsidRPr="00475E9D" w14:paraId="1914E290" w14:textId="77777777" w:rsidTr="009D6B1A">
        <w:tc>
          <w:tcPr>
            <w:tcW w:w="9889" w:type="dxa"/>
            <w:shd w:val="clear" w:color="auto" w:fill="DEEAF6" w:themeFill="accent1" w:themeFillTint="33"/>
          </w:tcPr>
          <w:p w14:paraId="5EC079FE" w14:textId="77777777" w:rsidR="00C76702" w:rsidRPr="00945713" w:rsidRDefault="00C76702" w:rsidP="00900BC7">
            <w:pPr>
              <w:pStyle w:val="ListParagraph"/>
              <w:widowControl w:val="0"/>
              <w:numPr>
                <w:ilvl w:val="0"/>
                <w:numId w:val="85"/>
              </w:numPr>
              <w:adjustRightInd w:val="0"/>
              <w:spacing w:before="60" w:after="60" w:line="240" w:lineRule="auto"/>
              <w:ind w:left="714" w:hanging="357"/>
              <w:jc w:val="both"/>
              <w:textAlignment w:val="baseline"/>
              <w:rPr>
                <w:rFonts w:ascii="Verdana" w:hAnsi="Verdana" w:cs="Times New Roman"/>
                <w:noProof/>
                <w:sz w:val="16"/>
                <w:szCs w:val="16"/>
              </w:rPr>
            </w:pPr>
            <w:r w:rsidRPr="00945713">
              <w:rPr>
                <w:rFonts w:ascii="Verdana" w:hAnsi="Verdana" w:cs="Times New Roman"/>
                <w:noProof/>
                <w:sz w:val="16"/>
                <w:szCs w:val="16"/>
              </w:rPr>
              <w:t>This policy option would require no legal changes.</w:t>
            </w:r>
            <w:r w:rsidR="00443017">
              <w:rPr>
                <w:rFonts w:ascii="Verdana" w:hAnsi="Verdana" w:cs="Times New Roman"/>
                <w:noProof/>
                <w:sz w:val="16"/>
                <w:szCs w:val="16"/>
              </w:rPr>
              <w:t xml:space="preserve"> It is de facto in line </w:t>
            </w:r>
            <w:r w:rsidR="00443017">
              <w:rPr>
                <w:rFonts w:ascii="Verdana" w:hAnsi="Verdana"/>
                <w:noProof/>
                <w:sz w:val="16"/>
              </w:rPr>
              <w:t xml:space="preserve">the </w:t>
            </w:r>
            <w:r w:rsidR="00443017" w:rsidRPr="00B5430F">
              <w:rPr>
                <w:rFonts w:ascii="Verdana" w:hAnsi="Verdana"/>
                <w:noProof/>
                <w:sz w:val="16"/>
              </w:rPr>
              <w:t>conferral</w:t>
            </w:r>
            <w:r w:rsidR="00443017">
              <w:rPr>
                <w:rFonts w:ascii="Verdana" w:hAnsi="Verdana"/>
                <w:noProof/>
                <w:sz w:val="16"/>
              </w:rPr>
              <w:t xml:space="preserve"> of powers </w:t>
            </w:r>
            <w:r w:rsidR="00443017" w:rsidRPr="00B5430F">
              <w:rPr>
                <w:rFonts w:ascii="Verdana" w:hAnsi="Verdana"/>
                <w:noProof/>
                <w:sz w:val="16"/>
              </w:rPr>
              <w:t xml:space="preserve">and </w:t>
            </w:r>
            <w:r w:rsidR="00443017">
              <w:rPr>
                <w:rFonts w:ascii="Verdana" w:hAnsi="Verdana"/>
                <w:noProof/>
                <w:sz w:val="16"/>
              </w:rPr>
              <w:t xml:space="preserve">with the respects of </w:t>
            </w:r>
            <w:r w:rsidR="00443017" w:rsidRPr="00B5430F">
              <w:rPr>
                <w:rFonts w:ascii="Verdana" w:hAnsi="Verdana"/>
                <w:noProof/>
                <w:sz w:val="16"/>
              </w:rPr>
              <w:t>fundamental rights</w:t>
            </w:r>
            <w:r w:rsidR="00443017">
              <w:rPr>
                <w:rFonts w:ascii="Verdana" w:hAnsi="Verdana"/>
                <w:noProof/>
                <w:sz w:val="16"/>
              </w:rPr>
              <w:t>.</w:t>
            </w:r>
          </w:p>
        </w:tc>
      </w:tr>
      <w:tr w:rsidR="005101C8" w:rsidRPr="00475E9D" w14:paraId="483A2A9D" w14:textId="77777777" w:rsidTr="009E4A32">
        <w:tc>
          <w:tcPr>
            <w:tcW w:w="9889" w:type="dxa"/>
            <w:shd w:val="clear" w:color="auto" w:fill="BDD6EE" w:themeFill="accent1" w:themeFillTint="66"/>
          </w:tcPr>
          <w:p w14:paraId="51446742" w14:textId="77777777" w:rsidR="005101C8" w:rsidRPr="00945713" w:rsidRDefault="005101C8" w:rsidP="00945713">
            <w:pPr>
              <w:widowControl w:val="0"/>
              <w:adjustRightInd w:val="0"/>
              <w:spacing w:before="60" w:after="60" w:line="240" w:lineRule="auto"/>
              <w:jc w:val="both"/>
              <w:textAlignment w:val="baseline"/>
              <w:rPr>
                <w:rFonts w:ascii="Verdana" w:hAnsi="Verdana" w:cs="Times New Roman"/>
                <w:b/>
                <w:noProof/>
                <w:sz w:val="16"/>
                <w:szCs w:val="16"/>
              </w:rPr>
            </w:pPr>
            <w:r w:rsidRPr="00945713">
              <w:rPr>
                <w:rFonts w:ascii="Verdana" w:hAnsi="Verdana" w:cs="Times New Roman"/>
                <w:b/>
                <w:noProof/>
                <w:sz w:val="16"/>
                <w:szCs w:val="16"/>
              </w:rPr>
              <w:t>8. technical feasibility</w:t>
            </w:r>
            <w:r>
              <w:rPr>
                <w:rFonts w:ascii="Verdana" w:hAnsi="Verdana" w:cs="Times New Roman"/>
                <w:b/>
                <w:noProof/>
                <w:sz w:val="16"/>
                <w:szCs w:val="16"/>
              </w:rPr>
              <w:t xml:space="preserve"> [++]</w:t>
            </w:r>
          </w:p>
        </w:tc>
      </w:tr>
      <w:tr w:rsidR="005101C8" w:rsidRPr="00475E9D" w14:paraId="6E9DD49F" w14:textId="77777777" w:rsidTr="009D6B1A">
        <w:tc>
          <w:tcPr>
            <w:tcW w:w="9889" w:type="dxa"/>
            <w:shd w:val="clear" w:color="auto" w:fill="DEEAF6" w:themeFill="accent1" w:themeFillTint="33"/>
          </w:tcPr>
          <w:p w14:paraId="7A81A87E" w14:textId="77777777" w:rsidR="005101C8" w:rsidRPr="00B77326" w:rsidRDefault="005101C8"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Even though this policy option would be technically feasible, favouring the use of Europol SIENA as channel of commun</w:t>
            </w:r>
            <w:r>
              <w:rPr>
                <w:rFonts w:ascii="Verdana" w:hAnsi="Verdana" w:cs="Times New Roman"/>
                <w:noProof/>
                <w:sz w:val="16"/>
                <w:szCs w:val="16"/>
              </w:rPr>
              <w:t>i</w:t>
            </w:r>
            <w:r w:rsidRPr="00B77326">
              <w:rPr>
                <w:rFonts w:ascii="Verdana" w:hAnsi="Verdana" w:cs="Times New Roman"/>
                <w:noProof/>
                <w:sz w:val="16"/>
                <w:szCs w:val="16"/>
              </w:rPr>
              <w:t>c</w:t>
            </w:r>
            <w:r>
              <w:rPr>
                <w:rFonts w:ascii="Verdana" w:hAnsi="Verdana" w:cs="Times New Roman"/>
                <w:noProof/>
                <w:sz w:val="16"/>
                <w:szCs w:val="16"/>
              </w:rPr>
              <w:t>a</w:t>
            </w:r>
            <w:r w:rsidRPr="00B77326">
              <w:rPr>
                <w:rFonts w:ascii="Verdana" w:hAnsi="Verdana" w:cs="Times New Roman"/>
                <w:noProof/>
                <w:sz w:val="16"/>
                <w:szCs w:val="16"/>
              </w:rPr>
              <w:t>tion between Member States for offences falling within the Europol ma</w:t>
            </w:r>
            <w:r>
              <w:rPr>
                <w:rFonts w:ascii="Verdana" w:hAnsi="Verdana" w:cs="Times New Roman"/>
                <w:noProof/>
                <w:sz w:val="16"/>
                <w:szCs w:val="16"/>
              </w:rPr>
              <w:t>ndate, through guidelines, would require the full rol</w:t>
            </w:r>
            <w:r w:rsidRPr="00B77326">
              <w:rPr>
                <w:rFonts w:ascii="Verdana" w:hAnsi="Verdana" w:cs="Times New Roman"/>
                <w:noProof/>
                <w:sz w:val="16"/>
                <w:szCs w:val="16"/>
              </w:rPr>
              <w:t>l-out of SIENA to all relevant end-users.</w:t>
            </w:r>
          </w:p>
          <w:p w14:paraId="5B29D359" w14:textId="77777777" w:rsidR="005101C8" w:rsidRPr="00B77326" w:rsidRDefault="005101C8"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Pr>
                <w:rFonts w:ascii="Verdana" w:hAnsi="Verdana" w:cs="Times New Roman"/>
                <w:noProof/>
                <w:sz w:val="16"/>
                <w:szCs w:val="16"/>
              </w:rPr>
              <w:t>S</w:t>
            </w:r>
            <w:r w:rsidRPr="00B77326">
              <w:rPr>
                <w:rFonts w:ascii="Verdana" w:hAnsi="Verdana" w:cs="Times New Roman"/>
                <w:noProof/>
                <w:sz w:val="16"/>
                <w:szCs w:val="16"/>
              </w:rPr>
              <w:t>ignificant technical and financial support</w:t>
            </w:r>
            <w:r>
              <w:rPr>
                <w:rFonts w:ascii="Verdana" w:hAnsi="Verdana" w:cs="Times New Roman"/>
                <w:noProof/>
                <w:sz w:val="16"/>
                <w:szCs w:val="16"/>
              </w:rPr>
              <w:t xml:space="preserve"> will be needed</w:t>
            </w:r>
            <w:r w:rsidRPr="00B77326">
              <w:rPr>
                <w:rFonts w:ascii="Verdana" w:hAnsi="Verdana" w:cs="Times New Roman"/>
                <w:noProof/>
                <w:sz w:val="16"/>
                <w:szCs w:val="16"/>
              </w:rPr>
              <w:t>.</w:t>
            </w:r>
          </w:p>
        </w:tc>
      </w:tr>
      <w:tr w:rsidR="00C76702" w:rsidRPr="00475E9D" w14:paraId="20164095" w14:textId="77777777" w:rsidTr="009D6B1A">
        <w:tc>
          <w:tcPr>
            <w:tcW w:w="9889" w:type="dxa"/>
            <w:tcBorders>
              <w:bottom w:val="single" w:sz="4" w:space="0" w:color="auto"/>
            </w:tcBorders>
            <w:shd w:val="clear" w:color="auto" w:fill="BDD6EE" w:themeFill="accent1" w:themeFillTint="66"/>
          </w:tcPr>
          <w:p w14:paraId="52CD111C" w14:textId="2490EB3D"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9</w:t>
            </w:r>
            <w:r w:rsidR="00C76702" w:rsidRPr="00B77326">
              <w:rPr>
                <w:rFonts w:ascii="Verdana" w:hAnsi="Verdana" w:cs="Times New Roman"/>
                <w:b/>
                <w:noProof/>
                <w:sz w:val="16"/>
                <w:szCs w:val="16"/>
              </w:rPr>
              <w:t xml:space="preserve">. Coherence with other measures [+] </w:t>
            </w:r>
          </w:p>
        </w:tc>
      </w:tr>
      <w:tr w:rsidR="00C76702" w:rsidRPr="00475E9D" w14:paraId="09634E31" w14:textId="77777777" w:rsidTr="009D6B1A">
        <w:trPr>
          <w:trHeight w:val="425"/>
        </w:trPr>
        <w:tc>
          <w:tcPr>
            <w:tcW w:w="9889" w:type="dxa"/>
            <w:tcBorders>
              <w:bottom w:val="single" w:sz="4" w:space="0" w:color="auto"/>
            </w:tcBorders>
            <w:shd w:val="clear" w:color="auto" w:fill="DEEAF6" w:themeFill="accent1" w:themeFillTint="33"/>
          </w:tcPr>
          <w:p w14:paraId="10B84CB4"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b/>
                <w:noProof/>
                <w:sz w:val="16"/>
                <w:szCs w:val="16"/>
              </w:rPr>
            </w:pPr>
            <w:r w:rsidRPr="00B77326">
              <w:rPr>
                <w:rFonts w:ascii="Verdana" w:hAnsi="Verdana" w:cs="Times New Roman"/>
                <w:noProof/>
                <w:sz w:val="16"/>
                <w:szCs w:val="16"/>
              </w:rPr>
              <w:t xml:space="preserve">This policy option would </w:t>
            </w:r>
            <w:r w:rsidRPr="00B77326">
              <w:rPr>
                <w:rFonts w:ascii="Verdana" w:hAnsi="Verdana" w:cs="Times New Roman"/>
                <w:b/>
                <w:noProof/>
                <w:sz w:val="16"/>
                <w:szCs w:val="16"/>
              </w:rPr>
              <w:t xml:space="preserve">marginally </w:t>
            </w:r>
            <w:r w:rsidRPr="00B77326">
              <w:rPr>
                <w:rFonts w:ascii="Verdana" w:hAnsi="Verdana" w:cs="Times New Roman"/>
                <w:noProof/>
                <w:sz w:val="16"/>
                <w:szCs w:val="16"/>
              </w:rPr>
              <w:t>complement other Commission initiatives such as the Commission proposals for a new Schengen border code, for Prüm II and for Europol.</w:t>
            </w:r>
          </w:p>
        </w:tc>
      </w:tr>
    </w:tbl>
    <w:p w14:paraId="41BB5523" w14:textId="77777777" w:rsidR="00182B1E" w:rsidRPr="002261B6" w:rsidRDefault="00182B1E" w:rsidP="00C76702">
      <w:pPr>
        <w:pStyle w:val="Text1"/>
        <w:spacing w:after="120"/>
        <w:ind w:left="0"/>
        <w:rPr>
          <w:b/>
          <w:noProof/>
          <w:sz w:val="16"/>
          <w:szCs w:val="16"/>
        </w:rPr>
      </w:pPr>
    </w:p>
    <w:p w14:paraId="4ABE076A" w14:textId="2FF1D149" w:rsidR="00C76702" w:rsidRPr="00493270" w:rsidRDefault="00C76702" w:rsidP="00A414D7">
      <w:pPr>
        <w:pStyle w:val="Text2"/>
        <w:pBdr>
          <w:top w:val="single" w:sz="4" w:space="1" w:color="auto"/>
          <w:left w:val="single" w:sz="4" w:space="4" w:color="auto"/>
          <w:bottom w:val="single" w:sz="4" w:space="1" w:color="auto"/>
          <w:right w:val="single" w:sz="4" w:space="4" w:color="auto"/>
        </w:pBdr>
        <w:shd w:val="clear" w:color="auto" w:fill="B4C6E7" w:themeFill="accent5" w:themeFillTint="66"/>
        <w:spacing w:after="0"/>
        <w:ind w:left="0"/>
        <w:rPr>
          <w:b/>
          <w:noProof/>
          <w:szCs w:val="24"/>
        </w:rPr>
      </w:pPr>
      <w:r>
        <w:rPr>
          <w:b/>
          <w:noProof/>
          <w:szCs w:val="24"/>
          <w:u w:val="single"/>
        </w:rPr>
        <w:t xml:space="preserve">Policy option </w:t>
      </w:r>
      <w:r w:rsidR="001C5034">
        <w:rPr>
          <w:b/>
          <w:noProof/>
          <w:szCs w:val="24"/>
          <w:u w:val="single"/>
        </w:rPr>
        <w:t>3.2</w:t>
      </w:r>
      <w:r w:rsidRPr="00514E93">
        <w:rPr>
          <w:b/>
          <w:noProof/>
          <w:szCs w:val="24"/>
          <w:u w:val="single"/>
        </w:rPr>
        <w:t>:</w:t>
      </w:r>
      <w:r w:rsidRPr="00990476">
        <w:rPr>
          <w:b/>
          <w:noProof/>
          <w:szCs w:val="24"/>
        </w:rPr>
        <w:t xml:space="preserve"> </w:t>
      </w:r>
      <w:r w:rsidRPr="00493270">
        <w:rPr>
          <w:b/>
          <w:noProof/>
          <w:szCs w:val="24"/>
        </w:rPr>
        <w:t>Obligation on Member State</w:t>
      </w:r>
      <w:r w:rsidR="00A51875">
        <w:rPr>
          <w:b/>
          <w:noProof/>
          <w:szCs w:val="24"/>
        </w:rPr>
        <w:t>s</w:t>
      </w:r>
      <w:r w:rsidRPr="00493270">
        <w:rPr>
          <w:b/>
          <w:noProof/>
          <w:szCs w:val="24"/>
        </w:rPr>
        <w:t xml:space="preserve"> </w:t>
      </w:r>
      <w:r w:rsidR="00AE0AA2" w:rsidRPr="004A4E16">
        <w:rPr>
          <w:b/>
          <w:noProof/>
          <w:szCs w:val="24"/>
        </w:rPr>
        <w:t xml:space="preserve">to use </w:t>
      </w:r>
      <w:r w:rsidR="00AE0AA2" w:rsidRPr="00704502">
        <w:rPr>
          <w:b/>
          <w:noProof/>
          <w:szCs w:val="24"/>
        </w:rPr>
        <w:t xml:space="preserve">SIENA </w:t>
      </w:r>
      <w:r w:rsidR="00AE0AA2">
        <w:rPr>
          <w:b/>
          <w:noProof/>
          <w:szCs w:val="24"/>
        </w:rPr>
        <w:t xml:space="preserve">as </w:t>
      </w:r>
      <w:r w:rsidR="00AE0AA2" w:rsidRPr="00704502">
        <w:rPr>
          <w:b/>
          <w:noProof/>
          <w:szCs w:val="24"/>
        </w:rPr>
        <w:t xml:space="preserve">the preferred </w:t>
      </w:r>
      <w:r w:rsidR="00AE0AA2">
        <w:rPr>
          <w:b/>
          <w:noProof/>
          <w:szCs w:val="24"/>
        </w:rPr>
        <w:t xml:space="preserve">communication </w:t>
      </w:r>
      <w:r w:rsidR="00AE0AA2" w:rsidRPr="00704502">
        <w:rPr>
          <w:b/>
          <w:noProof/>
          <w:szCs w:val="24"/>
        </w:rPr>
        <w:t>channel</w:t>
      </w:r>
      <w:r w:rsidR="00AE0AA2">
        <w:rPr>
          <w:b/>
          <w:noProof/>
          <w:szCs w:val="24"/>
        </w:rPr>
        <w:t xml:space="preserve"> </w:t>
      </w:r>
      <w:r w:rsidRPr="00493270">
        <w:rPr>
          <w:b/>
          <w:noProof/>
          <w:szCs w:val="24"/>
        </w:rPr>
        <w:t xml:space="preserve">+ obligation to put Europol in copy when using SIENA in cases within Europol's mandate + </w:t>
      </w:r>
      <w:r w:rsidR="00A84246">
        <w:rPr>
          <w:b/>
          <w:noProof/>
          <w:szCs w:val="24"/>
        </w:rPr>
        <w:t xml:space="preserve">new </w:t>
      </w:r>
      <w:r w:rsidR="00A51875">
        <w:rPr>
          <w:b/>
          <w:noProof/>
          <w:szCs w:val="24"/>
        </w:rPr>
        <w:t>f</w:t>
      </w:r>
      <w:r w:rsidR="00A51875" w:rsidRPr="00493270">
        <w:rPr>
          <w:b/>
          <w:noProof/>
          <w:szCs w:val="24"/>
        </w:rPr>
        <w:t xml:space="preserve">lanking </w:t>
      </w:r>
      <w:r w:rsidRPr="00493270">
        <w:rPr>
          <w:b/>
          <w:noProof/>
          <w:szCs w:val="24"/>
        </w:rPr>
        <w:t>soft measures (</w:t>
      </w:r>
      <w:r w:rsidR="000A2E22">
        <w:rPr>
          <w:b/>
          <w:noProof/>
          <w:szCs w:val="24"/>
        </w:rPr>
        <w:t xml:space="preserve">as in </w:t>
      </w:r>
      <w:r w:rsidRPr="00493270">
        <w:rPr>
          <w:b/>
          <w:noProof/>
          <w:szCs w:val="24"/>
        </w:rPr>
        <w:t xml:space="preserve">option </w:t>
      </w:r>
      <w:r w:rsidR="001C5034">
        <w:rPr>
          <w:b/>
          <w:noProof/>
          <w:szCs w:val="24"/>
        </w:rPr>
        <w:t>3.1</w:t>
      </w:r>
      <w:r w:rsidRPr="00493270">
        <w:rPr>
          <w:b/>
          <w:noProof/>
          <w:szCs w:val="24"/>
        </w:rPr>
        <w:t>)</w:t>
      </w:r>
    </w:p>
    <w:p w14:paraId="772F5654" w14:textId="77777777" w:rsidR="00C76702" w:rsidRPr="0032290C" w:rsidRDefault="00C76702" w:rsidP="00C76702">
      <w:pPr>
        <w:pStyle w:val="Text2"/>
        <w:spacing w:after="0"/>
        <w:ind w:left="0"/>
        <w:rPr>
          <w:noProof/>
          <w:sz w:val="16"/>
          <w:szCs w:val="16"/>
        </w:rPr>
      </w:pPr>
    </w:p>
    <w:tbl>
      <w:tblPr>
        <w:tblStyle w:val="TableGrid1"/>
        <w:tblW w:w="9889" w:type="dxa"/>
        <w:tblLook w:val="04A0" w:firstRow="1" w:lastRow="0" w:firstColumn="1" w:lastColumn="0" w:noHBand="0" w:noVBand="1"/>
      </w:tblPr>
      <w:tblGrid>
        <w:gridCol w:w="9889"/>
      </w:tblGrid>
      <w:tr w:rsidR="00C76702" w:rsidRPr="00CC4C89" w14:paraId="710A0108" w14:textId="77777777" w:rsidTr="009D6B1A">
        <w:tc>
          <w:tcPr>
            <w:tcW w:w="9889" w:type="dxa"/>
            <w:tcBorders>
              <w:bottom w:val="single" w:sz="4" w:space="0" w:color="auto"/>
            </w:tcBorders>
            <w:shd w:val="clear" w:color="auto" w:fill="9CC2E5" w:themeFill="accent1" w:themeFillTint="99"/>
          </w:tcPr>
          <w:p w14:paraId="6E0FD923" w14:textId="77777777" w:rsidR="00C76702" w:rsidRPr="00B77326" w:rsidRDefault="00C76702" w:rsidP="001C5034">
            <w:pPr>
              <w:spacing w:before="60" w:after="60"/>
              <w:jc w:val="center"/>
              <w:rPr>
                <w:rFonts w:ascii="Verdana" w:hAnsi="Verdana" w:cs="Times New Roman"/>
                <w:b/>
                <w:noProof/>
                <w:sz w:val="16"/>
                <w:szCs w:val="16"/>
              </w:rPr>
            </w:pPr>
            <w:r w:rsidRPr="00B77326">
              <w:rPr>
                <w:rFonts w:ascii="Verdana" w:hAnsi="Verdana" w:cs="Times New Roman"/>
                <w:b/>
                <w:noProof/>
                <w:sz w:val="16"/>
                <w:szCs w:val="16"/>
              </w:rPr>
              <w:t xml:space="preserve">Expected impact of policy option </w:t>
            </w:r>
            <w:r w:rsidR="001C5034">
              <w:rPr>
                <w:rFonts w:ascii="Verdana" w:hAnsi="Verdana" w:cs="Times New Roman"/>
                <w:b/>
                <w:noProof/>
                <w:sz w:val="16"/>
                <w:szCs w:val="16"/>
              </w:rPr>
              <w:t>3.2</w:t>
            </w:r>
          </w:p>
        </w:tc>
      </w:tr>
      <w:tr w:rsidR="00C76702" w:rsidRPr="00CC4C89" w14:paraId="6D7A52E2" w14:textId="77777777" w:rsidTr="009D6B1A">
        <w:tc>
          <w:tcPr>
            <w:tcW w:w="9889" w:type="dxa"/>
            <w:tcBorders>
              <w:bottom w:val="single" w:sz="4" w:space="0" w:color="auto"/>
            </w:tcBorders>
            <w:shd w:val="clear" w:color="auto" w:fill="BDD6EE" w:themeFill="accent1" w:themeFillTint="66"/>
          </w:tcPr>
          <w:p w14:paraId="27D690B6"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rsidRPr="00CC4C89" w14:paraId="5DB0D7CF" w14:textId="77777777" w:rsidTr="009D6B1A">
        <w:tc>
          <w:tcPr>
            <w:tcW w:w="9889" w:type="dxa"/>
            <w:shd w:val="clear" w:color="auto" w:fill="DEEAF6" w:themeFill="accent1" w:themeFillTint="33"/>
          </w:tcPr>
          <w:p w14:paraId="08CA8DDC" w14:textId="2DFE3D76"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Significant positive impact</w:t>
            </w:r>
            <w:r w:rsidRPr="00B77326">
              <w:rPr>
                <w:rFonts w:ascii="Verdana" w:hAnsi="Verdana" w:cs="Times New Roman"/>
                <w:noProof/>
                <w:sz w:val="16"/>
                <w:szCs w:val="16"/>
              </w:rPr>
              <w:t xml:space="preserve"> to the security of the European citizens and societies. The obligation to use </w:t>
            </w:r>
            <w:r w:rsidR="00AE0AA2">
              <w:rPr>
                <w:rFonts w:ascii="Verdana" w:hAnsi="Verdana" w:cs="Times New Roman"/>
                <w:noProof/>
                <w:sz w:val="16"/>
                <w:szCs w:val="16"/>
              </w:rPr>
              <w:t>use SIENA as the preferred communication channel</w:t>
            </w:r>
            <w:r w:rsidRPr="00B77326">
              <w:rPr>
                <w:rFonts w:ascii="Verdana" w:hAnsi="Verdana" w:cs="Times New Roman"/>
                <w:noProof/>
                <w:sz w:val="16"/>
                <w:szCs w:val="16"/>
              </w:rPr>
              <w:t xml:space="preserve"> while putting Europol in copy when this concerns its mandate would </w:t>
            </w:r>
            <w:r w:rsidRPr="00B77326">
              <w:rPr>
                <w:rFonts w:ascii="Verdana" w:hAnsi="Verdana" w:cs="Times New Roman"/>
                <w:b/>
                <w:noProof/>
                <w:sz w:val="16"/>
                <w:szCs w:val="16"/>
              </w:rPr>
              <w:t xml:space="preserve">significantly </w:t>
            </w:r>
            <w:r w:rsidRPr="00B77326">
              <w:rPr>
                <w:rFonts w:ascii="Verdana" w:hAnsi="Verdana" w:cs="Times New Roman"/>
                <w:noProof/>
                <w:sz w:val="16"/>
                <w:szCs w:val="16"/>
              </w:rPr>
              <w:t>support Member States to more effectively counter any forms of</w:t>
            </w:r>
            <w:r w:rsidR="00954B41">
              <w:rPr>
                <w:rFonts w:ascii="Verdana" w:hAnsi="Verdana" w:cs="Times New Roman"/>
                <w:noProof/>
                <w:sz w:val="16"/>
                <w:szCs w:val="16"/>
              </w:rPr>
              <w:t xml:space="preserve"> criminal offences</w:t>
            </w:r>
            <w:r w:rsidRPr="00B77326">
              <w:rPr>
                <w:rFonts w:ascii="Verdana" w:hAnsi="Verdana" w:cs="Times New Roman"/>
                <w:noProof/>
                <w:sz w:val="16"/>
                <w:szCs w:val="16"/>
              </w:rPr>
              <w:t>.</w:t>
            </w:r>
            <w:r w:rsidR="005B382A">
              <w:rPr>
                <w:rFonts w:ascii="Verdana" w:hAnsi="Verdana" w:cs="Times New Roman"/>
                <w:noProof/>
                <w:sz w:val="16"/>
                <w:szCs w:val="16"/>
              </w:rPr>
              <w:t xml:space="preserve"> </w:t>
            </w:r>
          </w:p>
        </w:tc>
      </w:tr>
      <w:tr w:rsidR="00C76702" w:rsidRPr="00CC4C89" w14:paraId="063BB155" w14:textId="77777777" w:rsidTr="009D6B1A">
        <w:tc>
          <w:tcPr>
            <w:tcW w:w="9889" w:type="dxa"/>
            <w:tcBorders>
              <w:bottom w:val="single" w:sz="4" w:space="0" w:color="auto"/>
            </w:tcBorders>
            <w:shd w:val="clear" w:color="auto" w:fill="BDD6EE" w:themeFill="accent1" w:themeFillTint="66"/>
          </w:tcPr>
          <w:p w14:paraId="64540474"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rsidRPr="006715DD" w14:paraId="22126728" w14:textId="77777777" w:rsidTr="009D6B1A">
        <w:tc>
          <w:tcPr>
            <w:tcW w:w="9889" w:type="dxa"/>
            <w:shd w:val="clear" w:color="auto" w:fill="DEEAF6" w:themeFill="accent1" w:themeFillTint="33"/>
          </w:tcPr>
          <w:p w14:paraId="3B0EBF87"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Significant positive impact</w:t>
            </w:r>
            <w:r w:rsidRPr="00B77326">
              <w:rPr>
                <w:rFonts w:ascii="Verdana" w:hAnsi="Verdana" w:cs="Times New Roman"/>
                <w:noProof/>
                <w:sz w:val="16"/>
                <w:szCs w:val="16"/>
              </w:rPr>
              <w:t xml:space="preserve"> on national authorities, which could </w:t>
            </w:r>
            <w:r w:rsidRPr="00B77326">
              <w:rPr>
                <w:rFonts w:ascii="Verdana" w:hAnsi="Verdana" w:cs="Times New Roman"/>
                <w:b/>
                <w:noProof/>
                <w:sz w:val="16"/>
                <w:szCs w:val="16"/>
              </w:rPr>
              <w:t>significantly</w:t>
            </w:r>
            <w:r w:rsidRPr="00B77326">
              <w:rPr>
                <w:rFonts w:ascii="Verdana" w:hAnsi="Verdana" w:cs="Times New Roman"/>
                <w:noProof/>
                <w:sz w:val="16"/>
                <w:szCs w:val="16"/>
              </w:rPr>
              <w:t xml:space="preserve"> contribute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to efficiently combat</w:t>
            </w:r>
            <w:r w:rsidR="00954B41">
              <w:rPr>
                <w:rFonts w:ascii="Verdana" w:hAnsi="Verdana" w:cs="Times New Roman"/>
                <w:noProof/>
                <w:sz w:val="16"/>
                <w:szCs w:val="16"/>
              </w:rPr>
              <w:t xml:space="preserve"> criminal offences</w:t>
            </w:r>
            <w:r w:rsidRPr="00B77326">
              <w:rPr>
                <w:rFonts w:ascii="Verdana" w:hAnsi="Verdana" w:cs="Times New Roman"/>
                <w:noProof/>
                <w:sz w:val="16"/>
                <w:szCs w:val="16"/>
              </w:rPr>
              <w:t xml:space="preserve">, because of the obligation to use communication </w:t>
            </w:r>
            <w:r w:rsidR="007A02A7">
              <w:rPr>
                <w:rFonts w:ascii="Verdana" w:hAnsi="Verdana" w:cs="Times New Roman"/>
                <w:noProof/>
                <w:sz w:val="16"/>
                <w:szCs w:val="16"/>
              </w:rPr>
              <w:t xml:space="preserve">channels </w:t>
            </w:r>
            <w:r w:rsidRPr="00B77326">
              <w:rPr>
                <w:rFonts w:ascii="Verdana" w:hAnsi="Verdana" w:cs="Times New Roman"/>
                <w:noProof/>
                <w:sz w:val="16"/>
                <w:szCs w:val="16"/>
              </w:rPr>
              <w:t>for the same purpose while putting Europol in copy when this concerns its mandate.</w:t>
            </w:r>
          </w:p>
          <w:p w14:paraId="3FD679FB"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would</w:t>
            </w:r>
            <w:r w:rsidRPr="007A02A7">
              <w:rPr>
                <w:rFonts w:ascii="Verdana" w:hAnsi="Verdana" w:cs="Times New Roman"/>
                <w:b/>
                <w:noProof/>
                <w:sz w:val="16"/>
                <w:szCs w:val="16"/>
              </w:rPr>
              <w:t xml:space="preserve"> </w:t>
            </w:r>
            <w:r w:rsidR="007A02A7" w:rsidRPr="007A02A7">
              <w:rPr>
                <w:rFonts w:ascii="Verdana" w:hAnsi="Verdana" w:cs="Times New Roman"/>
                <w:b/>
                <w:noProof/>
                <w:sz w:val="16"/>
                <w:szCs w:val="16"/>
              </w:rPr>
              <w:t>significantly</w:t>
            </w:r>
            <w:r w:rsidR="007A02A7">
              <w:rPr>
                <w:rFonts w:ascii="Verdana" w:hAnsi="Verdana" w:cs="Times New Roman"/>
                <w:noProof/>
                <w:sz w:val="16"/>
                <w:szCs w:val="16"/>
              </w:rPr>
              <w:t xml:space="preserve"> </w:t>
            </w:r>
            <w:r w:rsidRPr="00B77326">
              <w:rPr>
                <w:rFonts w:ascii="Verdana" w:hAnsi="Verdana" w:cs="Times New Roman"/>
                <w:noProof/>
                <w:sz w:val="16"/>
                <w:szCs w:val="16"/>
              </w:rPr>
              <w:t>address the issue of duplication of requests throug</w:t>
            </w:r>
            <w:r>
              <w:rPr>
                <w:rFonts w:ascii="Verdana" w:hAnsi="Verdana" w:cs="Times New Roman"/>
                <w:noProof/>
                <w:sz w:val="16"/>
                <w:szCs w:val="16"/>
              </w:rPr>
              <w:t>h several communication channel, thereby saving offciers' valuable time.</w:t>
            </w:r>
          </w:p>
        </w:tc>
      </w:tr>
      <w:tr w:rsidR="00C76702" w:rsidRPr="00CC4C89" w14:paraId="66A4E8B1" w14:textId="77777777" w:rsidTr="009D6B1A">
        <w:tc>
          <w:tcPr>
            <w:tcW w:w="9889" w:type="dxa"/>
            <w:tcBorders>
              <w:bottom w:val="single" w:sz="4" w:space="0" w:color="auto"/>
            </w:tcBorders>
            <w:shd w:val="clear" w:color="auto" w:fill="BDD6EE" w:themeFill="accent1" w:themeFillTint="66"/>
          </w:tcPr>
          <w:p w14:paraId="370C1C42"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rsidRPr="00113989" w14:paraId="7FDB61A3" w14:textId="77777777" w:rsidTr="009D6B1A">
        <w:tc>
          <w:tcPr>
            <w:tcW w:w="9889" w:type="dxa"/>
            <w:shd w:val="clear" w:color="auto" w:fill="DEEAF6" w:themeFill="accent1" w:themeFillTint="33"/>
          </w:tcPr>
          <w:p w14:paraId="5F7FAA89" w14:textId="7E8B1C1E"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 obligation to </w:t>
            </w:r>
            <w:r w:rsidR="00AE0AA2">
              <w:rPr>
                <w:rFonts w:ascii="Verdana" w:hAnsi="Verdana" w:cs="Times New Roman"/>
                <w:noProof/>
                <w:sz w:val="16"/>
                <w:szCs w:val="16"/>
              </w:rPr>
              <w:t xml:space="preserve">use </w:t>
            </w:r>
            <w:r w:rsidR="00197AE1" w:rsidRPr="00380EEA">
              <w:rPr>
                <w:rFonts w:ascii="Verdana" w:hAnsi="Verdana" w:cs="Times New Roman"/>
                <w:noProof/>
                <w:sz w:val="16"/>
                <w:szCs w:val="16"/>
              </w:rPr>
              <w:t xml:space="preserve">SIENA </w:t>
            </w:r>
            <w:r w:rsidR="00AE0AA2">
              <w:rPr>
                <w:rFonts w:ascii="Verdana" w:hAnsi="Verdana" w:cs="Times New Roman"/>
                <w:noProof/>
                <w:sz w:val="16"/>
                <w:szCs w:val="16"/>
              </w:rPr>
              <w:t xml:space="preserve">as </w:t>
            </w:r>
            <w:r w:rsidR="00197AE1" w:rsidRPr="00380EEA">
              <w:rPr>
                <w:rFonts w:ascii="Verdana" w:hAnsi="Verdana" w:cs="Times New Roman"/>
                <w:noProof/>
                <w:sz w:val="16"/>
                <w:szCs w:val="16"/>
              </w:rPr>
              <w:t xml:space="preserve">the preferred communication channel </w:t>
            </w:r>
            <w:r w:rsidRPr="00B77326">
              <w:rPr>
                <w:rFonts w:ascii="Verdana" w:hAnsi="Verdana" w:cs="Times New Roman"/>
                <w:noProof/>
                <w:sz w:val="16"/>
                <w:szCs w:val="16"/>
              </w:rPr>
              <w:t xml:space="preserve">while putting Europol in copy when this concerns its mandate would </w:t>
            </w:r>
            <w:r w:rsidRPr="00B77326">
              <w:rPr>
                <w:rFonts w:ascii="Verdana" w:hAnsi="Verdana" w:cs="Times New Roman"/>
                <w:b/>
                <w:noProof/>
                <w:sz w:val="16"/>
                <w:szCs w:val="16"/>
              </w:rPr>
              <w:t>significantly</w:t>
            </w:r>
            <w:r w:rsidRPr="00B77326">
              <w:rPr>
                <w:rFonts w:ascii="Verdana" w:hAnsi="Verdana" w:cs="Times New Roman"/>
                <w:noProof/>
                <w:sz w:val="16"/>
                <w:szCs w:val="16"/>
              </w:rPr>
              <w:t xml:space="preserve"> contribute to increase the quality and quantity of information shared with Europol via SIENA.</w:t>
            </w:r>
            <w:r w:rsidR="00230EEE">
              <w:rPr>
                <w:rFonts w:ascii="Verdana" w:hAnsi="Verdana" w:cs="Times New Roman"/>
                <w:noProof/>
                <w:sz w:val="16"/>
                <w:szCs w:val="16"/>
              </w:rPr>
              <w:t xml:space="preserve"> It would also improve the security of information as compared to ad hoc exchanges of information.</w:t>
            </w:r>
          </w:p>
          <w:p w14:paraId="3FBE3A9D"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would likely have a negative impact on Europol' workload.</w:t>
            </w:r>
          </w:p>
        </w:tc>
      </w:tr>
      <w:tr w:rsidR="00C76702" w:rsidRPr="002E63DD" w14:paraId="3ECDFBE6" w14:textId="77777777" w:rsidTr="009D6B1A">
        <w:tc>
          <w:tcPr>
            <w:tcW w:w="9889" w:type="dxa"/>
            <w:tcBorders>
              <w:bottom w:val="single" w:sz="4" w:space="0" w:color="auto"/>
            </w:tcBorders>
            <w:shd w:val="clear" w:color="auto" w:fill="BDD6EE" w:themeFill="accent1" w:themeFillTint="66"/>
          </w:tcPr>
          <w:p w14:paraId="1E3DAACB"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4. Impact on fundamental rights [++]</w:t>
            </w:r>
          </w:p>
        </w:tc>
      </w:tr>
      <w:tr w:rsidR="00C76702" w:rsidRPr="006715DD" w14:paraId="4C41B1F9" w14:textId="77777777" w:rsidTr="009D6B1A">
        <w:tc>
          <w:tcPr>
            <w:tcW w:w="9889" w:type="dxa"/>
            <w:shd w:val="clear" w:color="auto" w:fill="DEEAF6" w:themeFill="accent1" w:themeFillTint="33"/>
          </w:tcPr>
          <w:p w14:paraId="7F456B56" w14:textId="4EB9633E" w:rsidR="00C76702" w:rsidRDefault="00C76702" w:rsidP="007A02A7">
            <w:pPr>
              <w:pStyle w:val="Body"/>
              <w:numPr>
                <w:ilvl w:val="0"/>
                <w:numId w:val="29"/>
              </w:numPr>
              <w:spacing w:before="60" w:after="0"/>
              <w:ind w:left="714" w:hanging="357"/>
              <w:jc w:val="both"/>
              <w:rPr>
                <w:bCs/>
                <w:noProof/>
                <w:sz w:val="16"/>
                <w:szCs w:val="16"/>
              </w:rPr>
            </w:pPr>
            <w:r w:rsidRPr="00B77326">
              <w:rPr>
                <w:b/>
                <w:noProof/>
                <w:sz w:val="16"/>
                <w:szCs w:val="16"/>
              </w:rPr>
              <w:t>Significant positive impact</w:t>
            </w:r>
            <w:r w:rsidRPr="00B77326">
              <w:rPr>
                <w:noProof/>
                <w:sz w:val="16"/>
                <w:szCs w:val="16"/>
              </w:rPr>
              <w:t xml:space="preserve"> </w:t>
            </w:r>
            <w:r w:rsidRPr="00B77326">
              <w:rPr>
                <w:bCs/>
                <w:noProof/>
                <w:sz w:val="16"/>
                <w:szCs w:val="16"/>
              </w:rPr>
              <w:t xml:space="preserve">through </w:t>
            </w:r>
            <w:r w:rsidR="00E8515B">
              <w:rPr>
                <w:bCs/>
                <w:noProof/>
                <w:sz w:val="16"/>
                <w:szCs w:val="16"/>
              </w:rPr>
              <w:t xml:space="preserve">provisions </w:t>
            </w:r>
            <w:r w:rsidRPr="00B77326">
              <w:rPr>
                <w:bCs/>
                <w:noProof/>
                <w:sz w:val="16"/>
                <w:szCs w:val="16"/>
              </w:rPr>
              <w:t xml:space="preserve">aiming at improving the choice of the communication channel, thereby </w:t>
            </w:r>
            <w:r w:rsidR="007A02A7">
              <w:rPr>
                <w:bCs/>
                <w:noProof/>
                <w:sz w:val="16"/>
                <w:szCs w:val="16"/>
              </w:rPr>
              <w:t xml:space="preserve">reducing </w:t>
            </w:r>
            <w:r w:rsidRPr="00B77326">
              <w:rPr>
                <w:bCs/>
                <w:noProof/>
                <w:sz w:val="16"/>
                <w:szCs w:val="16"/>
              </w:rPr>
              <w:t>the duplication of requests across several communication channels</w:t>
            </w:r>
            <w:r w:rsidR="00C67C74">
              <w:rPr>
                <w:bCs/>
                <w:noProof/>
                <w:sz w:val="16"/>
                <w:szCs w:val="16"/>
              </w:rPr>
              <w:t xml:space="preserve"> (clarify existing guidelines in a (binding) legal proposal</w:t>
            </w:r>
            <w:r w:rsidR="000001C0">
              <w:rPr>
                <w:bCs/>
                <w:noProof/>
                <w:sz w:val="16"/>
                <w:szCs w:val="16"/>
              </w:rPr>
              <w:t>, notably making of SIENA the preferred channel of communication for intra-EU cooperation</w:t>
            </w:r>
            <w:r w:rsidR="00C67C74">
              <w:rPr>
                <w:bCs/>
                <w:noProof/>
                <w:sz w:val="16"/>
                <w:szCs w:val="16"/>
              </w:rPr>
              <w:t>)</w:t>
            </w:r>
            <w:r w:rsidRPr="00B77326">
              <w:rPr>
                <w:bCs/>
                <w:noProof/>
                <w:sz w:val="16"/>
                <w:szCs w:val="16"/>
              </w:rPr>
              <w:t>.</w:t>
            </w:r>
            <w:r w:rsidR="00230EEE">
              <w:rPr>
                <w:bCs/>
                <w:noProof/>
                <w:sz w:val="16"/>
                <w:szCs w:val="16"/>
              </w:rPr>
              <w:t xml:space="preserve"> It would also improve accountability as compared to ad hoc exchanges of data.</w:t>
            </w:r>
          </w:p>
          <w:p w14:paraId="2533B8B5" w14:textId="77777777" w:rsidR="00BD599F" w:rsidRPr="00B77326" w:rsidRDefault="00BD599F" w:rsidP="007A02A7">
            <w:pPr>
              <w:pStyle w:val="Body"/>
              <w:numPr>
                <w:ilvl w:val="0"/>
                <w:numId w:val="29"/>
              </w:numPr>
              <w:spacing w:before="60" w:after="60"/>
              <w:ind w:left="714" w:hanging="357"/>
              <w:jc w:val="both"/>
              <w:rPr>
                <w:bCs/>
                <w:noProof/>
                <w:sz w:val="16"/>
                <w:szCs w:val="16"/>
              </w:rPr>
            </w:pPr>
            <w:r w:rsidRPr="007217B2">
              <w:rPr>
                <w:noProof/>
                <w:sz w:val="16"/>
              </w:rPr>
              <w:t xml:space="preserve">The use of different information channels in addition to SIENA does not ensure as efficiently as possible law enforcement processes. Thus, citizens </w:t>
            </w:r>
            <w:r w:rsidR="00B76D03">
              <w:rPr>
                <w:noProof/>
                <w:sz w:val="16"/>
              </w:rPr>
              <w:t xml:space="preserve">may </w:t>
            </w:r>
            <w:r w:rsidRPr="007217B2">
              <w:rPr>
                <w:noProof/>
                <w:sz w:val="16"/>
              </w:rPr>
              <w:t>face undue processing time in case they are wrongfully subject to a criminal investigation.</w:t>
            </w:r>
            <w:r>
              <w:rPr>
                <w:noProof/>
                <w:sz w:val="16"/>
              </w:rPr>
              <w:t xml:space="preserve"> This option would partly address that.</w:t>
            </w:r>
            <w:r w:rsidR="00425D4F">
              <w:rPr>
                <w:noProof/>
                <w:sz w:val="16"/>
              </w:rPr>
              <w:t xml:space="preserve"> </w:t>
            </w:r>
            <w:r w:rsidR="00425D4F">
              <w:rPr>
                <w:noProof/>
                <w:sz w:val="16"/>
                <w:szCs w:val="16"/>
              </w:rPr>
              <w:t>Law enforcement authorities will remain free to consider what types of information should be made available for possible exchange.</w:t>
            </w:r>
            <w:r w:rsidR="00E8515B">
              <w:rPr>
                <w:noProof/>
                <w:sz w:val="16"/>
                <w:szCs w:val="16"/>
              </w:rPr>
              <w:t xml:space="preserve"> They would not have additional capabilities in data processing.</w:t>
            </w:r>
          </w:p>
        </w:tc>
      </w:tr>
      <w:tr w:rsidR="00C76702" w:rsidRPr="00475E9D" w14:paraId="5D94C75B" w14:textId="77777777" w:rsidTr="009D6B1A">
        <w:tc>
          <w:tcPr>
            <w:tcW w:w="9889" w:type="dxa"/>
            <w:tcBorders>
              <w:bottom w:val="single" w:sz="4" w:space="0" w:color="auto"/>
            </w:tcBorders>
            <w:shd w:val="clear" w:color="auto" w:fill="BDD6EE" w:themeFill="accent1" w:themeFillTint="66"/>
          </w:tcPr>
          <w:p w14:paraId="0F557C78"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 xml:space="preserve">5. Effectiveness in meeting the policy objectives [++] </w:t>
            </w:r>
          </w:p>
        </w:tc>
      </w:tr>
      <w:tr w:rsidR="00C76702" w:rsidRPr="00776868" w14:paraId="2F418E14" w14:textId="77777777" w:rsidTr="009D6B1A">
        <w:tc>
          <w:tcPr>
            <w:tcW w:w="9889" w:type="dxa"/>
            <w:shd w:val="clear" w:color="auto" w:fill="DEEAF6" w:themeFill="accent1" w:themeFillTint="33"/>
          </w:tcPr>
          <w:p w14:paraId="2FB0DE01" w14:textId="77777777" w:rsidR="00C76702" w:rsidRPr="00A30A0C" w:rsidRDefault="00C76702" w:rsidP="00900BC7">
            <w:pPr>
              <w:pStyle w:val="Body"/>
              <w:widowControl w:val="0"/>
              <w:numPr>
                <w:ilvl w:val="0"/>
                <w:numId w:val="30"/>
              </w:numPr>
              <w:adjustRightInd w:val="0"/>
              <w:spacing w:before="60" w:after="60"/>
              <w:ind w:left="714" w:hanging="357"/>
              <w:jc w:val="both"/>
              <w:textAlignment w:val="baseline"/>
              <w:rPr>
                <w:noProof/>
                <w:sz w:val="16"/>
                <w:szCs w:val="16"/>
              </w:rPr>
            </w:pPr>
            <w:r w:rsidRPr="00B77326">
              <w:rPr>
                <w:noProof/>
                <w:sz w:val="16"/>
                <w:szCs w:val="16"/>
              </w:rPr>
              <w:t xml:space="preserve">This policy option would </w:t>
            </w:r>
            <w:r w:rsidR="007A02A7" w:rsidRPr="007A02A7">
              <w:rPr>
                <w:b/>
                <w:noProof/>
                <w:sz w:val="16"/>
                <w:szCs w:val="16"/>
              </w:rPr>
              <w:t>partly</w:t>
            </w:r>
            <w:r w:rsidR="007A02A7">
              <w:rPr>
                <w:noProof/>
                <w:sz w:val="16"/>
                <w:szCs w:val="16"/>
              </w:rPr>
              <w:t xml:space="preserve"> </w:t>
            </w:r>
            <w:r w:rsidRPr="00B77326">
              <w:rPr>
                <w:noProof/>
                <w:sz w:val="16"/>
                <w:szCs w:val="16"/>
              </w:rPr>
              <w:t xml:space="preserve">address the objective of setting up a default communication channel for law enforcement exchange between Member States. </w:t>
            </w:r>
            <w:r w:rsidRPr="00A30A0C">
              <w:rPr>
                <w:noProof/>
                <w:sz w:val="16"/>
                <w:szCs w:val="16"/>
              </w:rPr>
              <w:t xml:space="preserve"> </w:t>
            </w:r>
          </w:p>
        </w:tc>
      </w:tr>
      <w:tr w:rsidR="00C76702" w:rsidRPr="00475E9D" w14:paraId="384F3EE9" w14:textId="77777777" w:rsidTr="009D6B1A">
        <w:tc>
          <w:tcPr>
            <w:tcW w:w="9889" w:type="dxa"/>
            <w:shd w:val="clear" w:color="auto" w:fill="BDD6EE" w:themeFill="accent1" w:themeFillTint="66"/>
          </w:tcPr>
          <w:p w14:paraId="00F45436" w14:textId="6BC4D58B" w:rsidR="00C76702" w:rsidRPr="00B77326" w:rsidRDefault="00C76702" w:rsidP="00EB7963">
            <w:pPr>
              <w:spacing w:before="60" w:after="60"/>
              <w:rPr>
                <w:rFonts w:ascii="Verdana" w:hAnsi="Verdana" w:cs="Times New Roman"/>
                <w:noProof/>
                <w:sz w:val="16"/>
                <w:szCs w:val="16"/>
              </w:rPr>
            </w:pPr>
            <w:r w:rsidRPr="00B77326">
              <w:rPr>
                <w:rFonts w:ascii="Verdana" w:hAnsi="Verdana" w:cs="Times New Roman"/>
                <w:b/>
                <w:noProof/>
                <w:sz w:val="16"/>
                <w:szCs w:val="16"/>
              </w:rPr>
              <w:t>6. Efficiency in meeting the policy objectives [</w:t>
            </w:r>
            <w:r w:rsidR="00A04EF4">
              <w:rPr>
                <w:rFonts w:ascii="Verdana" w:hAnsi="Verdana" w:cs="Times New Roman"/>
                <w:b/>
                <w:noProof/>
                <w:sz w:val="16"/>
                <w:szCs w:val="16"/>
              </w:rPr>
              <w:t>++</w:t>
            </w:r>
            <w:r w:rsidRPr="00B77326">
              <w:rPr>
                <w:rFonts w:ascii="Verdana" w:hAnsi="Verdana" w:cs="Times New Roman"/>
                <w:b/>
                <w:noProof/>
                <w:sz w:val="16"/>
                <w:szCs w:val="16"/>
              </w:rPr>
              <w:t xml:space="preserve">] </w:t>
            </w:r>
          </w:p>
        </w:tc>
      </w:tr>
      <w:tr w:rsidR="00C76702" w:rsidRPr="00475E9D" w14:paraId="01461ADD" w14:textId="77777777" w:rsidTr="009D6B1A">
        <w:tc>
          <w:tcPr>
            <w:tcW w:w="9889" w:type="dxa"/>
            <w:shd w:val="clear" w:color="auto" w:fill="DEEAF6" w:themeFill="accent1" w:themeFillTint="33"/>
          </w:tcPr>
          <w:p w14:paraId="532D3953" w14:textId="77777777" w:rsidR="00C76702" w:rsidRPr="00A30A0C"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A30A0C">
              <w:rPr>
                <w:rFonts w:ascii="Verdana" w:hAnsi="Verdana" w:cs="Times New Roman"/>
                <w:noProof/>
                <w:sz w:val="16"/>
                <w:szCs w:val="16"/>
              </w:rPr>
              <w:t xml:space="preserve">As option </w:t>
            </w:r>
            <w:r w:rsidR="001C5034">
              <w:rPr>
                <w:rFonts w:ascii="Verdana" w:hAnsi="Verdana" w:cs="Times New Roman"/>
                <w:noProof/>
                <w:sz w:val="16"/>
                <w:szCs w:val="16"/>
              </w:rPr>
              <w:t>3.1</w:t>
            </w:r>
            <w:r w:rsidRPr="00A30A0C">
              <w:rPr>
                <w:rFonts w:ascii="Verdana" w:hAnsi="Verdana" w:cs="Times New Roman"/>
                <w:noProof/>
                <w:sz w:val="16"/>
                <w:szCs w:val="16"/>
              </w:rPr>
              <w:t xml:space="preserve"> + option </w:t>
            </w:r>
            <w:r w:rsidR="001C5034">
              <w:rPr>
                <w:rFonts w:ascii="Verdana" w:hAnsi="Verdana" w:cs="Times New Roman"/>
                <w:noProof/>
                <w:sz w:val="16"/>
                <w:szCs w:val="16"/>
              </w:rPr>
              <w:t>3.2</w:t>
            </w:r>
            <w:r w:rsidRPr="00A30A0C">
              <w:rPr>
                <w:rFonts w:ascii="Verdana" w:hAnsi="Verdana" w:cs="Times New Roman"/>
                <w:noProof/>
                <w:sz w:val="16"/>
                <w:szCs w:val="16"/>
              </w:rPr>
              <w:t xml:space="preserve"> which </w:t>
            </w:r>
            <w:r>
              <w:rPr>
                <w:rFonts w:ascii="Verdana" w:hAnsi="Verdana" w:cs="Times New Roman"/>
                <w:noProof/>
                <w:sz w:val="16"/>
                <w:szCs w:val="16"/>
              </w:rPr>
              <w:t>w</w:t>
            </w:r>
            <w:r w:rsidRPr="00A30A0C">
              <w:rPr>
                <w:rFonts w:ascii="Verdana" w:hAnsi="Verdana" w:cs="Times New Roman"/>
                <w:noProof/>
                <w:sz w:val="16"/>
                <w:szCs w:val="16"/>
              </w:rPr>
              <w:t>ould</w:t>
            </w:r>
            <w:r w:rsidRPr="00A30A0C">
              <w:rPr>
                <w:rFonts w:ascii="Verdana" w:hAnsi="Verdana" w:cs="Times New Roman"/>
                <w:b/>
                <w:noProof/>
                <w:sz w:val="16"/>
                <w:szCs w:val="16"/>
              </w:rPr>
              <w:t xml:space="preserve"> </w:t>
            </w:r>
            <w:r w:rsidRPr="00A30A0C">
              <w:rPr>
                <w:rFonts w:ascii="Verdana" w:hAnsi="Verdana" w:cs="Times New Roman"/>
                <w:noProof/>
                <w:sz w:val="16"/>
                <w:szCs w:val="16"/>
              </w:rPr>
              <w:t>generate</w:t>
            </w:r>
            <w:r w:rsidRPr="00A30A0C">
              <w:rPr>
                <w:rFonts w:ascii="Verdana" w:hAnsi="Verdana" w:cs="Times New Roman"/>
                <w:b/>
                <w:noProof/>
                <w:sz w:val="16"/>
                <w:szCs w:val="16"/>
              </w:rPr>
              <w:t xml:space="preserve"> cost </w:t>
            </w:r>
            <w:r w:rsidRPr="00A30A0C">
              <w:rPr>
                <w:rFonts w:ascii="Verdana" w:hAnsi="Verdana" w:cs="Times New Roman"/>
                <w:noProof/>
                <w:sz w:val="16"/>
                <w:szCs w:val="16"/>
              </w:rPr>
              <w:t>for a number of</w:t>
            </w:r>
            <w:r w:rsidRPr="00A30A0C">
              <w:rPr>
                <w:rFonts w:ascii="Verdana" w:hAnsi="Verdana" w:cs="Times New Roman"/>
                <w:b/>
                <w:noProof/>
                <w:sz w:val="16"/>
                <w:szCs w:val="16"/>
              </w:rPr>
              <w:t xml:space="preserve"> Member States. </w:t>
            </w:r>
          </w:p>
          <w:p w14:paraId="08FD11CD" w14:textId="77777777" w:rsidR="00C76702" w:rsidRPr="00A30A0C"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A30A0C">
              <w:rPr>
                <w:rFonts w:ascii="Verdana" w:hAnsi="Verdana" w:cs="Times New Roman"/>
                <w:noProof/>
                <w:sz w:val="16"/>
                <w:szCs w:val="16"/>
              </w:rPr>
              <w:t>These costs would vary significantly depending on the effectiveness and efficiency of the SIENA access at national level. This would essentially cover possible IT upgrades.</w:t>
            </w:r>
          </w:p>
          <w:p w14:paraId="6FA0A77B" w14:textId="59AC0EA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At the same time, under this policy option, Europol could more efficiently support Member States in preventing and combatting </w:t>
            </w:r>
            <w:r w:rsidR="00954B41">
              <w:rPr>
                <w:rFonts w:ascii="Verdana" w:hAnsi="Verdana" w:cs="Times New Roman"/>
                <w:noProof/>
                <w:sz w:val="16"/>
                <w:szCs w:val="16"/>
              </w:rPr>
              <w:t>criminal offences</w:t>
            </w:r>
            <w:r w:rsidRPr="00B77326">
              <w:rPr>
                <w:rFonts w:ascii="Verdana" w:hAnsi="Verdana" w:cs="Times New Roman"/>
                <w:noProof/>
                <w:sz w:val="16"/>
                <w:szCs w:val="16"/>
              </w:rPr>
              <w:t>, because of the economies of scale of performing such tasks at EU level.</w:t>
            </w:r>
            <w:r w:rsidR="00A04EF4">
              <w:rPr>
                <w:rFonts w:ascii="Verdana" w:hAnsi="Verdana" w:cs="Times New Roman"/>
                <w:noProof/>
                <w:sz w:val="16"/>
                <w:szCs w:val="16"/>
              </w:rPr>
              <w:t xml:space="preserve"> They don't outweight benefits.</w:t>
            </w:r>
          </w:p>
        </w:tc>
      </w:tr>
      <w:tr w:rsidR="00C76702" w:rsidRPr="00475E9D" w14:paraId="6FEBD7AE" w14:textId="77777777" w:rsidTr="009D6B1A">
        <w:tc>
          <w:tcPr>
            <w:tcW w:w="9889" w:type="dxa"/>
            <w:tcBorders>
              <w:bottom w:val="single" w:sz="4" w:space="0" w:color="auto"/>
            </w:tcBorders>
            <w:shd w:val="clear" w:color="auto" w:fill="BDD6EE" w:themeFill="accent1" w:themeFillTint="66"/>
          </w:tcPr>
          <w:p w14:paraId="79814974" w14:textId="77777777" w:rsidR="00C76702" w:rsidRPr="00B77326" w:rsidRDefault="00C76702" w:rsidP="005101C8">
            <w:pPr>
              <w:spacing w:before="60" w:after="60"/>
              <w:rPr>
                <w:rFonts w:ascii="Verdana" w:hAnsi="Verdana" w:cs="Times New Roman"/>
                <w:b/>
                <w:noProof/>
                <w:sz w:val="16"/>
                <w:szCs w:val="16"/>
              </w:rPr>
            </w:pPr>
            <w:r w:rsidRPr="00B77326">
              <w:rPr>
                <w:rFonts w:ascii="Verdana" w:hAnsi="Verdana" w:cs="Times New Roman"/>
                <w:b/>
                <w:noProof/>
                <w:sz w:val="16"/>
                <w:szCs w:val="16"/>
              </w:rPr>
              <w:t>7. Legal feasibility [++]</w:t>
            </w:r>
          </w:p>
        </w:tc>
      </w:tr>
      <w:tr w:rsidR="00C76702" w:rsidRPr="00475E9D" w14:paraId="2CBF61FB" w14:textId="77777777" w:rsidTr="009D6B1A">
        <w:tc>
          <w:tcPr>
            <w:tcW w:w="9889" w:type="dxa"/>
            <w:shd w:val="clear" w:color="auto" w:fill="DEEAF6" w:themeFill="accent1" w:themeFillTint="33"/>
          </w:tcPr>
          <w:p w14:paraId="45BE3335" w14:textId="77777777" w:rsidR="00C76702" w:rsidRPr="007217B2" w:rsidRDefault="00C76702" w:rsidP="000B505F">
            <w:pPr>
              <w:pStyle w:val="ListParagraph"/>
              <w:widowControl w:val="0"/>
              <w:numPr>
                <w:ilvl w:val="0"/>
                <w:numId w:val="86"/>
              </w:numPr>
              <w:adjustRightInd w:val="0"/>
              <w:spacing w:before="60" w:after="60" w:line="240" w:lineRule="auto"/>
              <w:ind w:left="714" w:hanging="357"/>
              <w:jc w:val="both"/>
              <w:textAlignment w:val="baseline"/>
              <w:rPr>
                <w:rFonts w:ascii="Verdana" w:hAnsi="Verdana" w:cs="Times New Roman"/>
                <w:noProof/>
                <w:sz w:val="16"/>
                <w:szCs w:val="16"/>
              </w:rPr>
            </w:pPr>
            <w:r w:rsidRPr="007217B2">
              <w:rPr>
                <w:rFonts w:ascii="Verdana" w:hAnsi="Verdana" w:cs="Times New Roman"/>
                <w:noProof/>
                <w:sz w:val="16"/>
                <w:szCs w:val="16"/>
              </w:rPr>
              <w:t>This policy option would require legal changes.</w:t>
            </w:r>
            <w:r w:rsidR="00443017">
              <w:rPr>
                <w:rFonts w:ascii="Verdana" w:hAnsi="Verdana" w:cs="Times New Roman"/>
                <w:noProof/>
                <w:sz w:val="16"/>
                <w:szCs w:val="16"/>
              </w:rPr>
              <w:t xml:space="preserve"> They would e</w:t>
            </w:r>
            <w:r w:rsidR="00443017" w:rsidRPr="00B5430F">
              <w:rPr>
                <w:rFonts w:ascii="Verdana" w:hAnsi="Verdana"/>
                <w:noProof/>
                <w:sz w:val="16"/>
              </w:rPr>
              <w:t>nsure the</w:t>
            </w:r>
            <w:r w:rsidR="00443017" w:rsidRPr="00B5430F">
              <w:rPr>
                <w:noProof/>
                <w:sz w:val="16"/>
              </w:rPr>
              <w:t xml:space="preserve"> </w:t>
            </w:r>
            <w:r w:rsidR="00443017" w:rsidRPr="00B5430F">
              <w:rPr>
                <w:rFonts w:ascii="Verdana" w:hAnsi="Verdana"/>
                <w:noProof/>
                <w:sz w:val="16"/>
              </w:rPr>
              <w:t>respect</w:t>
            </w:r>
            <w:r w:rsidR="00443017">
              <w:rPr>
                <w:rFonts w:ascii="Verdana" w:hAnsi="Verdana"/>
                <w:noProof/>
                <w:sz w:val="16"/>
              </w:rPr>
              <w:t xml:space="preserve"> of the </w:t>
            </w:r>
            <w:r w:rsidR="00443017" w:rsidRPr="00B5430F">
              <w:rPr>
                <w:rFonts w:ascii="Verdana" w:hAnsi="Verdana"/>
                <w:noProof/>
                <w:sz w:val="16"/>
              </w:rPr>
              <w:t>conferral</w:t>
            </w:r>
            <w:r w:rsidR="00443017">
              <w:rPr>
                <w:rFonts w:ascii="Verdana" w:hAnsi="Verdana"/>
                <w:noProof/>
                <w:sz w:val="16"/>
              </w:rPr>
              <w:t xml:space="preserve"> of powers </w:t>
            </w:r>
            <w:r w:rsidR="00443017" w:rsidRPr="00B5430F">
              <w:rPr>
                <w:rFonts w:ascii="Verdana" w:hAnsi="Verdana"/>
                <w:noProof/>
                <w:sz w:val="16"/>
              </w:rPr>
              <w:t xml:space="preserve">and </w:t>
            </w:r>
            <w:r w:rsidR="00443017">
              <w:rPr>
                <w:rFonts w:ascii="Verdana" w:hAnsi="Verdana"/>
                <w:noProof/>
                <w:sz w:val="16"/>
              </w:rPr>
              <w:t xml:space="preserve">of </w:t>
            </w:r>
            <w:r w:rsidR="00443017" w:rsidRPr="00B5430F">
              <w:rPr>
                <w:rFonts w:ascii="Verdana" w:hAnsi="Verdana"/>
                <w:noProof/>
                <w:sz w:val="16"/>
              </w:rPr>
              <w:t>fundamental rights</w:t>
            </w:r>
            <w:r w:rsidR="00443017">
              <w:rPr>
                <w:rFonts w:ascii="Verdana" w:hAnsi="Verdana"/>
                <w:noProof/>
                <w:sz w:val="16"/>
              </w:rPr>
              <w:t>.</w:t>
            </w:r>
          </w:p>
        </w:tc>
      </w:tr>
      <w:tr w:rsidR="005101C8" w:rsidRPr="00475E9D" w14:paraId="41DF6A8A" w14:textId="77777777" w:rsidTr="005B382A">
        <w:tc>
          <w:tcPr>
            <w:tcW w:w="9889" w:type="dxa"/>
            <w:shd w:val="clear" w:color="auto" w:fill="BDD6EE" w:themeFill="accent1" w:themeFillTint="66"/>
          </w:tcPr>
          <w:p w14:paraId="451E98F9" w14:textId="77777777" w:rsidR="005101C8" w:rsidRPr="007217B2" w:rsidRDefault="005101C8" w:rsidP="007217B2">
            <w:pPr>
              <w:widowControl w:val="0"/>
              <w:adjustRightInd w:val="0"/>
              <w:spacing w:before="60" w:after="60" w:line="240" w:lineRule="auto"/>
              <w:jc w:val="both"/>
              <w:textAlignment w:val="baseline"/>
              <w:rPr>
                <w:rFonts w:ascii="Verdana" w:hAnsi="Verdana" w:cs="Times New Roman"/>
                <w:noProof/>
                <w:sz w:val="16"/>
                <w:szCs w:val="16"/>
              </w:rPr>
            </w:pPr>
            <w:r>
              <w:rPr>
                <w:rFonts w:ascii="Verdana" w:hAnsi="Verdana" w:cs="Times New Roman"/>
                <w:b/>
                <w:noProof/>
                <w:sz w:val="16"/>
                <w:szCs w:val="16"/>
              </w:rPr>
              <w:t xml:space="preserve">8. </w:t>
            </w:r>
            <w:r w:rsidRPr="00B77326">
              <w:rPr>
                <w:rFonts w:ascii="Verdana" w:hAnsi="Verdana" w:cs="Times New Roman"/>
                <w:b/>
                <w:noProof/>
                <w:sz w:val="16"/>
                <w:szCs w:val="16"/>
              </w:rPr>
              <w:t>technical feasibility</w:t>
            </w:r>
            <w:r>
              <w:rPr>
                <w:rFonts w:ascii="Verdana" w:hAnsi="Verdana" w:cs="Times New Roman"/>
                <w:b/>
                <w:noProof/>
                <w:sz w:val="16"/>
                <w:szCs w:val="16"/>
              </w:rPr>
              <w:t xml:space="preserve"> [++]</w:t>
            </w:r>
          </w:p>
        </w:tc>
      </w:tr>
      <w:tr w:rsidR="005101C8" w:rsidRPr="00475E9D" w14:paraId="23C3FD64" w14:textId="77777777" w:rsidTr="009D6B1A">
        <w:tc>
          <w:tcPr>
            <w:tcW w:w="9889" w:type="dxa"/>
            <w:shd w:val="clear" w:color="auto" w:fill="DEEAF6" w:themeFill="accent1" w:themeFillTint="33"/>
          </w:tcPr>
          <w:p w14:paraId="3307010E" w14:textId="77777777" w:rsidR="005101C8" w:rsidRPr="00B77326" w:rsidRDefault="005101C8"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Even though this policy option would be technically feasible, favouring the use of SIENA as channel of communication between Member States for offences falling within the Europol mandate would require the full roll-out of SIENA to all relevant end-users.</w:t>
            </w:r>
          </w:p>
          <w:p w14:paraId="2EC05685" w14:textId="77777777" w:rsidR="005101C8" w:rsidRPr="00B77326" w:rsidRDefault="007A02A7"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Pr>
                <w:rFonts w:ascii="Verdana" w:hAnsi="Verdana" w:cs="Times New Roman"/>
                <w:noProof/>
                <w:sz w:val="16"/>
                <w:szCs w:val="16"/>
              </w:rPr>
              <w:t>This would require</w:t>
            </w:r>
            <w:r w:rsidR="005101C8" w:rsidRPr="00B77326">
              <w:rPr>
                <w:rFonts w:ascii="Verdana" w:hAnsi="Verdana" w:cs="Times New Roman"/>
                <w:noProof/>
                <w:sz w:val="16"/>
                <w:szCs w:val="16"/>
              </w:rPr>
              <w:t xml:space="preserve"> significant technical and financial support.</w:t>
            </w:r>
          </w:p>
        </w:tc>
      </w:tr>
      <w:tr w:rsidR="00C76702" w:rsidRPr="00475E9D" w14:paraId="2AF75D3C" w14:textId="77777777" w:rsidTr="009117A9">
        <w:tc>
          <w:tcPr>
            <w:tcW w:w="9889" w:type="dxa"/>
            <w:tcBorders>
              <w:bottom w:val="nil"/>
            </w:tcBorders>
            <w:shd w:val="clear" w:color="auto" w:fill="BDD6EE" w:themeFill="accent1" w:themeFillTint="66"/>
          </w:tcPr>
          <w:p w14:paraId="74C0FEAE" w14:textId="12384814"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9</w:t>
            </w:r>
            <w:r w:rsidR="00C76702" w:rsidRPr="00B77326">
              <w:rPr>
                <w:rFonts w:ascii="Verdana" w:hAnsi="Verdana" w:cs="Times New Roman"/>
                <w:b/>
                <w:noProof/>
                <w:sz w:val="16"/>
                <w:szCs w:val="16"/>
              </w:rPr>
              <w:t xml:space="preserve">. Coherence with other measures [++] </w:t>
            </w:r>
          </w:p>
        </w:tc>
      </w:tr>
      <w:tr w:rsidR="00C76702" w:rsidRPr="00475E9D" w14:paraId="6F2FDB43" w14:textId="77777777" w:rsidTr="001052A8">
        <w:trPr>
          <w:trHeight w:val="567"/>
        </w:trPr>
        <w:tc>
          <w:tcPr>
            <w:tcW w:w="9889" w:type="dxa"/>
            <w:tcBorders>
              <w:top w:val="nil"/>
              <w:left w:val="single" w:sz="4" w:space="0" w:color="auto"/>
              <w:bottom w:val="single" w:sz="4" w:space="0" w:color="auto"/>
              <w:right w:val="single" w:sz="4" w:space="0" w:color="auto"/>
            </w:tcBorders>
            <w:shd w:val="clear" w:color="auto" w:fill="DEEAF6" w:themeFill="accent1" w:themeFillTint="33"/>
          </w:tcPr>
          <w:p w14:paraId="6EC0A2BB"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b/>
                <w:noProof/>
                <w:sz w:val="16"/>
                <w:szCs w:val="16"/>
              </w:rPr>
            </w:pPr>
            <w:r w:rsidRPr="00B77326">
              <w:rPr>
                <w:rFonts w:ascii="Verdana" w:hAnsi="Verdana" w:cs="Times New Roman"/>
                <w:noProof/>
                <w:sz w:val="16"/>
                <w:szCs w:val="16"/>
              </w:rPr>
              <w:t xml:space="preserve">This policy option would </w:t>
            </w:r>
            <w:r w:rsidRPr="00B77326">
              <w:rPr>
                <w:rFonts w:ascii="Verdana" w:hAnsi="Verdana" w:cs="Times New Roman"/>
                <w:b/>
                <w:noProof/>
                <w:sz w:val="16"/>
                <w:szCs w:val="16"/>
              </w:rPr>
              <w:t>significantly</w:t>
            </w:r>
            <w:r w:rsidRPr="00B77326">
              <w:rPr>
                <w:rFonts w:ascii="Verdana" w:hAnsi="Verdana" w:cs="Times New Roman"/>
                <w:noProof/>
                <w:sz w:val="16"/>
                <w:szCs w:val="16"/>
              </w:rPr>
              <w:t xml:space="preserve"> complement other Commission initiatives such as the Commission proposals for a new Schengen border code, for Prüm II and for Europol</w:t>
            </w:r>
            <w:r w:rsidR="00425D4F">
              <w:rPr>
                <w:rFonts w:ascii="Verdana" w:hAnsi="Verdana" w:cs="Times New Roman"/>
                <w:noProof/>
                <w:sz w:val="16"/>
                <w:szCs w:val="16"/>
              </w:rPr>
              <w:t xml:space="preserve"> (see Schengen Strategy)</w:t>
            </w:r>
            <w:r w:rsidRPr="00B77326">
              <w:rPr>
                <w:rFonts w:ascii="Verdana" w:hAnsi="Verdana" w:cs="Times New Roman"/>
                <w:noProof/>
                <w:sz w:val="16"/>
                <w:szCs w:val="16"/>
              </w:rPr>
              <w:t>.</w:t>
            </w:r>
          </w:p>
        </w:tc>
      </w:tr>
    </w:tbl>
    <w:p w14:paraId="19FB98F2" w14:textId="77777777" w:rsidR="00746A5D" w:rsidRDefault="00746A5D" w:rsidP="00174F9C">
      <w:pPr>
        <w:pStyle w:val="Text2"/>
        <w:shd w:val="clear" w:color="auto" w:fill="FFFFFF" w:themeFill="background1"/>
        <w:spacing w:after="0"/>
        <w:ind w:left="0"/>
        <w:rPr>
          <w:b/>
          <w:noProof/>
          <w:szCs w:val="24"/>
          <w:u w:val="single"/>
        </w:rPr>
      </w:pPr>
    </w:p>
    <w:p w14:paraId="64273C47" w14:textId="33C08BF2" w:rsidR="00C76702" w:rsidRPr="00990476" w:rsidRDefault="00C76702" w:rsidP="007217B2">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4C6E7" w:themeFill="accent5" w:themeFillTint="66"/>
        <w:spacing w:after="0"/>
        <w:ind w:left="0"/>
        <w:rPr>
          <w:b/>
          <w:noProof/>
          <w:szCs w:val="24"/>
        </w:rPr>
      </w:pPr>
      <w:r>
        <w:rPr>
          <w:b/>
          <w:noProof/>
          <w:szCs w:val="24"/>
          <w:u w:val="single"/>
        </w:rPr>
        <w:t xml:space="preserve">Policy option </w:t>
      </w:r>
      <w:r w:rsidR="001C5034">
        <w:rPr>
          <w:b/>
          <w:noProof/>
          <w:szCs w:val="24"/>
          <w:u w:val="single"/>
        </w:rPr>
        <w:t>3.3</w:t>
      </w:r>
      <w:r w:rsidRPr="00514E93">
        <w:rPr>
          <w:b/>
          <w:noProof/>
          <w:szCs w:val="24"/>
          <w:u w:val="single"/>
        </w:rPr>
        <w:t>:</w:t>
      </w:r>
      <w:r w:rsidRPr="00990476">
        <w:rPr>
          <w:b/>
          <w:noProof/>
          <w:szCs w:val="24"/>
        </w:rPr>
        <w:t xml:space="preserve"> </w:t>
      </w:r>
      <w:r w:rsidRPr="00A414D7">
        <w:rPr>
          <w:b/>
          <w:noProof/>
          <w:szCs w:val="24"/>
        </w:rPr>
        <w:t>obligation to use SIENA</w:t>
      </w:r>
      <w:r>
        <w:rPr>
          <w:b/>
          <w:noProof/>
          <w:szCs w:val="24"/>
        </w:rPr>
        <w:t xml:space="preserve"> by default for all bilateral information exchange</w:t>
      </w:r>
      <w:r>
        <w:rPr>
          <w:noProof/>
          <w:szCs w:val="24"/>
        </w:rPr>
        <w:t xml:space="preserve"> </w:t>
      </w:r>
      <w:r w:rsidRPr="00D13C6B">
        <w:rPr>
          <w:b/>
          <w:noProof/>
          <w:szCs w:val="24"/>
        </w:rPr>
        <w:t>(unless otherwise regulated by EU law) + obligation to put Europol in copy when in cases within Europol's mandate, both after the end of a</w:t>
      </w:r>
      <w:r>
        <w:rPr>
          <w:noProof/>
          <w:szCs w:val="24"/>
        </w:rPr>
        <w:t xml:space="preserve"> </w:t>
      </w:r>
      <w:r>
        <w:rPr>
          <w:b/>
          <w:noProof/>
          <w:szCs w:val="24"/>
        </w:rPr>
        <w:t>transition period and with Internal Security Fund support for the SIENA roll-out</w:t>
      </w:r>
      <w:r w:rsidR="00D81A3D">
        <w:rPr>
          <w:b/>
          <w:noProof/>
          <w:szCs w:val="24"/>
        </w:rPr>
        <w:t xml:space="preserve"> + </w:t>
      </w:r>
      <w:r w:rsidR="00A84246">
        <w:rPr>
          <w:b/>
          <w:noProof/>
          <w:szCs w:val="24"/>
        </w:rPr>
        <w:t>new f</w:t>
      </w:r>
      <w:r w:rsidR="00D81A3D" w:rsidRPr="00493270">
        <w:rPr>
          <w:b/>
          <w:noProof/>
          <w:szCs w:val="24"/>
        </w:rPr>
        <w:t>lanking soft measures (</w:t>
      </w:r>
      <w:r w:rsidR="00D81A3D">
        <w:rPr>
          <w:b/>
          <w:noProof/>
          <w:szCs w:val="24"/>
        </w:rPr>
        <w:t xml:space="preserve">as in </w:t>
      </w:r>
      <w:r w:rsidR="00D81A3D" w:rsidRPr="00493270">
        <w:rPr>
          <w:b/>
          <w:noProof/>
          <w:szCs w:val="24"/>
        </w:rPr>
        <w:t xml:space="preserve">option </w:t>
      </w:r>
      <w:r w:rsidR="00D81A3D">
        <w:rPr>
          <w:b/>
          <w:noProof/>
          <w:szCs w:val="24"/>
        </w:rPr>
        <w:t>3.1</w:t>
      </w:r>
      <w:r w:rsidR="00D81A3D" w:rsidRPr="00493270">
        <w:rPr>
          <w:b/>
          <w:noProof/>
          <w:szCs w:val="24"/>
        </w:rPr>
        <w:t>)</w:t>
      </w:r>
    </w:p>
    <w:p w14:paraId="50404AC1" w14:textId="77777777" w:rsidR="00C76702" w:rsidRPr="0032290C" w:rsidRDefault="00C76702" w:rsidP="00C76702">
      <w:pPr>
        <w:pStyle w:val="Text1"/>
        <w:spacing w:after="0"/>
        <w:ind w:left="0"/>
        <w:rPr>
          <w:b/>
          <w:noProof/>
          <w:sz w:val="16"/>
          <w:szCs w:val="16"/>
        </w:rPr>
      </w:pPr>
    </w:p>
    <w:tbl>
      <w:tblPr>
        <w:tblStyle w:val="TableGrid1"/>
        <w:tblW w:w="9889" w:type="dxa"/>
        <w:tblLook w:val="04A0" w:firstRow="1" w:lastRow="0" w:firstColumn="1" w:lastColumn="0" w:noHBand="0" w:noVBand="1"/>
      </w:tblPr>
      <w:tblGrid>
        <w:gridCol w:w="9889"/>
      </w:tblGrid>
      <w:tr w:rsidR="00C76702" w:rsidRPr="00CC4C89" w14:paraId="5EA92B6D" w14:textId="77777777" w:rsidTr="009D6B1A">
        <w:tc>
          <w:tcPr>
            <w:tcW w:w="9889" w:type="dxa"/>
            <w:tcBorders>
              <w:bottom w:val="single" w:sz="4" w:space="0" w:color="auto"/>
            </w:tcBorders>
            <w:shd w:val="clear" w:color="auto" w:fill="9CC2E5" w:themeFill="accent1" w:themeFillTint="99"/>
          </w:tcPr>
          <w:p w14:paraId="4D80BB95" w14:textId="77777777" w:rsidR="00C76702" w:rsidRPr="00B77326" w:rsidRDefault="00C76702" w:rsidP="001C5034">
            <w:pPr>
              <w:spacing w:before="60" w:after="60"/>
              <w:jc w:val="center"/>
              <w:rPr>
                <w:rFonts w:ascii="Verdana" w:hAnsi="Verdana" w:cs="Times New Roman"/>
                <w:b/>
                <w:noProof/>
                <w:sz w:val="16"/>
                <w:szCs w:val="16"/>
              </w:rPr>
            </w:pPr>
            <w:r w:rsidRPr="00B77326">
              <w:rPr>
                <w:rFonts w:ascii="Verdana" w:hAnsi="Verdana" w:cs="Times New Roman"/>
                <w:b/>
                <w:noProof/>
                <w:sz w:val="16"/>
                <w:szCs w:val="16"/>
              </w:rPr>
              <w:t xml:space="preserve">Expected impact of policy option </w:t>
            </w:r>
            <w:r w:rsidR="001C5034">
              <w:rPr>
                <w:rFonts w:ascii="Verdana" w:hAnsi="Verdana" w:cs="Times New Roman"/>
                <w:b/>
                <w:noProof/>
                <w:sz w:val="16"/>
                <w:szCs w:val="16"/>
              </w:rPr>
              <w:t>3.3</w:t>
            </w:r>
          </w:p>
        </w:tc>
      </w:tr>
      <w:tr w:rsidR="00C76702" w:rsidRPr="00CC4C89" w14:paraId="1B1D387E" w14:textId="77777777" w:rsidTr="009D6B1A">
        <w:tc>
          <w:tcPr>
            <w:tcW w:w="9889" w:type="dxa"/>
            <w:tcBorders>
              <w:bottom w:val="single" w:sz="4" w:space="0" w:color="auto"/>
            </w:tcBorders>
            <w:shd w:val="clear" w:color="auto" w:fill="BDD6EE" w:themeFill="accent1" w:themeFillTint="66"/>
          </w:tcPr>
          <w:p w14:paraId="1AF3EECF"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1. Impact on citizens and businesses [+++]</w:t>
            </w:r>
          </w:p>
        </w:tc>
      </w:tr>
      <w:tr w:rsidR="00C76702" w:rsidRPr="00CC4C89" w14:paraId="4D4F1B62" w14:textId="77777777" w:rsidTr="009D6B1A">
        <w:tc>
          <w:tcPr>
            <w:tcW w:w="9889" w:type="dxa"/>
            <w:shd w:val="clear" w:color="auto" w:fill="DEEAF6" w:themeFill="accent1" w:themeFillTint="33"/>
          </w:tcPr>
          <w:p w14:paraId="4B0D0394" w14:textId="77777777" w:rsidR="00C76702" w:rsidRPr="00704502" w:rsidRDefault="00C76702">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to the security of the European citizens and societies. The obligation to use SIENA while copying Europol for offences within its mandate would </w:t>
            </w:r>
            <w:r w:rsidRPr="00B77326">
              <w:rPr>
                <w:rFonts w:ascii="Verdana" w:hAnsi="Verdana" w:cs="Times New Roman"/>
                <w:b/>
                <w:noProof/>
                <w:sz w:val="16"/>
                <w:szCs w:val="16"/>
              </w:rPr>
              <w:t>highly</w:t>
            </w:r>
            <w:r w:rsidRPr="00B77326">
              <w:rPr>
                <w:rFonts w:ascii="Verdana" w:hAnsi="Verdana" w:cs="Times New Roman"/>
                <w:noProof/>
                <w:sz w:val="16"/>
                <w:szCs w:val="16"/>
              </w:rPr>
              <w:t xml:space="preserve"> support Member States to more effectively counter any forms of</w:t>
            </w:r>
            <w:r w:rsidR="00954B41">
              <w:rPr>
                <w:rFonts w:ascii="Verdana" w:hAnsi="Verdana" w:cs="Times New Roman"/>
                <w:noProof/>
                <w:sz w:val="16"/>
                <w:szCs w:val="16"/>
              </w:rPr>
              <w:t xml:space="preserve"> criminal offences</w:t>
            </w:r>
            <w:r w:rsidRPr="00B77326">
              <w:rPr>
                <w:rFonts w:ascii="Verdana" w:hAnsi="Verdana" w:cs="Times New Roman"/>
                <w:noProof/>
                <w:sz w:val="16"/>
                <w:szCs w:val="16"/>
              </w:rPr>
              <w:t>.</w:t>
            </w:r>
            <w:r w:rsidR="001052A8">
              <w:rPr>
                <w:rFonts w:ascii="Verdana" w:hAnsi="Verdana" w:cs="Times New Roman"/>
                <w:noProof/>
                <w:sz w:val="16"/>
                <w:szCs w:val="16"/>
              </w:rPr>
              <w:t xml:space="preserve"> </w:t>
            </w:r>
          </w:p>
        </w:tc>
      </w:tr>
      <w:tr w:rsidR="00C76702" w:rsidRPr="00CC4C89" w14:paraId="495D3A46" w14:textId="77777777" w:rsidTr="009D6B1A">
        <w:tc>
          <w:tcPr>
            <w:tcW w:w="9889" w:type="dxa"/>
            <w:tcBorders>
              <w:bottom w:val="single" w:sz="4" w:space="0" w:color="auto"/>
            </w:tcBorders>
            <w:shd w:val="clear" w:color="auto" w:fill="BDD6EE" w:themeFill="accent1" w:themeFillTint="66"/>
          </w:tcPr>
          <w:p w14:paraId="6EDA578A"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2. Impact on national authorities [+++]</w:t>
            </w:r>
          </w:p>
        </w:tc>
      </w:tr>
      <w:tr w:rsidR="00C76702" w:rsidRPr="004138E6" w14:paraId="65CEB54E" w14:textId="77777777" w:rsidTr="009D6B1A">
        <w:tc>
          <w:tcPr>
            <w:tcW w:w="9889" w:type="dxa"/>
            <w:shd w:val="clear" w:color="auto" w:fill="DEEAF6" w:themeFill="accent1" w:themeFillTint="33"/>
          </w:tcPr>
          <w:p w14:paraId="18917410"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on national authorities, which could </w:t>
            </w:r>
            <w:r w:rsidRPr="00B77326">
              <w:rPr>
                <w:rFonts w:ascii="Verdana" w:hAnsi="Verdana" w:cs="Times New Roman"/>
                <w:b/>
                <w:noProof/>
                <w:sz w:val="16"/>
                <w:szCs w:val="16"/>
              </w:rPr>
              <w:t xml:space="preserve">highly </w:t>
            </w:r>
            <w:r w:rsidRPr="00380EEA">
              <w:rPr>
                <w:rFonts w:ascii="Verdana" w:hAnsi="Verdana" w:cs="Times New Roman"/>
                <w:noProof/>
                <w:sz w:val="16"/>
                <w:szCs w:val="16"/>
              </w:rPr>
              <w:t>c</w:t>
            </w:r>
            <w:r w:rsidRPr="00B77326">
              <w:rPr>
                <w:rFonts w:ascii="Verdana" w:hAnsi="Verdana" w:cs="Times New Roman"/>
                <w:noProof/>
                <w:sz w:val="16"/>
                <w:szCs w:val="16"/>
              </w:rPr>
              <w:t>ontribute</w:t>
            </w:r>
            <w:r w:rsidRPr="00B77326">
              <w:rPr>
                <w:rFonts w:ascii="Verdana" w:hAnsi="Verdana" w:cs="Times New Roman"/>
                <w:b/>
                <w:noProof/>
                <w:sz w:val="16"/>
                <w:szCs w:val="16"/>
              </w:rPr>
              <w:t xml:space="preserve"> </w:t>
            </w:r>
            <w:r w:rsidRPr="00B77326">
              <w:rPr>
                <w:rFonts w:ascii="Verdana" w:hAnsi="Verdana" w:cs="Times New Roman"/>
                <w:noProof/>
                <w:sz w:val="16"/>
                <w:szCs w:val="16"/>
              </w:rPr>
              <w:t>to efficiently combat</w:t>
            </w:r>
            <w:r w:rsidR="00954B41">
              <w:rPr>
                <w:rFonts w:ascii="Verdana" w:hAnsi="Verdana" w:cs="Times New Roman"/>
                <w:noProof/>
                <w:sz w:val="16"/>
                <w:szCs w:val="16"/>
              </w:rPr>
              <w:t xml:space="preserve"> criminal offences</w:t>
            </w:r>
            <w:r w:rsidRPr="00B77326">
              <w:rPr>
                <w:rFonts w:ascii="Verdana" w:hAnsi="Verdana" w:cs="Times New Roman"/>
                <w:noProof/>
                <w:sz w:val="16"/>
                <w:szCs w:val="16"/>
              </w:rPr>
              <w:t>, because of the obligation to use communication for the same purpose while putting Europol in copy when this concerns its mandate.</w:t>
            </w:r>
          </w:p>
          <w:p w14:paraId="1F1E3B1E"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would</w:t>
            </w:r>
            <w:r w:rsidRPr="007A02A7">
              <w:rPr>
                <w:rFonts w:ascii="Verdana" w:hAnsi="Verdana" w:cs="Times New Roman"/>
                <w:b/>
                <w:noProof/>
                <w:sz w:val="16"/>
                <w:szCs w:val="16"/>
              </w:rPr>
              <w:t xml:space="preserve"> </w:t>
            </w:r>
            <w:r w:rsidR="007A02A7" w:rsidRPr="007A02A7">
              <w:rPr>
                <w:rFonts w:ascii="Verdana" w:hAnsi="Verdana" w:cs="Times New Roman"/>
                <w:b/>
                <w:noProof/>
                <w:sz w:val="16"/>
                <w:szCs w:val="16"/>
              </w:rPr>
              <w:t>fully</w:t>
            </w:r>
            <w:r w:rsidR="007A02A7">
              <w:rPr>
                <w:rFonts w:ascii="Verdana" w:hAnsi="Verdana" w:cs="Times New Roman"/>
                <w:noProof/>
                <w:sz w:val="16"/>
                <w:szCs w:val="16"/>
              </w:rPr>
              <w:t xml:space="preserve"> </w:t>
            </w:r>
            <w:r w:rsidRPr="00B77326">
              <w:rPr>
                <w:rFonts w:ascii="Verdana" w:hAnsi="Verdana" w:cs="Times New Roman"/>
                <w:noProof/>
                <w:sz w:val="16"/>
                <w:szCs w:val="16"/>
              </w:rPr>
              <w:t>address the issue of duplication of requests through several communication channel.</w:t>
            </w:r>
          </w:p>
        </w:tc>
      </w:tr>
      <w:tr w:rsidR="00C76702" w:rsidRPr="00CC4C89" w14:paraId="2DFF282B" w14:textId="77777777" w:rsidTr="009D6B1A">
        <w:tc>
          <w:tcPr>
            <w:tcW w:w="9889" w:type="dxa"/>
            <w:tcBorders>
              <w:bottom w:val="single" w:sz="4" w:space="0" w:color="auto"/>
            </w:tcBorders>
            <w:shd w:val="clear" w:color="auto" w:fill="BDD6EE" w:themeFill="accent1" w:themeFillTint="66"/>
          </w:tcPr>
          <w:p w14:paraId="460E4F25"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3. Impact on EU bodies [+++]</w:t>
            </w:r>
          </w:p>
        </w:tc>
      </w:tr>
      <w:tr w:rsidR="00C76702" w:rsidRPr="00113989" w14:paraId="25AB5FFF" w14:textId="77777777" w:rsidTr="009D6B1A">
        <w:tc>
          <w:tcPr>
            <w:tcW w:w="9889" w:type="dxa"/>
            <w:shd w:val="clear" w:color="auto" w:fill="DEEAF6" w:themeFill="accent1" w:themeFillTint="33"/>
          </w:tcPr>
          <w:p w14:paraId="30B4B86A" w14:textId="7150A7AA"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The obligation to use SIENA </w:t>
            </w:r>
            <w:r w:rsidR="00AE0AA2">
              <w:rPr>
                <w:rFonts w:ascii="Verdana" w:hAnsi="Verdana" w:cs="Times New Roman"/>
                <w:noProof/>
                <w:sz w:val="16"/>
                <w:szCs w:val="16"/>
              </w:rPr>
              <w:t xml:space="preserve">by default </w:t>
            </w:r>
            <w:r w:rsidRPr="00B77326">
              <w:rPr>
                <w:rFonts w:ascii="Verdana" w:hAnsi="Verdana" w:cs="Times New Roman"/>
                <w:noProof/>
                <w:sz w:val="16"/>
                <w:szCs w:val="16"/>
              </w:rPr>
              <w:t xml:space="preserve">while copying Europol for offences within its mandate would </w:t>
            </w:r>
            <w:r w:rsidRPr="00B77326">
              <w:rPr>
                <w:rFonts w:ascii="Verdana" w:hAnsi="Verdana" w:cs="Times New Roman"/>
                <w:b/>
                <w:noProof/>
                <w:sz w:val="16"/>
                <w:szCs w:val="16"/>
              </w:rPr>
              <w:t>highly</w:t>
            </w:r>
            <w:r w:rsidRPr="00B77326">
              <w:rPr>
                <w:rFonts w:ascii="Verdana" w:hAnsi="Verdana" w:cs="Times New Roman"/>
                <w:noProof/>
                <w:sz w:val="16"/>
                <w:szCs w:val="16"/>
              </w:rPr>
              <w:t xml:space="preserve"> contribute to increase the quality and quantity of information shared with Europol via SIENA.</w:t>
            </w:r>
            <w:r w:rsidR="00230EEE">
              <w:rPr>
                <w:rFonts w:ascii="Verdana" w:hAnsi="Verdana" w:cs="Times New Roman"/>
                <w:noProof/>
                <w:sz w:val="16"/>
                <w:szCs w:val="16"/>
              </w:rPr>
              <w:t xml:space="preserve"> It would also improve the security of information as compared to ad hoc exchanges of information.</w:t>
            </w:r>
          </w:p>
          <w:p w14:paraId="2013763A"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would likely have a negative impact on Europol' workload.</w:t>
            </w:r>
          </w:p>
        </w:tc>
      </w:tr>
      <w:tr w:rsidR="00C76702" w:rsidRPr="002E63DD" w14:paraId="05F9B7D5" w14:textId="77777777" w:rsidTr="009D6B1A">
        <w:tc>
          <w:tcPr>
            <w:tcW w:w="9889" w:type="dxa"/>
            <w:tcBorders>
              <w:bottom w:val="single" w:sz="4" w:space="0" w:color="auto"/>
            </w:tcBorders>
            <w:shd w:val="clear" w:color="auto" w:fill="BDD6EE" w:themeFill="accent1" w:themeFillTint="66"/>
          </w:tcPr>
          <w:p w14:paraId="3A8E73B5"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4. Impact on fundamental rights [+++]</w:t>
            </w:r>
          </w:p>
        </w:tc>
      </w:tr>
      <w:tr w:rsidR="00C76702" w:rsidRPr="006715DD" w14:paraId="1535449F" w14:textId="77777777" w:rsidTr="009D6B1A">
        <w:tc>
          <w:tcPr>
            <w:tcW w:w="9889" w:type="dxa"/>
            <w:shd w:val="clear" w:color="auto" w:fill="DEEAF6" w:themeFill="accent1" w:themeFillTint="33"/>
          </w:tcPr>
          <w:p w14:paraId="580E0805" w14:textId="77777777" w:rsidR="00C76702" w:rsidRPr="00B77326" w:rsidRDefault="00C76702" w:rsidP="006348F6">
            <w:pPr>
              <w:pStyle w:val="Body"/>
              <w:numPr>
                <w:ilvl w:val="0"/>
                <w:numId w:val="29"/>
              </w:numPr>
              <w:spacing w:after="60"/>
              <w:ind w:left="714" w:hanging="357"/>
              <w:jc w:val="both"/>
              <w:rPr>
                <w:bCs/>
                <w:noProof/>
                <w:sz w:val="16"/>
                <w:szCs w:val="16"/>
              </w:rPr>
            </w:pPr>
            <w:r w:rsidRPr="00B77326">
              <w:rPr>
                <w:b/>
                <w:noProof/>
                <w:sz w:val="16"/>
                <w:szCs w:val="16"/>
              </w:rPr>
              <w:t>Highly positive impact</w:t>
            </w:r>
            <w:r w:rsidR="001052A8">
              <w:rPr>
                <w:bCs/>
                <w:noProof/>
                <w:sz w:val="16"/>
                <w:szCs w:val="16"/>
              </w:rPr>
              <w:t xml:space="preserve"> </w:t>
            </w:r>
            <w:r w:rsidRPr="00B77326">
              <w:rPr>
                <w:bCs/>
                <w:noProof/>
                <w:sz w:val="16"/>
                <w:szCs w:val="16"/>
              </w:rPr>
              <w:t xml:space="preserve">through </w:t>
            </w:r>
            <w:r w:rsidR="00B76D03">
              <w:rPr>
                <w:bCs/>
                <w:noProof/>
                <w:sz w:val="16"/>
                <w:szCs w:val="16"/>
              </w:rPr>
              <w:t xml:space="preserve">provisions </w:t>
            </w:r>
            <w:r w:rsidRPr="00B77326">
              <w:rPr>
                <w:bCs/>
                <w:noProof/>
                <w:sz w:val="16"/>
                <w:szCs w:val="16"/>
              </w:rPr>
              <w:t>aiming at improving the choice of the communication channel, thereby ending the duplication of requests across several communication channels</w:t>
            </w:r>
            <w:r w:rsidR="00B76D03">
              <w:rPr>
                <w:bCs/>
                <w:noProof/>
                <w:sz w:val="16"/>
                <w:szCs w:val="16"/>
              </w:rPr>
              <w:t xml:space="preserve"> (clarify existing guidelines in a (binding) legal proposal)</w:t>
            </w:r>
            <w:r w:rsidRPr="00B77326">
              <w:rPr>
                <w:bCs/>
                <w:noProof/>
                <w:sz w:val="16"/>
                <w:szCs w:val="16"/>
              </w:rPr>
              <w:t xml:space="preserve">. </w:t>
            </w:r>
          </w:p>
          <w:p w14:paraId="2D569703" w14:textId="77777777" w:rsidR="0072630B" w:rsidRPr="0072630B" w:rsidRDefault="0072630B" w:rsidP="00E760E4">
            <w:pPr>
              <w:pStyle w:val="Body"/>
              <w:numPr>
                <w:ilvl w:val="0"/>
                <w:numId w:val="29"/>
              </w:numPr>
              <w:spacing w:after="0"/>
              <w:jc w:val="both"/>
              <w:rPr>
                <w:bCs/>
                <w:noProof/>
                <w:sz w:val="16"/>
                <w:szCs w:val="16"/>
              </w:rPr>
            </w:pPr>
            <w:r w:rsidRPr="001A7F80">
              <w:rPr>
                <w:noProof/>
                <w:sz w:val="16"/>
              </w:rPr>
              <w:t xml:space="preserve">The use of different information channels in addition to SIENA does not ensure as efficiently as possible law enforcement processes. Thus, citizens </w:t>
            </w:r>
            <w:r w:rsidR="00B76D03">
              <w:rPr>
                <w:noProof/>
                <w:sz w:val="16"/>
              </w:rPr>
              <w:t xml:space="preserve">may </w:t>
            </w:r>
            <w:r w:rsidRPr="001A7F80">
              <w:rPr>
                <w:noProof/>
                <w:sz w:val="16"/>
              </w:rPr>
              <w:t>face undue processing time in case they are wrongfully subject to a criminal investigation.</w:t>
            </w:r>
            <w:r>
              <w:rPr>
                <w:noProof/>
                <w:sz w:val="16"/>
              </w:rPr>
              <w:t xml:space="preserve"> This option would address that</w:t>
            </w:r>
            <w:r w:rsidR="00425D4F">
              <w:rPr>
                <w:noProof/>
                <w:sz w:val="16"/>
                <w:szCs w:val="16"/>
              </w:rPr>
              <w:t>.</w:t>
            </w:r>
            <w:r w:rsidR="00B76D03">
              <w:rPr>
                <w:noProof/>
                <w:sz w:val="16"/>
                <w:szCs w:val="16"/>
              </w:rPr>
              <w:t xml:space="preserve"> They would not have additional capabilities in data processing.</w:t>
            </w:r>
          </w:p>
          <w:p w14:paraId="6DEC16D8" w14:textId="5AB49119" w:rsidR="00C76702" w:rsidRPr="00B77326" w:rsidRDefault="00C76702" w:rsidP="00704502">
            <w:pPr>
              <w:pStyle w:val="Body"/>
              <w:numPr>
                <w:ilvl w:val="0"/>
                <w:numId w:val="29"/>
              </w:numPr>
              <w:spacing w:before="60" w:after="60"/>
              <w:ind w:left="714" w:hanging="357"/>
              <w:jc w:val="both"/>
              <w:rPr>
                <w:bCs/>
                <w:noProof/>
                <w:sz w:val="16"/>
                <w:szCs w:val="16"/>
              </w:rPr>
            </w:pPr>
            <w:r w:rsidRPr="00B77326">
              <w:rPr>
                <w:bCs/>
                <w:noProof/>
                <w:sz w:val="16"/>
                <w:szCs w:val="16"/>
              </w:rPr>
              <w:t xml:space="preserve">Given the high level of security of SIENA, its use by default would </w:t>
            </w:r>
            <w:r w:rsidR="001052A8">
              <w:rPr>
                <w:bCs/>
                <w:noProof/>
                <w:sz w:val="16"/>
                <w:szCs w:val="16"/>
              </w:rPr>
              <w:t xml:space="preserve">more </w:t>
            </w:r>
            <w:r w:rsidR="001052A8" w:rsidRPr="00B77326">
              <w:rPr>
                <w:bCs/>
                <w:noProof/>
                <w:sz w:val="16"/>
                <w:szCs w:val="16"/>
              </w:rPr>
              <w:t xml:space="preserve">effectively and efficiently </w:t>
            </w:r>
            <w:r w:rsidRPr="00B77326">
              <w:rPr>
                <w:bCs/>
                <w:noProof/>
                <w:sz w:val="16"/>
                <w:szCs w:val="16"/>
              </w:rPr>
              <w:t xml:space="preserve">safeguard data protection. </w:t>
            </w:r>
            <w:r w:rsidR="00230EEE">
              <w:rPr>
                <w:bCs/>
                <w:noProof/>
                <w:sz w:val="16"/>
                <w:szCs w:val="16"/>
              </w:rPr>
              <w:t>It would also improve accountability as compared to ad hoc exchanges of data.</w:t>
            </w:r>
          </w:p>
        </w:tc>
      </w:tr>
      <w:tr w:rsidR="00C76702" w:rsidRPr="00475E9D" w14:paraId="1C3444C3" w14:textId="77777777" w:rsidTr="009D6B1A">
        <w:tc>
          <w:tcPr>
            <w:tcW w:w="9889" w:type="dxa"/>
            <w:tcBorders>
              <w:bottom w:val="single" w:sz="4" w:space="0" w:color="auto"/>
            </w:tcBorders>
            <w:shd w:val="clear" w:color="auto" w:fill="BDD6EE" w:themeFill="accent1" w:themeFillTint="66"/>
          </w:tcPr>
          <w:p w14:paraId="37964DD2" w14:textId="77777777" w:rsidR="00C76702" w:rsidRPr="00B77326" w:rsidRDefault="00C76702" w:rsidP="00EB7963">
            <w:pPr>
              <w:spacing w:before="60" w:after="60"/>
              <w:rPr>
                <w:rFonts w:ascii="Verdana" w:hAnsi="Verdana" w:cs="Times New Roman"/>
                <w:b/>
                <w:noProof/>
                <w:sz w:val="16"/>
                <w:szCs w:val="16"/>
              </w:rPr>
            </w:pPr>
            <w:r w:rsidRPr="00B77326">
              <w:rPr>
                <w:rFonts w:ascii="Verdana" w:hAnsi="Verdana" w:cs="Times New Roman"/>
                <w:b/>
                <w:noProof/>
                <w:sz w:val="16"/>
                <w:szCs w:val="16"/>
              </w:rPr>
              <w:t xml:space="preserve">5. Effectiveness in meeting the policy objectives [+++] </w:t>
            </w:r>
          </w:p>
        </w:tc>
      </w:tr>
      <w:tr w:rsidR="00C76702" w:rsidRPr="00776868" w14:paraId="2B98BE14" w14:textId="77777777" w:rsidTr="009D6B1A">
        <w:tc>
          <w:tcPr>
            <w:tcW w:w="9889" w:type="dxa"/>
            <w:shd w:val="clear" w:color="auto" w:fill="DEEAF6" w:themeFill="accent1" w:themeFillTint="33"/>
          </w:tcPr>
          <w:p w14:paraId="1C3EADA8" w14:textId="44A2E686" w:rsidR="00C76702" w:rsidRPr="00A30A0C" w:rsidRDefault="00C76702" w:rsidP="00900BC7">
            <w:pPr>
              <w:pStyle w:val="Body"/>
              <w:widowControl w:val="0"/>
              <w:numPr>
                <w:ilvl w:val="0"/>
                <w:numId w:val="30"/>
              </w:numPr>
              <w:adjustRightInd w:val="0"/>
              <w:spacing w:before="60" w:after="60"/>
              <w:ind w:left="714" w:hanging="357"/>
              <w:jc w:val="both"/>
              <w:textAlignment w:val="baseline"/>
              <w:rPr>
                <w:noProof/>
                <w:sz w:val="16"/>
                <w:szCs w:val="16"/>
              </w:rPr>
            </w:pPr>
            <w:r w:rsidRPr="00B77326">
              <w:rPr>
                <w:b/>
                <w:noProof/>
                <w:sz w:val="16"/>
                <w:szCs w:val="16"/>
              </w:rPr>
              <w:t>Highly positive impact.</w:t>
            </w:r>
            <w:r w:rsidRPr="00B77326">
              <w:rPr>
                <w:noProof/>
                <w:sz w:val="16"/>
                <w:szCs w:val="16"/>
              </w:rPr>
              <w:t xml:space="preserve"> This policy option would </w:t>
            </w:r>
            <w:r w:rsidRPr="00B77326">
              <w:rPr>
                <w:b/>
                <w:noProof/>
                <w:sz w:val="16"/>
                <w:szCs w:val="16"/>
              </w:rPr>
              <w:t>fully</w:t>
            </w:r>
            <w:r w:rsidRPr="00B77326">
              <w:rPr>
                <w:noProof/>
                <w:sz w:val="16"/>
                <w:szCs w:val="16"/>
              </w:rPr>
              <w:t xml:space="preserve"> </w:t>
            </w:r>
            <w:r w:rsidRPr="00B77326">
              <w:rPr>
                <w:b/>
                <w:noProof/>
                <w:sz w:val="16"/>
                <w:szCs w:val="16"/>
              </w:rPr>
              <w:t>address</w:t>
            </w:r>
            <w:r w:rsidRPr="00B77326">
              <w:rPr>
                <w:noProof/>
                <w:sz w:val="16"/>
                <w:szCs w:val="16"/>
              </w:rPr>
              <w:t xml:space="preserve"> the objective of setting up SIENA a</w:t>
            </w:r>
            <w:r w:rsidR="00AE0AA2">
              <w:rPr>
                <w:noProof/>
                <w:sz w:val="16"/>
                <w:szCs w:val="16"/>
              </w:rPr>
              <w:t>s</w:t>
            </w:r>
            <w:r w:rsidRPr="00B77326">
              <w:rPr>
                <w:noProof/>
                <w:sz w:val="16"/>
                <w:szCs w:val="16"/>
              </w:rPr>
              <w:t xml:space="preserve"> default communication channel for law enforcement exchange between Member States for offences within Europol mandate. </w:t>
            </w:r>
          </w:p>
        </w:tc>
      </w:tr>
      <w:tr w:rsidR="00C76702" w:rsidRPr="00475E9D" w14:paraId="0A786947" w14:textId="77777777" w:rsidTr="009D6B1A">
        <w:tc>
          <w:tcPr>
            <w:tcW w:w="9889" w:type="dxa"/>
            <w:shd w:val="clear" w:color="auto" w:fill="BDD6EE" w:themeFill="accent1" w:themeFillTint="66"/>
          </w:tcPr>
          <w:p w14:paraId="1DC0DA03" w14:textId="5C653A50" w:rsidR="00C76702" w:rsidRPr="00B77326" w:rsidRDefault="00C76702" w:rsidP="00EB7963">
            <w:pPr>
              <w:spacing w:before="60" w:after="60"/>
              <w:rPr>
                <w:rFonts w:ascii="Verdana" w:hAnsi="Verdana" w:cs="Times New Roman"/>
                <w:noProof/>
                <w:sz w:val="16"/>
                <w:szCs w:val="16"/>
              </w:rPr>
            </w:pPr>
            <w:r w:rsidRPr="00B77326">
              <w:rPr>
                <w:rFonts w:ascii="Verdana" w:hAnsi="Verdana" w:cs="Times New Roman"/>
                <w:b/>
                <w:noProof/>
                <w:sz w:val="16"/>
                <w:szCs w:val="16"/>
              </w:rPr>
              <w:t>6. Efficiency in meeting the policy objectives [</w:t>
            </w:r>
            <w:r w:rsidR="00A04EF4">
              <w:rPr>
                <w:rFonts w:ascii="Verdana" w:hAnsi="Verdana" w:cs="Times New Roman"/>
                <w:b/>
                <w:noProof/>
                <w:sz w:val="16"/>
                <w:szCs w:val="16"/>
              </w:rPr>
              <w:t>++</w:t>
            </w:r>
            <w:r w:rsidRPr="00B77326">
              <w:rPr>
                <w:rFonts w:ascii="Verdana" w:hAnsi="Verdana" w:cs="Times New Roman"/>
                <w:b/>
                <w:noProof/>
                <w:sz w:val="16"/>
                <w:szCs w:val="16"/>
              </w:rPr>
              <w:t xml:space="preserve">] </w:t>
            </w:r>
          </w:p>
        </w:tc>
      </w:tr>
      <w:tr w:rsidR="00C76702" w:rsidRPr="00475E9D" w14:paraId="3AB51BA6" w14:textId="77777777" w:rsidTr="009D6B1A">
        <w:tc>
          <w:tcPr>
            <w:tcW w:w="9889" w:type="dxa"/>
            <w:shd w:val="clear" w:color="auto" w:fill="DEEAF6" w:themeFill="accent1" w:themeFillTint="33"/>
          </w:tcPr>
          <w:p w14:paraId="486B8782"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Option </w:t>
            </w:r>
            <w:r w:rsidR="001C5034">
              <w:rPr>
                <w:rFonts w:ascii="Verdana" w:hAnsi="Verdana" w:cs="Times New Roman"/>
                <w:noProof/>
                <w:sz w:val="16"/>
                <w:szCs w:val="16"/>
              </w:rPr>
              <w:t>3.3</w:t>
            </w:r>
            <w:r w:rsidRPr="00B77326">
              <w:rPr>
                <w:rFonts w:ascii="Verdana" w:hAnsi="Verdana" w:cs="Times New Roman"/>
                <w:noProof/>
                <w:sz w:val="16"/>
                <w:szCs w:val="16"/>
              </w:rPr>
              <w:t xml:space="preserve"> would</w:t>
            </w:r>
            <w:r w:rsidRPr="00B77326">
              <w:rPr>
                <w:rFonts w:ascii="Verdana" w:hAnsi="Verdana" w:cs="Times New Roman"/>
                <w:b/>
                <w:noProof/>
                <w:sz w:val="16"/>
                <w:szCs w:val="16"/>
              </w:rPr>
              <w:t xml:space="preserve"> not </w:t>
            </w:r>
            <w:r w:rsidRPr="00B77326">
              <w:rPr>
                <w:rFonts w:ascii="Verdana" w:hAnsi="Verdana" w:cs="Times New Roman"/>
                <w:noProof/>
                <w:sz w:val="16"/>
                <w:szCs w:val="16"/>
              </w:rPr>
              <w:t>generate</w:t>
            </w:r>
            <w:r w:rsidRPr="00B77326">
              <w:rPr>
                <w:rFonts w:ascii="Verdana" w:hAnsi="Verdana" w:cs="Times New Roman"/>
                <w:b/>
                <w:noProof/>
                <w:sz w:val="16"/>
                <w:szCs w:val="16"/>
              </w:rPr>
              <w:t xml:space="preserve"> additional cost </w:t>
            </w:r>
            <w:r w:rsidRPr="00B77326">
              <w:rPr>
                <w:rFonts w:ascii="Verdana" w:hAnsi="Verdana" w:cs="Times New Roman"/>
                <w:noProof/>
                <w:sz w:val="16"/>
                <w:szCs w:val="16"/>
              </w:rPr>
              <w:t>in comparison with</w:t>
            </w:r>
            <w:r w:rsidRPr="00B77326">
              <w:rPr>
                <w:rFonts w:ascii="Verdana" w:hAnsi="Verdana" w:cs="Times New Roman"/>
                <w:b/>
                <w:noProof/>
                <w:sz w:val="16"/>
                <w:szCs w:val="16"/>
              </w:rPr>
              <w:t xml:space="preserve"> Option </w:t>
            </w:r>
            <w:r w:rsidR="001C5034">
              <w:rPr>
                <w:rFonts w:ascii="Verdana" w:hAnsi="Verdana" w:cs="Times New Roman"/>
                <w:b/>
                <w:noProof/>
                <w:sz w:val="16"/>
                <w:szCs w:val="16"/>
              </w:rPr>
              <w:t>3.2.</w:t>
            </w:r>
            <w:r w:rsidRPr="00B77326">
              <w:rPr>
                <w:rFonts w:ascii="Verdana" w:hAnsi="Verdana" w:cs="Times New Roman"/>
                <w:b/>
                <w:noProof/>
                <w:sz w:val="16"/>
                <w:szCs w:val="16"/>
              </w:rPr>
              <w:t xml:space="preserve"> </w:t>
            </w:r>
          </w:p>
          <w:p w14:paraId="603A6156" w14:textId="6A1DA283"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At the same time, under this policy option, Europol could </w:t>
            </w:r>
            <w:r w:rsidRPr="00B77326">
              <w:rPr>
                <w:rFonts w:ascii="Verdana" w:hAnsi="Verdana" w:cs="Times New Roman"/>
                <w:b/>
                <w:noProof/>
                <w:sz w:val="16"/>
                <w:szCs w:val="16"/>
              </w:rPr>
              <w:t>highly efficiently</w:t>
            </w:r>
            <w:r w:rsidRPr="00B77326">
              <w:rPr>
                <w:rFonts w:ascii="Verdana" w:hAnsi="Verdana" w:cs="Times New Roman"/>
                <w:noProof/>
                <w:sz w:val="16"/>
                <w:szCs w:val="16"/>
              </w:rPr>
              <w:t xml:space="preserve"> support Member States in preventing and combatting </w:t>
            </w:r>
            <w:r w:rsidR="00954B41">
              <w:rPr>
                <w:rFonts w:ascii="Verdana" w:hAnsi="Verdana" w:cs="Times New Roman"/>
                <w:noProof/>
                <w:sz w:val="16"/>
                <w:szCs w:val="16"/>
              </w:rPr>
              <w:t>criminal offences</w:t>
            </w:r>
            <w:r w:rsidRPr="00B77326">
              <w:rPr>
                <w:rFonts w:ascii="Verdana" w:hAnsi="Verdana" w:cs="Times New Roman"/>
                <w:noProof/>
                <w:sz w:val="16"/>
                <w:szCs w:val="16"/>
              </w:rPr>
              <w:t>, because of the economies of scale of performing such tasks at EU level.</w:t>
            </w:r>
            <w:r w:rsidR="00A04EF4">
              <w:rPr>
                <w:rFonts w:ascii="Verdana" w:hAnsi="Verdana" w:cs="Times New Roman"/>
                <w:noProof/>
                <w:sz w:val="16"/>
                <w:szCs w:val="16"/>
              </w:rPr>
              <w:t xml:space="preserve"> They don't outweight benefits.</w:t>
            </w:r>
          </w:p>
        </w:tc>
      </w:tr>
      <w:tr w:rsidR="00C76702" w:rsidRPr="00475E9D" w14:paraId="0472B762" w14:textId="77777777" w:rsidTr="009D6B1A">
        <w:tc>
          <w:tcPr>
            <w:tcW w:w="9889" w:type="dxa"/>
            <w:tcBorders>
              <w:bottom w:val="single" w:sz="4" w:space="0" w:color="auto"/>
            </w:tcBorders>
            <w:shd w:val="clear" w:color="auto" w:fill="BDD6EE" w:themeFill="accent1" w:themeFillTint="66"/>
          </w:tcPr>
          <w:p w14:paraId="50F28F5D" w14:textId="77777777" w:rsidR="00C76702" w:rsidRPr="00B77326" w:rsidRDefault="00C76702" w:rsidP="005106E2">
            <w:pPr>
              <w:spacing w:before="60" w:after="60"/>
              <w:rPr>
                <w:rFonts w:ascii="Verdana" w:hAnsi="Verdana" w:cs="Times New Roman"/>
                <w:b/>
                <w:noProof/>
                <w:sz w:val="16"/>
                <w:szCs w:val="16"/>
              </w:rPr>
            </w:pPr>
            <w:r w:rsidRPr="00B77326">
              <w:rPr>
                <w:rFonts w:ascii="Verdana" w:hAnsi="Verdana" w:cs="Times New Roman"/>
                <w:b/>
                <w:noProof/>
                <w:sz w:val="16"/>
                <w:szCs w:val="16"/>
              </w:rPr>
              <w:t>7. Legal feasibility [++]</w:t>
            </w:r>
          </w:p>
        </w:tc>
      </w:tr>
      <w:tr w:rsidR="00C76702" w:rsidRPr="00475E9D" w14:paraId="3D4BD227" w14:textId="77777777" w:rsidTr="009D6B1A">
        <w:tc>
          <w:tcPr>
            <w:tcW w:w="9889" w:type="dxa"/>
            <w:shd w:val="clear" w:color="auto" w:fill="DEEAF6" w:themeFill="accent1" w:themeFillTint="33"/>
          </w:tcPr>
          <w:p w14:paraId="3FF1E0DA" w14:textId="77777777" w:rsidR="00C76702" w:rsidRPr="007217B2"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This policy option would require legal changes.</w:t>
            </w:r>
            <w:r w:rsidR="00443017">
              <w:rPr>
                <w:rFonts w:ascii="Verdana" w:hAnsi="Verdana" w:cs="Times New Roman"/>
                <w:noProof/>
                <w:sz w:val="16"/>
                <w:szCs w:val="16"/>
              </w:rPr>
              <w:t xml:space="preserve"> They would e</w:t>
            </w:r>
            <w:r w:rsidR="00443017" w:rsidRPr="00B5430F">
              <w:rPr>
                <w:rFonts w:ascii="Verdana" w:hAnsi="Verdana"/>
                <w:noProof/>
                <w:sz w:val="16"/>
              </w:rPr>
              <w:t>nsure the</w:t>
            </w:r>
            <w:r w:rsidR="00443017" w:rsidRPr="00B5430F">
              <w:rPr>
                <w:noProof/>
                <w:sz w:val="16"/>
              </w:rPr>
              <w:t xml:space="preserve"> </w:t>
            </w:r>
            <w:r w:rsidR="00443017" w:rsidRPr="00B5430F">
              <w:rPr>
                <w:rFonts w:ascii="Verdana" w:hAnsi="Verdana"/>
                <w:noProof/>
                <w:sz w:val="16"/>
              </w:rPr>
              <w:t>respect</w:t>
            </w:r>
            <w:r w:rsidR="00443017">
              <w:rPr>
                <w:rFonts w:ascii="Verdana" w:hAnsi="Verdana"/>
                <w:noProof/>
                <w:sz w:val="16"/>
              </w:rPr>
              <w:t xml:space="preserve"> of the </w:t>
            </w:r>
            <w:r w:rsidR="00443017" w:rsidRPr="00B5430F">
              <w:rPr>
                <w:rFonts w:ascii="Verdana" w:hAnsi="Verdana"/>
                <w:noProof/>
                <w:sz w:val="16"/>
              </w:rPr>
              <w:t>conferral</w:t>
            </w:r>
            <w:r w:rsidR="00443017">
              <w:rPr>
                <w:rFonts w:ascii="Verdana" w:hAnsi="Verdana"/>
                <w:noProof/>
                <w:sz w:val="16"/>
              </w:rPr>
              <w:t xml:space="preserve"> of powers </w:t>
            </w:r>
            <w:r w:rsidR="00443017" w:rsidRPr="00B5430F">
              <w:rPr>
                <w:rFonts w:ascii="Verdana" w:hAnsi="Verdana"/>
                <w:noProof/>
                <w:sz w:val="16"/>
              </w:rPr>
              <w:t xml:space="preserve">and </w:t>
            </w:r>
            <w:r w:rsidR="00443017">
              <w:rPr>
                <w:rFonts w:ascii="Verdana" w:hAnsi="Verdana"/>
                <w:noProof/>
                <w:sz w:val="16"/>
              </w:rPr>
              <w:t xml:space="preserve">of </w:t>
            </w:r>
            <w:r w:rsidR="00443017" w:rsidRPr="00B5430F">
              <w:rPr>
                <w:rFonts w:ascii="Verdana" w:hAnsi="Verdana"/>
                <w:noProof/>
                <w:sz w:val="16"/>
              </w:rPr>
              <w:t>fundamental rights</w:t>
            </w:r>
            <w:r w:rsidR="00443017">
              <w:rPr>
                <w:rFonts w:ascii="Verdana" w:hAnsi="Verdana"/>
                <w:noProof/>
                <w:sz w:val="16"/>
              </w:rPr>
              <w:t>.</w:t>
            </w:r>
          </w:p>
        </w:tc>
      </w:tr>
      <w:tr w:rsidR="00000BB3" w:rsidRPr="00475E9D" w14:paraId="7FE9C97D" w14:textId="77777777" w:rsidTr="001052A8">
        <w:tc>
          <w:tcPr>
            <w:tcW w:w="9889" w:type="dxa"/>
            <w:shd w:val="clear" w:color="auto" w:fill="BDD6EE" w:themeFill="accent1" w:themeFillTint="66"/>
          </w:tcPr>
          <w:p w14:paraId="20C9FC89" w14:textId="77777777" w:rsidR="00000BB3" w:rsidRPr="007217B2" w:rsidRDefault="00000BB3" w:rsidP="007217B2">
            <w:pPr>
              <w:widowControl w:val="0"/>
              <w:adjustRightInd w:val="0"/>
              <w:spacing w:before="60" w:after="60" w:line="240" w:lineRule="auto"/>
              <w:jc w:val="both"/>
              <w:textAlignment w:val="baseline"/>
              <w:rPr>
                <w:rFonts w:ascii="Verdana" w:hAnsi="Verdana" w:cs="Times New Roman"/>
                <w:noProof/>
                <w:sz w:val="16"/>
                <w:szCs w:val="16"/>
              </w:rPr>
            </w:pPr>
            <w:r w:rsidRPr="007217B2">
              <w:rPr>
                <w:rFonts w:ascii="Verdana" w:hAnsi="Verdana" w:cs="Times New Roman"/>
                <w:b/>
                <w:noProof/>
                <w:sz w:val="16"/>
                <w:szCs w:val="16"/>
              </w:rPr>
              <w:t>8.</w:t>
            </w:r>
            <w:r>
              <w:rPr>
                <w:rFonts w:ascii="Verdana" w:hAnsi="Verdana" w:cs="Times New Roman"/>
                <w:noProof/>
                <w:sz w:val="16"/>
                <w:szCs w:val="16"/>
              </w:rPr>
              <w:t xml:space="preserve"> </w:t>
            </w:r>
            <w:r w:rsidRPr="00B77326">
              <w:rPr>
                <w:rFonts w:ascii="Verdana" w:hAnsi="Verdana" w:cs="Times New Roman"/>
                <w:b/>
                <w:noProof/>
                <w:sz w:val="16"/>
                <w:szCs w:val="16"/>
              </w:rPr>
              <w:t>technical feasibility</w:t>
            </w:r>
            <w:r w:rsidR="005106E2">
              <w:rPr>
                <w:rFonts w:ascii="Verdana" w:hAnsi="Verdana" w:cs="Times New Roman"/>
                <w:b/>
                <w:noProof/>
                <w:sz w:val="16"/>
                <w:szCs w:val="16"/>
              </w:rPr>
              <w:t xml:space="preserve"> [++]</w:t>
            </w:r>
          </w:p>
        </w:tc>
      </w:tr>
      <w:tr w:rsidR="00000BB3" w:rsidRPr="00475E9D" w14:paraId="53938F33" w14:textId="77777777" w:rsidTr="009D6B1A">
        <w:tc>
          <w:tcPr>
            <w:tcW w:w="9889" w:type="dxa"/>
            <w:shd w:val="clear" w:color="auto" w:fill="DEEAF6" w:themeFill="accent1" w:themeFillTint="33"/>
          </w:tcPr>
          <w:p w14:paraId="46E3C9AE" w14:textId="77777777" w:rsidR="00000BB3" w:rsidRPr="00B77326" w:rsidRDefault="00000BB3"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Even though this policy option would be technically feasible, making of SIENA channel of communication by default between Member States for offences falling within the Europol mandate would require first the full roll-out of SIENA to all relevant end-users.</w:t>
            </w:r>
          </w:p>
          <w:p w14:paraId="2BBCE90F" w14:textId="29B0F949" w:rsidR="00000BB3" w:rsidRPr="00B77326" w:rsidRDefault="00000BB3"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 xml:space="preserve">This would require technical and financial support. </w:t>
            </w:r>
          </w:p>
          <w:p w14:paraId="0945BDEB" w14:textId="77777777" w:rsidR="00000BB3" w:rsidRPr="00B77326" w:rsidRDefault="00000BB3"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noProof/>
                <w:sz w:val="16"/>
                <w:szCs w:val="16"/>
              </w:rPr>
            </w:pPr>
            <w:r w:rsidRPr="00B77326">
              <w:rPr>
                <w:rFonts w:ascii="Verdana" w:hAnsi="Verdana" w:cs="Times New Roman"/>
                <w:noProof/>
                <w:sz w:val="16"/>
                <w:szCs w:val="16"/>
              </w:rPr>
              <w:t>That is why such provision would only enter into force after a transition period allowing the SIENA full roll-out.</w:t>
            </w:r>
          </w:p>
        </w:tc>
      </w:tr>
      <w:tr w:rsidR="00C76702" w:rsidRPr="00475E9D" w14:paraId="4CD780A2" w14:textId="77777777" w:rsidTr="009D6B1A">
        <w:tc>
          <w:tcPr>
            <w:tcW w:w="9889" w:type="dxa"/>
            <w:tcBorders>
              <w:bottom w:val="single" w:sz="4" w:space="0" w:color="auto"/>
            </w:tcBorders>
            <w:shd w:val="clear" w:color="auto" w:fill="BDD6EE" w:themeFill="accent1" w:themeFillTint="66"/>
          </w:tcPr>
          <w:p w14:paraId="2DA5CDDE" w14:textId="6C212899" w:rsidR="00C76702" w:rsidRPr="00B77326" w:rsidRDefault="00F23F7A" w:rsidP="00F23F7A">
            <w:pPr>
              <w:spacing w:before="60" w:after="60"/>
              <w:rPr>
                <w:rFonts w:ascii="Verdana" w:hAnsi="Verdana" w:cs="Times New Roman"/>
                <w:b/>
                <w:noProof/>
                <w:sz w:val="16"/>
                <w:szCs w:val="16"/>
              </w:rPr>
            </w:pPr>
            <w:r>
              <w:rPr>
                <w:rFonts w:ascii="Verdana" w:hAnsi="Verdana" w:cs="Times New Roman"/>
                <w:b/>
                <w:noProof/>
                <w:sz w:val="16"/>
                <w:szCs w:val="16"/>
              </w:rPr>
              <w:t>9</w:t>
            </w:r>
            <w:r w:rsidR="00C76702" w:rsidRPr="00B77326">
              <w:rPr>
                <w:rFonts w:ascii="Verdana" w:hAnsi="Verdana" w:cs="Times New Roman"/>
                <w:b/>
                <w:noProof/>
                <w:sz w:val="16"/>
                <w:szCs w:val="16"/>
              </w:rPr>
              <w:t xml:space="preserve">. Coherence with other measures [+++] </w:t>
            </w:r>
          </w:p>
        </w:tc>
      </w:tr>
      <w:tr w:rsidR="00C76702" w:rsidRPr="00475E9D" w14:paraId="6B509E5D" w14:textId="77777777" w:rsidTr="009D6B1A">
        <w:trPr>
          <w:trHeight w:val="425"/>
        </w:trPr>
        <w:tc>
          <w:tcPr>
            <w:tcW w:w="9889" w:type="dxa"/>
            <w:tcBorders>
              <w:bottom w:val="single" w:sz="4" w:space="0" w:color="auto"/>
            </w:tcBorders>
            <w:shd w:val="clear" w:color="auto" w:fill="DEEAF6" w:themeFill="accent1" w:themeFillTint="33"/>
          </w:tcPr>
          <w:p w14:paraId="026EAF88" w14:textId="77777777" w:rsidR="00C76702" w:rsidRPr="00B77326" w:rsidRDefault="00C76702" w:rsidP="00900BC7">
            <w:pPr>
              <w:pStyle w:val="ListParagraph"/>
              <w:widowControl w:val="0"/>
              <w:numPr>
                <w:ilvl w:val="0"/>
                <w:numId w:val="30"/>
              </w:numPr>
              <w:adjustRightInd w:val="0"/>
              <w:spacing w:before="60" w:after="60" w:line="240" w:lineRule="auto"/>
              <w:ind w:left="714" w:hanging="357"/>
              <w:contextualSpacing w:val="0"/>
              <w:jc w:val="both"/>
              <w:textAlignment w:val="baseline"/>
              <w:rPr>
                <w:rFonts w:ascii="Verdana" w:hAnsi="Verdana" w:cs="Times New Roman"/>
                <w:b/>
                <w:noProof/>
                <w:sz w:val="16"/>
                <w:szCs w:val="16"/>
              </w:rPr>
            </w:pPr>
            <w:r w:rsidRPr="00B77326">
              <w:rPr>
                <w:rFonts w:ascii="Verdana" w:hAnsi="Verdana" w:cs="Times New Roman"/>
                <w:b/>
                <w:noProof/>
                <w:sz w:val="16"/>
                <w:szCs w:val="16"/>
              </w:rPr>
              <w:t>Highly positive impact.</w:t>
            </w:r>
            <w:r w:rsidRPr="00B77326">
              <w:rPr>
                <w:rFonts w:ascii="Verdana" w:hAnsi="Verdana" w:cs="Times New Roman"/>
                <w:noProof/>
                <w:sz w:val="16"/>
                <w:szCs w:val="16"/>
              </w:rPr>
              <w:t xml:space="preserve"> This policy option would </w:t>
            </w:r>
            <w:r w:rsidRPr="00B77326">
              <w:rPr>
                <w:rFonts w:ascii="Verdana" w:hAnsi="Verdana" w:cs="Times New Roman"/>
                <w:b/>
                <w:noProof/>
                <w:sz w:val="16"/>
                <w:szCs w:val="16"/>
              </w:rPr>
              <w:t>clearly</w:t>
            </w:r>
            <w:r w:rsidRPr="00B77326">
              <w:rPr>
                <w:rFonts w:ascii="Verdana" w:hAnsi="Verdana" w:cs="Times New Roman"/>
                <w:noProof/>
                <w:sz w:val="16"/>
                <w:szCs w:val="16"/>
              </w:rPr>
              <w:t xml:space="preserve"> complement other Commission initiatives such as the Commission proposals for a new Schengen border code, for Prüm II and for Europol.</w:t>
            </w:r>
          </w:p>
        </w:tc>
      </w:tr>
    </w:tbl>
    <w:p w14:paraId="0ED84B34" w14:textId="22BA45B2" w:rsidR="00C76702" w:rsidRPr="00BA0C13" w:rsidRDefault="00173E60" w:rsidP="00173E60">
      <w:pPr>
        <w:pStyle w:val="Heading1"/>
        <w:rPr>
          <w:noProof/>
        </w:rPr>
      </w:pPr>
      <w:bookmarkStart w:id="105" w:name="_Toc48897643"/>
      <w:bookmarkStart w:id="106" w:name="_Toc74838181"/>
      <w:bookmarkStart w:id="107" w:name="_Toc83801043"/>
      <w:r w:rsidRPr="00173E60">
        <w:t>7.</w:t>
      </w:r>
      <w:r w:rsidRPr="00173E60">
        <w:tab/>
      </w:r>
      <w:r w:rsidR="00C76702" w:rsidRPr="00BA0C13">
        <w:rPr>
          <w:noProof/>
        </w:rPr>
        <w:t>How do the options compare?</w:t>
      </w:r>
      <w:bookmarkEnd w:id="105"/>
      <w:bookmarkEnd w:id="106"/>
      <w:bookmarkEnd w:id="107"/>
    </w:p>
    <w:p w14:paraId="1AC9C636" w14:textId="77777777" w:rsidR="008E75D7" w:rsidRPr="008E75D7" w:rsidRDefault="008E75D7" w:rsidP="008E75D7">
      <w:pPr>
        <w:pStyle w:val="ListParagraph"/>
        <w:numPr>
          <w:ilvl w:val="0"/>
          <w:numId w:val="77"/>
        </w:numPr>
        <w:spacing w:after="120" w:line="240" w:lineRule="auto"/>
        <w:contextualSpacing w:val="0"/>
        <w:jc w:val="both"/>
        <w:outlineLvl w:val="1"/>
        <w:rPr>
          <w:rFonts w:ascii="Times New Roman" w:eastAsia="Times New Roman" w:hAnsi="Times New Roman" w:cs="Times New Roman"/>
          <w:b/>
          <w:noProof/>
          <w:vanish/>
          <w:sz w:val="24"/>
          <w:szCs w:val="24"/>
          <w:shd w:val="clear" w:color="auto" w:fill="FFFFFF"/>
        </w:rPr>
      </w:pPr>
      <w:bookmarkStart w:id="108" w:name="_Toc74838182"/>
    </w:p>
    <w:p w14:paraId="49C5C18F" w14:textId="77777777" w:rsidR="00C76702" w:rsidRDefault="00C76702" w:rsidP="00094199">
      <w:pPr>
        <w:pStyle w:val="Heading2"/>
        <w:rPr>
          <w:noProof/>
        </w:rPr>
      </w:pPr>
      <w:bookmarkStart w:id="109" w:name="_Toc83801044"/>
      <w:r w:rsidRPr="00222DD7">
        <w:rPr>
          <w:noProof/>
        </w:rPr>
        <w:t>Objective I:</w:t>
      </w:r>
      <w:r w:rsidRPr="00144E3C">
        <w:rPr>
          <w:noProof/>
        </w:rPr>
        <w:t xml:space="preserve"> Facilitate equivalent access for law enforcement authorities to information held in another Member State, while complying with fundamental rights and data protection requirements</w:t>
      </w:r>
      <w:bookmarkEnd w:id="108"/>
      <w:bookmarkEnd w:id="109"/>
    </w:p>
    <w:tbl>
      <w:tblPr>
        <w:tblStyle w:val="TableGrid15"/>
        <w:tblW w:w="9781" w:type="dxa"/>
        <w:tblInd w:w="108" w:type="dxa"/>
        <w:tblLayout w:type="fixed"/>
        <w:tblLook w:val="04A0" w:firstRow="1" w:lastRow="0" w:firstColumn="1" w:lastColumn="0" w:noHBand="0" w:noVBand="1"/>
      </w:tblPr>
      <w:tblGrid>
        <w:gridCol w:w="4130"/>
        <w:gridCol w:w="1824"/>
        <w:gridCol w:w="1843"/>
        <w:gridCol w:w="1984"/>
      </w:tblGrid>
      <w:tr w:rsidR="00C76702" w14:paraId="631BFFFB" w14:textId="77777777" w:rsidTr="006D3495">
        <w:tc>
          <w:tcPr>
            <w:tcW w:w="9781" w:type="dxa"/>
            <w:gridSpan w:val="4"/>
            <w:shd w:val="clear" w:color="auto" w:fill="9CC2E5" w:themeFill="accent1" w:themeFillTint="99"/>
          </w:tcPr>
          <w:p w14:paraId="79B6565C"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Comparative assessment for objective I</w:t>
            </w:r>
          </w:p>
        </w:tc>
      </w:tr>
      <w:tr w:rsidR="00C76702" w14:paraId="308AB30B" w14:textId="77777777" w:rsidTr="00FC462E">
        <w:tc>
          <w:tcPr>
            <w:tcW w:w="4130" w:type="dxa"/>
            <w:shd w:val="clear" w:color="auto" w:fill="BDD6EE" w:themeFill="accent1" w:themeFillTint="66"/>
          </w:tcPr>
          <w:p w14:paraId="44382410" w14:textId="77777777" w:rsidR="00C76702" w:rsidRPr="00666E2A" w:rsidRDefault="00C76702" w:rsidP="00EB7963">
            <w:pPr>
              <w:spacing w:before="60" w:after="60"/>
              <w:rPr>
                <w:rFonts w:ascii="Verdana" w:hAnsi="Verdana"/>
                <w:noProof/>
                <w:sz w:val="16"/>
                <w:szCs w:val="16"/>
              </w:rPr>
            </w:pPr>
          </w:p>
        </w:tc>
        <w:tc>
          <w:tcPr>
            <w:tcW w:w="1824" w:type="dxa"/>
            <w:shd w:val="clear" w:color="auto" w:fill="BDD6EE" w:themeFill="accent1" w:themeFillTint="66"/>
          </w:tcPr>
          <w:p w14:paraId="38CC5886"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option 1</w:t>
            </w:r>
            <w:r w:rsidR="001C5034">
              <w:rPr>
                <w:rFonts w:ascii="Verdana" w:hAnsi="Verdana" w:cs="Times New Roman"/>
                <w:b/>
                <w:noProof/>
                <w:sz w:val="16"/>
                <w:szCs w:val="16"/>
              </w:rPr>
              <w:t>.1</w:t>
            </w:r>
          </w:p>
        </w:tc>
        <w:tc>
          <w:tcPr>
            <w:tcW w:w="1843" w:type="dxa"/>
            <w:shd w:val="clear" w:color="auto" w:fill="BDD6EE" w:themeFill="accent1" w:themeFillTint="66"/>
          </w:tcPr>
          <w:p w14:paraId="126CD6F0"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 xml:space="preserve">option </w:t>
            </w:r>
            <w:r w:rsidR="001C5034">
              <w:rPr>
                <w:rFonts w:ascii="Verdana" w:hAnsi="Verdana" w:cs="Times New Roman"/>
                <w:b/>
                <w:noProof/>
                <w:sz w:val="16"/>
                <w:szCs w:val="16"/>
              </w:rPr>
              <w:t>1.</w:t>
            </w:r>
            <w:r w:rsidRPr="00666E2A">
              <w:rPr>
                <w:rFonts w:ascii="Verdana" w:hAnsi="Verdana" w:cs="Times New Roman"/>
                <w:b/>
                <w:noProof/>
                <w:sz w:val="16"/>
                <w:szCs w:val="16"/>
              </w:rPr>
              <w:t>2</w:t>
            </w:r>
          </w:p>
        </w:tc>
        <w:tc>
          <w:tcPr>
            <w:tcW w:w="1984" w:type="dxa"/>
            <w:shd w:val="clear" w:color="auto" w:fill="BDD6EE" w:themeFill="accent1" w:themeFillTint="66"/>
          </w:tcPr>
          <w:p w14:paraId="747E68E3"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 xml:space="preserve">option </w:t>
            </w:r>
            <w:r w:rsidR="001C5034">
              <w:rPr>
                <w:rFonts w:ascii="Verdana" w:hAnsi="Verdana" w:cs="Times New Roman"/>
                <w:b/>
                <w:noProof/>
                <w:sz w:val="16"/>
                <w:szCs w:val="16"/>
              </w:rPr>
              <w:t>1.</w:t>
            </w:r>
            <w:r w:rsidRPr="00666E2A">
              <w:rPr>
                <w:rFonts w:ascii="Verdana" w:hAnsi="Verdana" w:cs="Times New Roman"/>
                <w:b/>
                <w:noProof/>
                <w:sz w:val="16"/>
                <w:szCs w:val="16"/>
              </w:rPr>
              <w:t>3</w:t>
            </w:r>
          </w:p>
        </w:tc>
      </w:tr>
      <w:tr w:rsidR="00C76702" w14:paraId="116678D5" w14:textId="77777777" w:rsidTr="00FC462E">
        <w:tc>
          <w:tcPr>
            <w:tcW w:w="4130" w:type="dxa"/>
            <w:shd w:val="clear" w:color="auto" w:fill="BDD6EE" w:themeFill="accent1" w:themeFillTint="66"/>
          </w:tcPr>
          <w:p w14:paraId="54037A19"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1. impact on citizens and businesses</w:t>
            </w:r>
          </w:p>
        </w:tc>
        <w:tc>
          <w:tcPr>
            <w:tcW w:w="1824" w:type="dxa"/>
            <w:shd w:val="clear" w:color="auto" w:fill="DEEAF6" w:themeFill="accent1" w:themeFillTint="33"/>
          </w:tcPr>
          <w:p w14:paraId="246FE767"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740D177B"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354ACB4F"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14:paraId="1E6EF82A" w14:textId="77777777" w:rsidTr="00FC462E">
        <w:tc>
          <w:tcPr>
            <w:tcW w:w="4130" w:type="dxa"/>
            <w:shd w:val="clear" w:color="auto" w:fill="BDD6EE" w:themeFill="accent1" w:themeFillTint="66"/>
          </w:tcPr>
          <w:p w14:paraId="233642C5"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2. impact on national authorities</w:t>
            </w:r>
          </w:p>
        </w:tc>
        <w:tc>
          <w:tcPr>
            <w:tcW w:w="1824" w:type="dxa"/>
            <w:shd w:val="clear" w:color="auto" w:fill="DEEAF6" w:themeFill="accent1" w:themeFillTint="33"/>
          </w:tcPr>
          <w:p w14:paraId="73AC4CAA"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34061271"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67FE361D"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14:paraId="18562534" w14:textId="77777777" w:rsidTr="00FC462E">
        <w:tc>
          <w:tcPr>
            <w:tcW w:w="4130" w:type="dxa"/>
            <w:shd w:val="clear" w:color="auto" w:fill="BDD6EE" w:themeFill="accent1" w:themeFillTint="66"/>
          </w:tcPr>
          <w:p w14:paraId="22331FE0"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3. impact on EU bodies</w:t>
            </w:r>
          </w:p>
        </w:tc>
        <w:tc>
          <w:tcPr>
            <w:tcW w:w="1824" w:type="dxa"/>
            <w:shd w:val="clear" w:color="auto" w:fill="DEEAF6" w:themeFill="accent1" w:themeFillTint="33"/>
          </w:tcPr>
          <w:p w14:paraId="1E5AAC31"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178CA926"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0A41C603"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14:paraId="30638079" w14:textId="77777777" w:rsidTr="00FC462E">
        <w:tc>
          <w:tcPr>
            <w:tcW w:w="4130" w:type="dxa"/>
            <w:shd w:val="clear" w:color="auto" w:fill="BDD6EE" w:themeFill="accent1" w:themeFillTint="66"/>
          </w:tcPr>
          <w:p w14:paraId="3BDDF3A3"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4. impact on Fundamental Rights</w:t>
            </w:r>
          </w:p>
        </w:tc>
        <w:tc>
          <w:tcPr>
            <w:tcW w:w="1824" w:type="dxa"/>
            <w:shd w:val="clear" w:color="auto" w:fill="DEEAF6" w:themeFill="accent1" w:themeFillTint="33"/>
          </w:tcPr>
          <w:p w14:paraId="4CD89373" w14:textId="08E12DBF" w:rsidR="00C76702" w:rsidRPr="00666E2A" w:rsidRDefault="00FA0D3C"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n/a</w:t>
            </w:r>
          </w:p>
        </w:tc>
        <w:tc>
          <w:tcPr>
            <w:tcW w:w="1843" w:type="dxa"/>
            <w:shd w:val="clear" w:color="auto" w:fill="DEEAF6" w:themeFill="accent1" w:themeFillTint="33"/>
          </w:tcPr>
          <w:p w14:paraId="2B9D7773" w14:textId="597262B8" w:rsidR="00C76702" w:rsidRPr="00666E2A" w:rsidRDefault="00FA0D3C"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n/a</w:t>
            </w:r>
          </w:p>
        </w:tc>
        <w:tc>
          <w:tcPr>
            <w:tcW w:w="1984" w:type="dxa"/>
            <w:shd w:val="clear" w:color="auto" w:fill="DEEAF6" w:themeFill="accent1" w:themeFillTint="33"/>
          </w:tcPr>
          <w:p w14:paraId="52FC33FE"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14:paraId="45A37775" w14:textId="77777777" w:rsidTr="00FC462E">
        <w:tc>
          <w:tcPr>
            <w:tcW w:w="4130" w:type="dxa"/>
            <w:shd w:val="clear" w:color="auto" w:fill="BDD6EE" w:themeFill="accent1" w:themeFillTint="66"/>
          </w:tcPr>
          <w:p w14:paraId="74447CB1"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5. effectiveness in meeting the policy objectives</w:t>
            </w:r>
          </w:p>
        </w:tc>
        <w:tc>
          <w:tcPr>
            <w:tcW w:w="1824" w:type="dxa"/>
            <w:shd w:val="clear" w:color="auto" w:fill="DEEAF6" w:themeFill="accent1" w:themeFillTint="33"/>
          </w:tcPr>
          <w:p w14:paraId="0270913C"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338052E2"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5CF888C3"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14:paraId="4AE3131D" w14:textId="77777777" w:rsidTr="00FC462E">
        <w:tc>
          <w:tcPr>
            <w:tcW w:w="4130" w:type="dxa"/>
            <w:shd w:val="clear" w:color="auto" w:fill="BDD6EE" w:themeFill="accent1" w:themeFillTint="66"/>
          </w:tcPr>
          <w:p w14:paraId="2B2A9C72"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6. efficiency in meeting the policy objectives</w:t>
            </w:r>
          </w:p>
        </w:tc>
        <w:tc>
          <w:tcPr>
            <w:tcW w:w="1824" w:type="dxa"/>
            <w:shd w:val="clear" w:color="auto" w:fill="DEEAF6" w:themeFill="accent1" w:themeFillTint="33"/>
          </w:tcPr>
          <w:p w14:paraId="1CC08C32" w14:textId="1B3D2B2F" w:rsidR="00C76702" w:rsidRPr="00666E2A" w:rsidRDefault="00A04EF4"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843" w:type="dxa"/>
            <w:shd w:val="clear" w:color="auto" w:fill="DEEAF6" w:themeFill="accent1" w:themeFillTint="33"/>
          </w:tcPr>
          <w:p w14:paraId="21CF1848" w14:textId="39CB00A7" w:rsidR="00C76702" w:rsidRPr="00666E2A" w:rsidRDefault="00A04EF4"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4" w:type="dxa"/>
            <w:shd w:val="clear" w:color="auto" w:fill="DEEAF6" w:themeFill="accent1" w:themeFillTint="33"/>
          </w:tcPr>
          <w:p w14:paraId="20E34BE3" w14:textId="2EDA1F4B" w:rsidR="00C76702" w:rsidRPr="00666E2A" w:rsidRDefault="00A04EF4"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r>
      <w:tr w:rsidR="00C76702" w14:paraId="3DD3D2F1" w14:textId="77777777" w:rsidTr="00FC462E">
        <w:tc>
          <w:tcPr>
            <w:tcW w:w="4130" w:type="dxa"/>
            <w:shd w:val="clear" w:color="auto" w:fill="BDD6EE" w:themeFill="accent1" w:themeFillTint="66"/>
          </w:tcPr>
          <w:p w14:paraId="04611C9A"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7. legal feasibility</w:t>
            </w:r>
          </w:p>
        </w:tc>
        <w:tc>
          <w:tcPr>
            <w:tcW w:w="1824" w:type="dxa"/>
            <w:shd w:val="clear" w:color="auto" w:fill="DEEAF6" w:themeFill="accent1" w:themeFillTint="33"/>
          </w:tcPr>
          <w:p w14:paraId="1C92E3FD" w14:textId="7B47C6F8" w:rsidR="00C76702" w:rsidRPr="00666E2A" w:rsidRDefault="000607FE">
            <w:pPr>
              <w:spacing w:before="60" w:after="60" w:line="240" w:lineRule="auto"/>
              <w:jc w:val="center"/>
              <w:rPr>
                <w:rFonts w:ascii="Verdana" w:hAnsi="Verdana" w:cs="Times New Roman"/>
                <w:noProof/>
                <w:sz w:val="16"/>
                <w:szCs w:val="16"/>
              </w:rPr>
            </w:pPr>
            <w:r>
              <w:rPr>
                <w:rFonts w:ascii="Verdana" w:hAnsi="Verdana" w:cs="Times New Roman"/>
                <w:noProof/>
                <w:sz w:val="16"/>
                <w:szCs w:val="16"/>
              </w:rPr>
              <w:t>0</w:t>
            </w:r>
          </w:p>
        </w:tc>
        <w:tc>
          <w:tcPr>
            <w:tcW w:w="1843" w:type="dxa"/>
            <w:shd w:val="clear" w:color="auto" w:fill="DEEAF6" w:themeFill="accent1" w:themeFillTint="33"/>
          </w:tcPr>
          <w:p w14:paraId="4A41228C"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3FD73332"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5106E2" w14:paraId="0116894B" w14:textId="77777777" w:rsidTr="00FC462E">
        <w:tc>
          <w:tcPr>
            <w:tcW w:w="4130" w:type="dxa"/>
            <w:shd w:val="clear" w:color="auto" w:fill="BDD6EE" w:themeFill="accent1" w:themeFillTint="66"/>
          </w:tcPr>
          <w:p w14:paraId="02502FDC" w14:textId="77777777" w:rsidR="005106E2" w:rsidRPr="00666E2A" w:rsidRDefault="005106E2" w:rsidP="00704502">
            <w:pPr>
              <w:spacing w:before="60" w:after="60" w:line="240" w:lineRule="auto"/>
              <w:rPr>
                <w:rFonts w:ascii="Verdana" w:hAnsi="Verdana" w:cs="Times New Roman"/>
                <w:noProof/>
                <w:sz w:val="16"/>
                <w:szCs w:val="16"/>
              </w:rPr>
            </w:pPr>
            <w:r>
              <w:rPr>
                <w:rFonts w:ascii="Verdana" w:hAnsi="Verdana" w:cs="Times New Roman"/>
                <w:noProof/>
                <w:sz w:val="16"/>
                <w:szCs w:val="16"/>
              </w:rPr>
              <w:t xml:space="preserve">8. </w:t>
            </w:r>
            <w:r w:rsidRPr="00666E2A">
              <w:rPr>
                <w:rFonts w:ascii="Verdana" w:hAnsi="Verdana" w:cs="Times New Roman"/>
                <w:noProof/>
                <w:sz w:val="16"/>
                <w:szCs w:val="16"/>
              </w:rPr>
              <w:t>technical feasibility</w:t>
            </w:r>
          </w:p>
        </w:tc>
        <w:tc>
          <w:tcPr>
            <w:tcW w:w="1824" w:type="dxa"/>
            <w:shd w:val="clear" w:color="auto" w:fill="DEEAF6" w:themeFill="accent1" w:themeFillTint="33"/>
          </w:tcPr>
          <w:p w14:paraId="5948C943" w14:textId="77777777" w:rsidR="005106E2" w:rsidRPr="00666E2A" w:rsidRDefault="005106E2"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843" w:type="dxa"/>
            <w:shd w:val="clear" w:color="auto" w:fill="DEEAF6" w:themeFill="accent1" w:themeFillTint="33"/>
          </w:tcPr>
          <w:p w14:paraId="585DEDFA" w14:textId="77777777" w:rsidR="005106E2" w:rsidRPr="00666E2A" w:rsidRDefault="005106E2"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4" w:type="dxa"/>
            <w:shd w:val="clear" w:color="auto" w:fill="DEEAF6" w:themeFill="accent1" w:themeFillTint="33"/>
          </w:tcPr>
          <w:p w14:paraId="267F6A1C" w14:textId="77777777" w:rsidR="005106E2" w:rsidRPr="00666E2A" w:rsidRDefault="005106E2"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r>
      <w:tr w:rsidR="00C76702" w14:paraId="4C162DD4" w14:textId="77777777" w:rsidTr="00FC462E">
        <w:tc>
          <w:tcPr>
            <w:tcW w:w="4130" w:type="dxa"/>
            <w:shd w:val="clear" w:color="auto" w:fill="BDD6EE" w:themeFill="accent1" w:themeFillTint="66"/>
          </w:tcPr>
          <w:p w14:paraId="7478FBD4" w14:textId="2AD588C3" w:rsidR="00C76702" w:rsidRPr="00666E2A" w:rsidRDefault="00F23F7A" w:rsidP="00F23F7A">
            <w:pPr>
              <w:spacing w:before="60" w:after="60" w:line="240" w:lineRule="auto"/>
              <w:rPr>
                <w:rFonts w:ascii="Verdana" w:hAnsi="Verdana" w:cs="Times New Roman"/>
                <w:noProof/>
                <w:sz w:val="16"/>
                <w:szCs w:val="16"/>
              </w:rPr>
            </w:pPr>
            <w:r>
              <w:rPr>
                <w:rFonts w:ascii="Verdana" w:hAnsi="Verdana" w:cs="Times New Roman"/>
                <w:noProof/>
                <w:sz w:val="16"/>
                <w:szCs w:val="16"/>
              </w:rPr>
              <w:t>9</w:t>
            </w:r>
            <w:r w:rsidR="00C76702" w:rsidRPr="00666E2A">
              <w:rPr>
                <w:rFonts w:ascii="Verdana" w:hAnsi="Verdana" w:cs="Times New Roman"/>
                <w:noProof/>
                <w:sz w:val="16"/>
                <w:szCs w:val="16"/>
              </w:rPr>
              <w:t>. coherence with other measures</w:t>
            </w:r>
          </w:p>
        </w:tc>
        <w:tc>
          <w:tcPr>
            <w:tcW w:w="1824" w:type="dxa"/>
            <w:shd w:val="clear" w:color="auto" w:fill="DEEAF6" w:themeFill="accent1" w:themeFillTint="33"/>
          </w:tcPr>
          <w:p w14:paraId="6061F56A"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2910D806"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063C22F8"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14:paraId="320AA555" w14:textId="77777777" w:rsidTr="00FC462E">
        <w:tc>
          <w:tcPr>
            <w:tcW w:w="4130" w:type="dxa"/>
            <w:shd w:val="clear" w:color="auto" w:fill="9CC2E5" w:themeFill="accent1" w:themeFillTint="99"/>
          </w:tcPr>
          <w:p w14:paraId="09E8FE87" w14:textId="77777777" w:rsidR="00C76702" w:rsidRPr="00666E2A" w:rsidRDefault="00C76702" w:rsidP="00704502">
            <w:pPr>
              <w:spacing w:before="60" w:after="60" w:line="240" w:lineRule="auto"/>
              <w:rPr>
                <w:rFonts w:ascii="Verdana" w:hAnsi="Verdana" w:cs="Times New Roman"/>
                <w:b/>
                <w:noProof/>
                <w:sz w:val="16"/>
                <w:szCs w:val="16"/>
              </w:rPr>
            </w:pPr>
            <w:r w:rsidRPr="00666E2A">
              <w:rPr>
                <w:rFonts w:ascii="Verdana" w:hAnsi="Verdana" w:cs="Times New Roman"/>
                <w:b/>
                <w:noProof/>
                <w:sz w:val="16"/>
                <w:szCs w:val="16"/>
              </w:rPr>
              <w:t>Preferred policy option</w:t>
            </w:r>
          </w:p>
        </w:tc>
        <w:tc>
          <w:tcPr>
            <w:tcW w:w="1824" w:type="dxa"/>
            <w:shd w:val="clear" w:color="auto" w:fill="9CC2E5" w:themeFill="accent1" w:themeFillTint="99"/>
          </w:tcPr>
          <w:p w14:paraId="4A7932B8" w14:textId="77777777" w:rsidR="00C76702" w:rsidRPr="00666E2A" w:rsidRDefault="00C76702" w:rsidP="00704502">
            <w:pPr>
              <w:spacing w:before="60" w:after="60" w:line="240" w:lineRule="auto"/>
              <w:jc w:val="center"/>
              <w:rPr>
                <w:rFonts w:ascii="Verdana" w:hAnsi="Verdana" w:cs="Times New Roman"/>
                <w:b/>
                <w:noProof/>
                <w:sz w:val="16"/>
                <w:szCs w:val="16"/>
              </w:rPr>
            </w:pPr>
          </w:p>
        </w:tc>
        <w:tc>
          <w:tcPr>
            <w:tcW w:w="1843" w:type="dxa"/>
            <w:shd w:val="clear" w:color="auto" w:fill="9CC2E5" w:themeFill="accent1" w:themeFillTint="99"/>
          </w:tcPr>
          <w:p w14:paraId="269BA718" w14:textId="77777777" w:rsidR="00C76702" w:rsidRPr="00666E2A" w:rsidRDefault="00C76702" w:rsidP="00704502">
            <w:pPr>
              <w:spacing w:before="60" w:after="60" w:line="240" w:lineRule="auto"/>
              <w:jc w:val="center"/>
              <w:rPr>
                <w:rFonts w:ascii="Verdana" w:hAnsi="Verdana" w:cs="Times New Roman"/>
                <w:b/>
                <w:noProof/>
                <w:sz w:val="16"/>
                <w:szCs w:val="16"/>
              </w:rPr>
            </w:pPr>
          </w:p>
        </w:tc>
        <w:tc>
          <w:tcPr>
            <w:tcW w:w="1984" w:type="dxa"/>
            <w:shd w:val="clear" w:color="auto" w:fill="9CC2E5" w:themeFill="accent1" w:themeFillTint="99"/>
          </w:tcPr>
          <w:p w14:paraId="3C660CED" w14:textId="77777777" w:rsidR="00C76702" w:rsidRPr="00666E2A" w:rsidRDefault="00C76702" w:rsidP="00704502">
            <w:pPr>
              <w:spacing w:before="60" w:after="60" w:line="240" w:lineRule="auto"/>
              <w:jc w:val="center"/>
              <w:rPr>
                <w:rFonts w:ascii="Verdana" w:hAnsi="Verdana" w:cs="Times New Roman"/>
                <w:b/>
                <w:noProof/>
                <w:sz w:val="16"/>
                <w:szCs w:val="16"/>
              </w:rPr>
            </w:pPr>
            <w:r w:rsidRPr="00F977A3">
              <w:rPr>
                <w:rFonts w:ascii="Verdana" w:hAnsi="Verdana" w:cs="Times New Roman"/>
                <w:b/>
                <w:noProof/>
                <w:sz w:val="16"/>
                <w:szCs w:val="16"/>
              </w:rPr>
              <w:t>X</w:t>
            </w:r>
          </w:p>
        </w:tc>
      </w:tr>
    </w:tbl>
    <w:p w14:paraId="5D75816C" w14:textId="77777777" w:rsidR="00C76702" w:rsidRDefault="00C76702" w:rsidP="00C76702">
      <w:pPr>
        <w:spacing w:before="120" w:after="120" w:line="240" w:lineRule="auto"/>
        <w:jc w:val="both"/>
        <w:rPr>
          <w:rFonts w:ascii="Times New Roman" w:hAnsi="Times New Roman" w:cs="Times New Roman"/>
          <w:noProof/>
          <w:sz w:val="24"/>
        </w:rPr>
      </w:pPr>
      <w:r w:rsidRPr="00CD51FA">
        <w:rPr>
          <w:rFonts w:ascii="Times New Roman" w:hAnsi="Times New Roman" w:cs="Times New Roman"/>
          <w:noProof/>
          <w:sz w:val="24"/>
        </w:rPr>
        <w:t xml:space="preserve">The policy options are cumulative in the sense that policy option </w:t>
      </w:r>
      <w:r w:rsidR="00155F5A">
        <w:rPr>
          <w:rFonts w:ascii="Times New Roman" w:hAnsi="Times New Roman" w:cs="Times New Roman"/>
          <w:noProof/>
          <w:sz w:val="24"/>
        </w:rPr>
        <w:t>1.</w:t>
      </w:r>
      <w:r w:rsidRPr="00CD51FA">
        <w:rPr>
          <w:rFonts w:ascii="Times New Roman" w:hAnsi="Times New Roman" w:cs="Times New Roman"/>
          <w:noProof/>
          <w:sz w:val="24"/>
        </w:rPr>
        <w:t>2 builds on policy option 1</w:t>
      </w:r>
      <w:r w:rsidR="00155F5A">
        <w:rPr>
          <w:rFonts w:ascii="Times New Roman" w:hAnsi="Times New Roman" w:cs="Times New Roman"/>
          <w:noProof/>
          <w:sz w:val="24"/>
        </w:rPr>
        <w:t>.1</w:t>
      </w:r>
      <w:r w:rsidRPr="00CD51FA">
        <w:rPr>
          <w:rFonts w:ascii="Times New Roman" w:hAnsi="Times New Roman" w:cs="Times New Roman"/>
          <w:noProof/>
          <w:sz w:val="24"/>
        </w:rPr>
        <w:t>, and policy opt</w:t>
      </w:r>
      <w:r>
        <w:rPr>
          <w:rFonts w:ascii="Times New Roman" w:hAnsi="Times New Roman" w:cs="Times New Roman"/>
          <w:noProof/>
          <w:sz w:val="24"/>
        </w:rPr>
        <w:t xml:space="preserve">ion </w:t>
      </w:r>
      <w:r w:rsidR="00155F5A">
        <w:rPr>
          <w:rFonts w:ascii="Times New Roman" w:hAnsi="Times New Roman" w:cs="Times New Roman"/>
          <w:noProof/>
          <w:sz w:val="24"/>
        </w:rPr>
        <w:t>1.</w:t>
      </w:r>
      <w:r>
        <w:rPr>
          <w:rFonts w:ascii="Times New Roman" w:hAnsi="Times New Roman" w:cs="Times New Roman"/>
          <w:noProof/>
          <w:sz w:val="24"/>
        </w:rPr>
        <w:t>3 builds on policy option</w:t>
      </w:r>
      <w:r w:rsidRPr="00CD51FA">
        <w:rPr>
          <w:rFonts w:ascii="Times New Roman" w:hAnsi="Times New Roman" w:cs="Times New Roman"/>
          <w:noProof/>
          <w:sz w:val="24"/>
        </w:rPr>
        <w:t xml:space="preserve"> </w:t>
      </w:r>
      <w:r w:rsidR="00155F5A">
        <w:rPr>
          <w:rFonts w:ascii="Times New Roman" w:hAnsi="Times New Roman" w:cs="Times New Roman"/>
          <w:noProof/>
          <w:sz w:val="24"/>
        </w:rPr>
        <w:t>1.</w:t>
      </w:r>
      <w:r w:rsidRPr="00CD51FA">
        <w:rPr>
          <w:rFonts w:ascii="Times New Roman" w:hAnsi="Times New Roman" w:cs="Times New Roman"/>
          <w:noProof/>
          <w:sz w:val="24"/>
        </w:rPr>
        <w:t>2.</w:t>
      </w:r>
    </w:p>
    <w:p w14:paraId="7FF2FA60" w14:textId="7B06F121" w:rsidR="00C76702" w:rsidRDefault="00C76702" w:rsidP="00C76702">
      <w:pPr>
        <w:spacing w:after="120" w:line="240" w:lineRule="auto"/>
        <w:jc w:val="both"/>
        <w:rPr>
          <w:rFonts w:ascii="Times New Roman" w:hAnsi="Times New Roman" w:cs="Times New Roman"/>
          <w:noProof/>
          <w:sz w:val="24"/>
        </w:rPr>
      </w:pPr>
      <w:r w:rsidRPr="00CD51FA">
        <w:rPr>
          <w:rFonts w:ascii="Times New Roman" w:hAnsi="Times New Roman" w:cs="Times New Roman"/>
          <w:b/>
          <w:noProof/>
          <w:sz w:val="24"/>
        </w:rPr>
        <w:t xml:space="preserve">Policy option </w:t>
      </w:r>
      <w:r w:rsidR="00155F5A">
        <w:rPr>
          <w:rFonts w:ascii="Times New Roman" w:hAnsi="Times New Roman" w:cs="Times New Roman"/>
          <w:b/>
          <w:noProof/>
          <w:sz w:val="24"/>
        </w:rPr>
        <w:t>1.</w:t>
      </w:r>
      <w:r w:rsidRPr="00CD51FA">
        <w:rPr>
          <w:rFonts w:ascii="Times New Roman" w:hAnsi="Times New Roman" w:cs="Times New Roman"/>
          <w:b/>
          <w:noProof/>
          <w:sz w:val="24"/>
        </w:rPr>
        <w:t>3</w:t>
      </w:r>
      <w:r w:rsidRPr="00CD51FA">
        <w:rPr>
          <w:rFonts w:ascii="Times New Roman" w:hAnsi="Times New Roman" w:cs="Times New Roman"/>
          <w:noProof/>
          <w:sz w:val="24"/>
        </w:rPr>
        <w:t xml:space="preserve"> </w:t>
      </w:r>
      <w:r w:rsidRPr="00CD51FA">
        <w:rPr>
          <w:rFonts w:ascii="Times New Roman" w:hAnsi="Times New Roman" w:cs="Times New Roman"/>
          <w:b/>
          <w:noProof/>
          <w:sz w:val="24"/>
        </w:rPr>
        <w:t>is the preferred option</w:t>
      </w:r>
      <w:r w:rsidR="00E06101" w:rsidRPr="00C17C97">
        <w:rPr>
          <w:rStyle w:val="FootnoteReference"/>
          <w:rFonts w:ascii="Times New Roman" w:hAnsi="Times New Roman" w:cs="Times New Roman"/>
          <w:noProof/>
          <w:sz w:val="24"/>
        </w:rPr>
        <w:footnoteReference w:id="100"/>
      </w:r>
      <w:r w:rsidRPr="00CD51FA">
        <w:rPr>
          <w:rFonts w:ascii="Times New Roman" w:hAnsi="Times New Roman" w:cs="Times New Roman"/>
          <w:noProof/>
          <w:sz w:val="24"/>
        </w:rPr>
        <w:t>. Under this policy option</w:t>
      </w:r>
      <w:r>
        <w:rPr>
          <w:rFonts w:ascii="Times New Roman" w:hAnsi="Times New Roman" w:cs="Times New Roman"/>
          <w:noProof/>
          <w:sz w:val="24"/>
        </w:rPr>
        <w:t>, not only the 2006 Swedish Framework Decision</w:t>
      </w:r>
      <w:r w:rsidR="00717F92">
        <w:rPr>
          <w:rFonts w:ascii="Times New Roman" w:hAnsi="Times New Roman" w:cs="Times New Roman"/>
          <w:noProof/>
          <w:sz w:val="24"/>
        </w:rPr>
        <w:t xml:space="preserve"> (SFD)</w:t>
      </w:r>
      <w:r>
        <w:rPr>
          <w:rFonts w:ascii="Times New Roman" w:hAnsi="Times New Roman" w:cs="Times New Roman"/>
          <w:noProof/>
          <w:sz w:val="24"/>
        </w:rPr>
        <w:t xml:space="preserve"> will be aligned with the 2016 Data Protection Law Enforcement Directive (LED), but its use will be simplified</w:t>
      </w:r>
      <w:r w:rsidR="00D75AF0">
        <w:rPr>
          <w:rFonts w:ascii="Times New Roman" w:hAnsi="Times New Roman" w:cs="Times New Roman"/>
          <w:noProof/>
          <w:sz w:val="24"/>
        </w:rPr>
        <w:t>. T</w:t>
      </w:r>
      <w:r w:rsidR="003B62D9">
        <w:rPr>
          <w:rFonts w:ascii="Times New Roman" w:hAnsi="Times New Roman" w:cs="Times New Roman"/>
          <w:noProof/>
          <w:sz w:val="24"/>
        </w:rPr>
        <w:t>he data sets available for possible exchange</w:t>
      </w:r>
      <w:r w:rsidR="00D75AF0">
        <w:rPr>
          <w:rFonts w:ascii="Times New Roman" w:hAnsi="Times New Roman" w:cs="Times New Roman"/>
          <w:noProof/>
          <w:sz w:val="24"/>
        </w:rPr>
        <w:t xml:space="preserve"> will  also be clarified</w:t>
      </w:r>
      <w:r>
        <w:rPr>
          <w:rFonts w:ascii="Times New Roman" w:hAnsi="Times New Roman" w:cs="Times New Roman"/>
          <w:noProof/>
          <w:sz w:val="24"/>
        </w:rPr>
        <w:t xml:space="preserve">. </w:t>
      </w:r>
      <w:r w:rsidR="00D75AF0">
        <w:rPr>
          <w:rFonts w:ascii="Times New Roman" w:hAnsi="Times New Roman" w:cs="Times New Roman"/>
          <w:noProof/>
          <w:sz w:val="24"/>
        </w:rPr>
        <w:t>Furthermore, t</w:t>
      </w:r>
      <w:r>
        <w:rPr>
          <w:rFonts w:ascii="Times New Roman" w:hAnsi="Times New Roman" w:cs="Times New Roman"/>
          <w:noProof/>
          <w:sz w:val="24"/>
        </w:rPr>
        <w:t xml:space="preserve">he revision of the deadline requirements, even when a judicial authority is involved, will improve the timely access to information. </w:t>
      </w:r>
      <w:r w:rsidR="00994DC5">
        <w:rPr>
          <w:rFonts w:ascii="Times New Roman" w:hAnsi="Times New Roman" w:cs="Times New Roman"/>
          <w:noProof/>
          <w:sz w:val="24"/>
        </w:rPr>
        <w:t xml:space="preserve">Flanking measures will be defined by a supporting informal expert group set up by the Commmission. </w:t>
      </w:r>
      <w:r>
        <w:rPr>
          <w:rFonts w:ascii="Times New Roman" w:hAnsi="Times New Roman" w:cs="Times New Roman"/>
          <w:noProof/>
          <w:sz w:val="24"/>
        </w:rPr>
        <w:t xml:space="preserve">This </w:t>
      </w:r>
      <w:r w:rsidR="00D16822">
        <w:rPr>
          <w:rFonts w:ascii="Times New Roman" w:hAnsi="Times New Roman" w:cs="Times New Roman"/>
          <w:noProof/>
          <w:sz w:val="24"/>
        </w:rPr>
        <w:t xml:space="preserve">policy option </w:t>
      </w:r>
      <w:r>
        <w:rPr>
          <w:rFonts w:ascii="Times New Roman" w:hAnsi="Times New Roman" w:cs="Times New Roman"/>
          <w:noProof/>
          <w:sz w:val="24"/>
        </w:rPr>
        <w:t xml:space="preserve">will have a positive ripple effect on Schengen Associated Countries. </w:t>
      </w:r>
    </w:p>
    <w:p w14:paraId="1D1F58CB" w14:textId="77777777" w:rsidR="00C76702" w:rsidRDefault="00C76702" w:rsidP="00C76702">
      <w:pPr>
        <w:spacing w:after="120" w:line="240" w:lineRule="auto"/>
        <w:jc w:val="both"/>
        <w:rPr>
          <w:rFonts w:ascii="Times New Roman" w:hAnsi="Times New Roman" w:cs="Times New Roman"/>
          <w:noProof/>
          <w:sz w:val="24"/>
        </w:rPr>
      </w:pPr>
      <w:r w:rsidRPr="00C21EAF">
        <w:rPr>
          <w:rFonts w:ascii="Times New Roman" w:hAnsi="Times New Roman" w:cs="Times New Roman"/>
          <w:bCs/>
          <w:noProof/>
          <w:sz w:val="24"/>
        </w:rPr>
        <w:t>Indeed, as part of the online survey conducted within the framework of this study, almost all Heads of SPOCs of the EU Member States and S</w:t>
      </w:r>
      <w:r w:rsidR="00684CBE">
        <w:rPr>
          <w:rFonts w:ascii="Times New Roman" w:hAnsi="Times New Roman" w:cs="Times New Roman"/>
          <w:bCs/>
          <w:noProof/>
          <w:sz w:val="24"/>
        </w:rPr>
        <w:t xml:space="preserve">chengen </w:t>
      </w:r>
      <w:r w:rsidRPr="00C21EAF">
        <w:rPr>
          <w:rFonts w:ascii="Times New Roman" w:hAnsi="Times New Roman" w:cs="Times New Roman"/>
          <w:bCs/>
          <w:noProof/>
          <w:sz w:val="24"/>
        </w:rPr>
        <w:t>A</w:t>
      </w:r>
      <w:r w:rsidR="00684CBE">
        <w:rPr>
          <w:rFonts w:ascii="Times New Roman" w:hAnsi="Times New Roman" w:cs="Times New Roman"/>
          <w:bCs/>
          <w:noProof/>
          <w:sz w:val="24"/>
        </w:rPr>
        <w:t xml:space="preserve">ssociated </w:t>
      </w:r>
      <w:r w:rsidRPr="00C21EAF">
        <w:rPr>
          <w:rFonts w:ascii="Times New Roman" w:hAnsi="Times New Roman" w:cs="Times New Roman"/>
          <w:bCs/>
          <w:noProof/>
          <w:sz w:val="24"/>
        </w:rPr>
        <w:t>C</w:t>
      </w:r>
      <w:r w:rsidR="00684CBE">
        <w:rPr>
          <w:rFonts w:ascii="Times New Roman" w:hAnsi="Times New Roman" w:cs="Times New Roman"/>
          <w:bCs/>
          <w:noProof/>
          <w:sz w:val="24"/>
        </w:rPr>
        <w:t>ountrie</w:t>
      </w:r>
      <w:r w:rsidRPr="00C21EAF">
        <w:rPr>
          <w:rFonts w:ascii="Times New Roman" w:hAnsi="Times New Roman" w:cs="Times New Roman"/>
          <w:bCs/>
          <w:noProof/>
          <w:sz w:val="24"/>
        </w:rPr>
        <w:t xml:space="preserve">s confirmed that the existing barriers lead to increased time needed for investigations, as well as – in the worst case – discontinued investigations. Moreover, according to the survey respondents, delays were estimated to typically be </w:t>
      </w:r>
      <w:r w:rsidR="00BD1F59">
        <w:rPr>
          <w:rFonts w:ascii="Times New Roman" w:hAnsi="Times New Roman" w:cs="Times New Roman"/>
          <w:bCs/>
          <w:noProof/>
          <w:sz w:val="24"/>
        </w:rPr>
        <w:t xml:space="preserve">of </w:t>
      </w:r>
      <w:r w:rsidRPr="00C21EAF">
        <w:rPr>
          <w:rFonts w:ascii="Times New Roman" w:hAnsi="Times New Roman" w:cs="Times New Roman"/>
          <w:bCs/>
          <w:noProof/>
          <w:sz w:val="24"/>
        </w:rPr>
        <w:t>two to four weeks in almost half of the cases in which delays occurred. Even longer delays were reported to be experienced in the largest part of the rest of the cases</w:t>
      </w:r>
      <w:r w:rsidR="008E7886">
        <w:rPr>
          <w:rFonts w:ascii="Times New Roman" w:hAnsi="Times New Roman" w:cs="Times New Roman"/>
          <w:bCs/>
          <w:noProof/>
          <w:sz w:val="24"/>
        </w:rPr>
        <w:t xml:space="preserve"> experiencing delays</w:t>
      </w:r>
      <w:r w:rsidRPr="00C21EAF">
        <w:rPr>
          <w:rFonts w:ascii="Times New Roman" w:hAnsi="Times New Roman" w:cs="Times New Roman"/>
          <w:bCs/>
          <w:noProof/>
          <w:sz w:val="24"/>
        </w:rPr>
        <w:t>. Such delays are clearly hampering the efficient implementation of law enforcement operations in intra-EU cross-border cases.</w:t>
      </w:r>
    </w:p>
    <w:p w14:paraId="569E3019" w14:textId="754ABEFC" w:rsidR="00C76702" w:rsidRDefault="00C76702" w:rsidP="00C76702">
      <w:pPr>
        <w:spacing w:after="120" w:line="240" w:lineRule="auto"/>
        <w:jc w:val="both"/>
        <w:rPr>
          <w:rFonts w:ascii="Times New Roman" w:hAnsi="Times New Roman" w:cs="Times New Roman"/>
          <w:noProof/>
          <w:sz w:val="24"/>
        </w:rPr>
      </w:pPr>
      <w:r>
        <w:rPr>
          <w:rFonts w:ascii="Times New Roman" w:hAnsi="Times New Roman" w:cs="Times New Roman"/>
          <w:b/>
          <w:noProof/>
          <w:sz w:val="24"/>
        </w:rPr>
        <w:t xml:space="preserve">Efficiency and effectiveness. </w:t>
      </w:r>
      <w:r w:rsidRPr="00227838">
        <w:rPr>
          <w:rFonts w:ascii="Times New Roman" w:hAnsi="Times New Roman" w:cs="Times New Roman"/>
          <w:b/>
          <w:noProof/>
          <w:sz w:val="24"/>
        </w:rPr>
        <w:t xml:space="preserve">Policy option </w:t>
      </w:r>
      <w:r w:rsidR="00155F5A">
        <w:rPr>
          <w:rFonts w:ascii="Times New Roman" w:hAnsi="Times New Roman" w:cs="Times New Roman"/>
          <w:b/>
          <w:noProof/>
          <w:sz w:val="24"/>
        </w:rPr>
        <w:t>1.</w:t>
      </w:r>
      <w:r w:rsidRPr="00227838">
        <w:rPr>
          <w:rFonts w:ascii="Times New Roman" w:hAnsi="Times New Roman" w:cs="Times New Roman"/>
          <w:b/>
          <w:noProof/>
          <w:sz w:val="24"/>
        </w:rPr>
        <w:t>3</w:t>
      </w:r>
      <w:r>
        <w:rPr>
          <w:rFonts w:ascii="Times New Roman" w:hAnsi="Times New Roman" w:cs="Times New Roman"/>
          <w:noProof/>
          <w:sz w:val="24"/>
        </w:rPr>
        <w:t xml:space="preserve"> is more efficient and effective than the </w:t>
      </w:r>
      <w:r w:rsidRPr="00063274">
        <w:rPr>
          <w:rFonts w:ascii="Times New Roman" w:hAnsi="Times New Roman" w:cs="Times New Roman"/>
          <w:b/>
          <w:noProof/>
          <w:sz w:val="24"/>
        </w:rPr>
        <w:t>policy option</w:t>
      </w:r>
      <w:r w:rsidR="00C00FE5">
        <w:rPr>
          <w:rFonts w:ascii="Times New Roman" w:hAnsi="Times New Roman" w:cs="Times New Roman"/>
          <w:b/>
          <w:noProof/>
          <w:sz w:val="24"/>
        </w:rPr>
        <w:t>s</w:t>
      </w:r>
      <w:r w:rsidRPr="00063274">
        <w:rPr>
          <w:rFonts w:ascii="Times New Roman" w:hAnsi="Times New Roman" w:cs="Times New Roman"/>
          <w:b/>
          <w:noProof/>
          <w:sz w:val="24"/>
        </w:rPr>
        <w:t xml:space="preserve"> 1</w:t>
      </w:r>
      <w:r w:rsidR="00155F5A">
        <w:rPr>
          <w:rFonts w:ascii="Times New Roman" w:hAnsi="Times New Roman" w:cs="Times New Roman"/>
          <w:b/>
          <w:noProof/>
          <w:sz w:val="24"/>
        </w:rPr>
        <w:t>.1</w:t>
      </w:r>
      <w:r>
        <w:rPr>
          <w:rFonts w:ascii="Times New Roman" w:hAnsi="Times New Roman" w:cs="Times New Roman"/>
          <w:b/>
          <w:noProof/>
          <w:sz w:val="24"/>
        </w:rPr>
        <w:t xml:space="preserve"> and </w:t>
      </w:r>
      <w:r w:rsidR="00155F5A">
        <w:rPr>
          <w:rFonts w:ascii="Times New Roman" w:hAnsi="Times New Roman" w:cs="Times New Roman"/>
          <w:b/>
          <w:noProof/>
          <w:sz w:val="24"/>
        </w:rPr>
        <w:t>1.</w:t>
      </w:r>
      <w:r>
        <w:rPr>
          <w:rFonts w:ascii="Times New Roman" w:hAnsi="Times New Roman" w:cs="Times New Roman"/>
          <w:b/>
          <w:noProof/>
          <w:sz w:val="24"/>
        </w:rPr>
        <w:t xml:space="preserve">2. </w:t>
      </w:r>
      <w:r w:rsidRPr="00063274">
        <w:rPr>
          <w:rFonts w:ascii="Times New Roman" w:hAnsi="Times New Roman" w:cs="Times New Roman"/>
          <w:noProof/>
          <w:sz w:val="24"/>
        </w:rPr>
        <w:t>Limiting</w:t>
      </w:r>
      <w:r>
        <w:rPr>
          <w:rFonts w:ascii="Times New Roman" w:hAnsi="Times New Roman" w:cs="Times New Roman"/>
          <w:b/>
          <w:noProof/>
          <w:sz w:val="24"/>
        </w:rPr>
        <w:t xml:space="preserve"> </w:t>
      </w:r>
      <w:r>
        <w:rPr>
          <w:rFonts w:ascii="Times New Roman" w:hAnsi="Times New Roman" w:cs="Times New Roman"/>
          <w:noProof/>
          <w:sz w:val="24"/>
        </w:rPr>
        <w:t xml:space="preserve">the revision of the SFD to a necessary alignment with the LED </w:t>
      </w:r>
      <w:r w:rsidR="00B47345">
        <w:rPr>
          <w:rFonts w:ascii="Times New Roman" w:hAnsi="Times New Roman" w:cs="Times New Roman"/>
          <w:noProof/>
          <w:sz w:val="24"/>
        </w:rPr>
        <w:t xml:space="preserve">(baseline scenario) </w:t>
      </w:r>
      <w:r>
        <w:rPr>
          <w:rFonts w:ascii="Times New Roman" w:hAnsi="Times New Roman" w:cs="Times New Roman"/>
          <w:noProof/>
          <w:sz w:val="24"/>
        </w:rPr>
        <w:t xml:space="preserve">would represent a missed opportunity to also address additional well known issues hampering the full use of the SFD. Given the cumulative nature of these 3 options, options </w:t>
      </w:r>
      <w:r w:rsidR="00155F5A">
        <w:rPr>
          <w:rFonts w:ascii="Times New Roman" w:hAnsi="Times New Roman" w:cs="Times New Roman"/>
          <w:noProof/>
          <w:sz w:val="24"/>
        </w:rPr>
        <w:t>1.</w:t>
      </w:r>
      <w:r>
        <w:rPr>
          <w:rFonts w:ascii="Times New Roman" w:hAnsi="Times New Roman" w:cs="Times New Roman"/>
          <w:noProof/>
          <w:sz w:val="24"/>
        </w:rPr>
        <w:t xml:space="preserve">2 </w:t>
      </w:r>
      <w:r w:rsidR="008E7886">
        <w:rPr>
          <w:rFonts w:ascii="Times New Roman" w:hAnsi="Times New Roman" w:cs="Times New Roman"/>
          <w:noProof/>
          <w:sz w:val="24"/>
        </w:rPr>
        <w:t xml:space="preserve">(simplication in the use of the SFD) </w:t>
      </w:r>
      <w:r>
        <w:rPr>
          <w:rFonts w:ascii="Times New Roman" w:hAnsi="Times New Roman" w:cs="Times New Roman"/>
          <w:noProof/>
          <w:sz w:val="24"/>
        </w:rPr>
        <w:t>would significantly improve on option 1</w:t>
      </w:r>
      <w:r w:rsidR="00155F5A">
        <w:rPr>
          <w:rFonts w:ascii="Times New Roman" w:hAnsi="Times New Roman" w:cs="Times New Roman"/>
          <w:noProof/>
          <w:sz w:val="24"/>
        </w:rPr>
        <w:t>.1</w:t>
      </w:r>
      <w:r>
        <w:rPr>
          <w:rFonts w:ascii="Times New Roman" w:hAnsi="Times New Roman" w:cs="Times New Roman"/>
          <w:noProof/>
          <w:sz w:val="24"/>
        </w:rPr>
        <w:t xml:space="preserve"> while falling short of addressing the need for timely access to necessary information</w:t>
      </w:r>
      <w:r w:rsidR="008E7886">
        <w:rPr>
          <w:rFonts w:ascii="Times New Roman" w:hAnsi="Times New Roman" w:cs="Times New Roman"/>
          <w:noProof/>
          <w:sz w:val="24"/>
        </w:rPr>
        <w:t xml:space="preserve"> (option 1.3)</w:t>
      </w:r>
      <w:r>
        <w:rPr>
          <w:rFonts w:ascii="Times New Roman" w:hAnsi="Times New Roman" w:cs="Times New Roman"/>
          <w:noProof/>
          <w:sz w:val="24"/>
        </w:rPr>
        <w:t>. These issues have been persistently noted in the Schengen evaluation country reports in the field of police cooperation. Council guidelines (non-binding) ha</w:t>
      </w:r>
      <w:r w:rsidR="007B0389">
        <w:rPr>
          <w:rFonts w:ascii="Times New Roman" w:hAnsi="Times New Roman" w:cs="Times New Roman"/>
          <w:noProof/>
          <w:sz w:val="24"/>
        </w:rPr>
        <w:t>ve</w:t>
      </w:r>
      <w:r>
        <w:rPr>
          <w:rFonts w:ascii="Times New Roman" w:hAnsi="Times New Roman" w:cs="Times New Roman"/>
          <w:noProof/>
          <w:sz w:val="24"/>
        </w:rPr>
        <w:t xml:space="preserve"> not led </w:t>
      </w:r>
      <w:r w:rsidR="007B0389">
        <w:rPr>
          <w:rFonts w:ascii="Times New Roman" w:hAnsi="Times New Roman" w:cs="Times New Roman"/>
          <w:noProof/>
          <w:sz w:val="24"/>
        </w:rPr>
        <w:t xml:space="preserve">to </w:t>
      </w:r>
      <w:r>
        <w:rPr>
          <w:rFonts w:ascii="Times New Roman" w:hAnsi="Times New Roman" w:cs="Times New Roman"/>
          <w:noProof/>
          <w:sz w:val="24"/>
        </w:rPr>
        <w:t xml:space="preserve">a necessary convergence of national practices </w:t>
      </w:r>
      <w:r w:rsidR="007B0389">
        <w:rPr>
          <w:rFonts w:ascii="Times New Roman" w:hAnsi="Times New Roman" w:cs="Times New Roman"/>
          <w:noProof/>
          <w:sz w:val="24"/>
        </w:rPr>
        <w:t>(</w:t>
      </w:r>
      <w:r>
        <w:rPr>
          <w:rFonts w:ascii="Times New Roman" w:hAnsi="Times New Roman" w:cs="Times New Roman"/>
          <w:noProof/>
          <w:sz w:val="24"/>
        </w:rPr>
        <w:t>while recent Council Conclusions insisted on the need to support the "</w:t>
      </w:r>
      <w:r w:rsidRPr="002144B3">
        <w:rPr>
          <w:rFonts w:ascii="Times New Roman" w:hAnsi="Times New Roman" w:cs="Times New Roman"/>
          <w:i/>
          <w:noProof/>
          <w:sz w:val="24"/>
        </w:rPr>
        <w:t>development of smooth and swift information exchange</w:t>
      </w:r>
      <w:r>
        <w:rPr>
          <w:rFonts w:ascii="Times New Roman" w:hAnsi="Times New Roman" w:cs="Times New Roman"/>
          <w:noProof/>
          <w:sz w:val="24"/>
        </w:rPr>
        <w:t>"</w:t>
      </w:r>
      <w:r w:rsidR="007B0389">
        <w:rPr>
          <w:rFonts w:ascii="Times New Roman" w:hAnsi="Times New Roman" w:cs="Times New Roman"/>
          <w:noProof/>
          <w:sz w:val="24"/>
        </w:rPr>
        <w:t>)</w:t>
      </w:r>
      <w:r w:rsidRPr="00B72F7B">
        <w:rPr>
          <w:rFonts w:ascii="Times New Roman" w:hAnsi="Times New Roman" w:cs="Times New Roman"/>
          <w:noProof/>
          <w:sz w:val="24"/>
        </w:rPr>
        <w:t>.</w:t>
      </w:r>
    </w:p>
    <w:p w14:paraId="0DA80C72" w14:textId="77777777" w:rsidR="00C76702" w:rsidRPr="00F1198C" w:rsidRDefault="00C76702" w:rsidP="00174F9C">
      <w:pPr>
        <w:pStyle w:val="Body"/>
        <w:spacing w:after="120"/>
        <w:jc w:val="both"/>
        <w:rPr>
          <w:rFonts w:ascii="Times New Roman" w:hAnsi="Times New Roman"/>
          <w:b/>
          <w:noProof/>
          <w:sz w:val="24"/>
          <w:szCs w:val="24"/>
        </w:rPr>
      </w:pPr>
      <w:r w:rsidRPr="0096305E">
        <w:rPr>
          <w:rFonts w:ascii="Times New Roman" w:hAnsi="Times New Roman"/>
          <w:noProof/>
          <w:sz w:val="24"/>
          <w:szCs w:val="24"/>
        </w:rPr>
        <w:t xml:space="preserve">Under </w:t>
      </w:r>
      <w:r>
        <w:rPr>
          <w:rFonts w:ascii="Times New Roman" w:hAnsi="Times New Roman"/>
          <w:b/>
          <w:noProof/>
          <w:sz w:val="24"/>
          <w:szCs w:val="24"/>
        </w:rPr>
        <w:t>policy option 1</w:t>
      </w:r>
      <w:r w:rsidR="00155F5A">
        <w:rPr>
          <w:rFonts w:ascii="Times New Roman" w:hAnsi="Times New Roman"/>
          <w:b/>
          <w:noProof/>
          <w:sz w:val="24"/>
          <w:szCs w:val="24"/>
        </w:rPr>
        <w:t>.1</w:t>
      </w:r>
      <w:r w:rsidRPr="00704502">
        <w:rPr>
          <w:rFonts w:ascii="Times New Roman" w:hAnsi="Times New Roman"/>
          <w:noProof/>
          <w:sz w:val="24"/>
          <w:szCs w:val="24"/>
        </w:rPr>
        <w:t>,</w:t>
      </w:r>
      <w:r>
        <w:rPr>
          <w:rFonts w:ascii="Times New Roman" w:hAnsi="Times New Roman"/>
          <w:b/>
          <w:noProof/>
          <w:sz w:val="24"/>
          <w:szCs w:val="24"/>
        </w:rPr>
        <w:t xml:space="preserve"> </w:t>
      </w:r>
      <w:r w:rsidRPr="00F1198C">
        <w:rPr>
          <w:rFonts w:ascii="Times New Roman" w:hAnsi="Times New Roman"/>
          <w:noProof/>
          <w:sz w:val="24"/>
          <w:szCs w:val="24"/>
        </w:rPr>
        <w:t xml:space="preserve">the identified uncertainties and inefficiencies in the intra-EU law enforcement cooperation, including the current incoherencies between different legislative instruments both at the EU level and between the Member States are expected to remain and eventually to increase. </w:t>
      </w:r>
    </w:p>
    <w:p w14:paraId="02F23155" w14:textId="77E757D0" w:rsidR="00C76702" w:rsidRDefault="00C76702" w:rsidP="00C76702">
      <w:pPr>
        <w:spacing w:after="120" w:line="240" w:lineRule="auto"/>
        <w:jc w:val="both"/>
        <w:rPr>
          <w:rFonts w:ascii="Times New Roman" w:hAnsi="Times New Roman" w:cs="Times New Roman"/>
          <w:noProof/>
          <w:sz w:val="24"/>
        </w:rPr>
      </w:pPr>
      <w:r>
        <w:rPr>
          <w:rFonts w:ascii="Times New Roman" w:hAnsi="Times New Roman" w:cs="Times New Roman"/>
          <w:b/>
          <w:noProof/>
          <w:sz w:val="24"/>
        </w:rPr>
        <w:t xml:space="preserve">Political feasibility. </w:t>
      </w:r>
      <w:r w:rsidRPr="00C21EAF">
        <w:rPr>
          <w:rFonts w:ascii="Times New Roman" w:hAnsi="Times New Roman" w:cs="Times New Roman"/>
          <w:b/>
          <w:noProof/>
          <w:sz w:val="24"/>
        </w:rPr>
        <w:t xml:space="preserve">Policy option </w:t>
      </w:r>
      <w:r w:rsidR="00155F5A">
        <w:rPr>
          <w:rFonts w:ascii="Times New Roman" w:hAnsi="Times New Roman" w:cs="Times New Roman"/>
          <w:b/>
          <w:noProof/>
          <w:sz w:val="24"/>
        </w:rPr>
        <w:t>1.</w:t>
      </w:r>
      <w:r w:rsidRPr="00C21EAF">
        <w:rPr>
          <w:rFonts w:ascii="Times New Roman" w:hAnsi="Times New Roman" w:cs="Times New Roman"/>
          <w:b/>
          <w:noProof/>
          <w:sz w:val="24"/>
        </w:rPr>
        <w:t>3</w:t>
      </w:r>
      <w:r>
        <w:rPr>
          <w:rFonts w:ascii="Times New Roman" w:hAnsi="Times New Roman" w:cs="Times New Roman"/>
          <w:noProof/>
          <w:sz w:val="24"/>
        </w:rPr>
        <w:t xml:space="preserve"> is </w:t>
      </w:r>
      <w:r w:rsidRPr="008A3A18">
        <w:rPr>
          <w:rFonts w:ascii="Times New Roman" w:hAnsi="Times New Roman" w:cs="Times New Roman"/>
          <w:noProof/>
          <w:sz w:val="24"/>
        </w:rPr>
        <w:t>politically feasible.</w:t>
      </w:r>
      <w:r>
        <w:rPr>
          <w:rFonts w:ascii="Times New Roman" w:hAnsi="Times New Roman" w:cs="Times New Roman"/>
          <w:noProof/>
          <w:sz w:val="24"/>
        </w:rPr>
        <w:t xml:space="preserve"> A number of Member States with a less efficient SPOC may express concerns at their ability to meet deadline requirements when the involvement of a judicial authority is required. For this reason, </w:t>
      </w:r>
      <w:r w:rsidRPr="00227838">
        <w:rPr>
          <w:rFonts w:ascii="Times New Roman" w:hAnsi="Times New Roman" w:cs="Times New Roman"/>
          <w:b/>
          <w:noProof/>
          <w:sz w:val="24"/>
        </w:rPr>
        <w:t xml:space="preserve">policy options </w:t>
      </w:r>
      <w:r w:rsidR="00155F5A">
        <w:rPr>
          <w:rFonts w:ascii="Times New Roman" w:hAnsi="Times New Roman" w:cs="Times New Roman"/>
          <w:b/>
          <w:noProof/>
          <w:sz w:val="24"/>
        </w:rPr>
        <w:t>2.1</w:t>
      </w:r>
      <w:r w:rsidRPr="00227838">
        <w:rPr>
          <w:rFonts w:ascii="Times New Roman" w:hAnsi="Times New Roman" w:cs="Times New Roman"/>
          <w:b/>
          <w:noProof/>
          <w:sz w:val="24"/>
        </w:rPr>
        <w:t xml:space="preserve">, </w:t>
      </w:r>
      <w:r w:rsidR="00155F5A">
        <w:rPr>
          <w:rFonts w:ascii="Times New Roman" w:hAnsi="Times New Roman" w:cs="Times New Roman"/>
          <w:b/>
          <w:noProof/>
          <w:sz w:val="24"/>
        </w:rPr>
        <w:t>2.2</w:t>
      </w:r>
      <w:r w:rsidRPr="00227838">
        <w:rPr>
          <w:rFonts w:ascii="Times New Roman" w:hAnsi="Times New Roman" w:cs="Times New Roman"/>
          <w:b/>
          <w:noProof/>
          <w:sz w:val="24"/>
        </w:rPr>
        <w:t xml:space="preserve"> and </w:t>
      </w:r>
      <w:r w:rsidR="00155F5A">
        <w:rPr>
          <w:rFonts w:ascii="Times New Roman" w:hAnsi="Times New Roman" w:cs="Times New Roman"/>
          <w:b/>
          <w:noProof/>
          <w:sz w:val="24"/>
        </w:rPr>
        <w:t>2.3</w:t>
      </w:r>
      <w:r>
        <w:rPr>
          <w:rFonts w:ascii="Times New Roman" w:hAnsi="Times New Roman" w:cs="Times New Roman"/>
          <w:noProof/>
          <w:sz w:val="24"/>
        </w:rPr>
        <w:t xml:space="preserve"> recommend (option </w:t>
      </w:r>
      <w:r w:rsidR="00155F5A">
        <w:rPr>
          <w:rFonts w:ascii="Times New Roman" w:hAnsi="Times New Roman" w:cs="Times New Roman"/>
          <w:noProof/>
          <w:sz w:val="24"/>
        </w:rPr>
        <w:t>2.1</w:t>
      </w:r>
      <w:r>
        <w:rPr>
          <w:rFonts w:ascii="Times New Roman" w:hAnsi="Times New Roman" w:cs="Times New Roman"/>
          <w:noProof/>
          <w:sz w:val="24"/>
        </w:rPr>
        <w:t xml:space="preserve">) and require (option </w:t>
      </w:r>
      <w:r w:rsidR="00155F5A">
        <w:rPr>
          <w:rFonts w:ascii="Times New Roman" w:hAnsi="Times New Roman" w:cs="Times New Roman"/>
          <w:noProof/>
          <w:sz w:val="24"/>
        </w:rPr>
        <w:t>2.2</w:t>
      </w:r>
      <w:r>
        <w:rPr>
          <w:rFonts w:ascii="Times New Roman" w:hAnsi="Times New Roman" w:cs="Times New Roman"/>
          <w:noProof/>
          <w:sz w:val="24"/>
        </w:rPr>
        <w:t xml:space="preserve"> and </w:t>
      </w:r>
      <w:r w:rsidR="00155F5A">
        <w:rPr>
          <w:rFonts w:ascii="Times New Roman" w:hAnsi="Times New Roman" w:cs="Times New Roman"/>
          <w:noProof/>
          <w:sz w:val="24"/>
        </w:rPr>
        <w:t>2.3</w:t>
      </w:r>
      <w:r>
        <w:rPr>
          <w:rFonts w:ascii="Times New Roman" w:hAnsi="Times New Roman" w:cs="Times New Roman"/>
          <w:noProof/>
          <w:sz w:val="24"/>
        </w:rPr>
        <w:t xml:space="preserve">) the functional </w:t>
      </w:r>
      <w:r w:rsidR="00FE0E3B">
        <w:rPr>
          <w:rFonts w:ascii="Times New Roman" w:hAnsi="Times New Roman" w:cs="Times New Roman"/>
          <w:noProof/>
          <w:sz w:val="24"/>
        </w:rPr>
        <w:t xml:space="preserve">availability </w:t>
      </w:r>
      <w:r>
        <w:rPr>
          <w:rFonts w:ascii="Times New Roman" w:hAnsi="Times New Roman" w:cs="Times New Roman"/>
          <w:noProof/>
          <w:sz w:val="24"/>
        </w:rPr>
        <w:t xml:space="preserve">of a judicial authority, as it is already the case in more effective and efficient SPOCs (see </w:t>
      </w:r>
      <w:r w:rsidR="00EC61F3">
        <w:rPr>
          <w:rFonts w:ascii="Times New Roman" w:hAnsi="Times New Roman" w:cs="Times New Roman"/>
          <w:noProof/>
          <w:sz w:val="24"/>
        </w:rPr>
        <w:t xml:space="preserve">options 2.2 and 2.3 </w:t>
      </w:r>
      <w:r>
        <w:rPr>
          <w:rFonts w:ascii="Times New Roman" w:hAnsi="Times New Roman" w:cs="Times New Roman"/>
          <w:noProof/>
          <w:sz w:val="24"/>
        </w:rPr>
        <w:t xml:space="preserve">below). </w:t>
      </w:r>
    </w:p>
    <w:p w14:paraId="205B3B09" w14:textId="77777777" w:rsidR="00C76702" w:rsidRDefault="00C76702" w:rsidP="00B628F2">
      <w:pPr>
        <w:spacing w:after="240" w:line="240" w:lineRule="auto"/>
        <w:jc w:val="both"/>
        <w:rPr>
          <w:rFonts w:ascii="Times New Roman" w:hAnsi="Times New Roman" w:cs="Times New Roman"/>
          <w:noProof/>
          <w:sz w:val="24"/>
        </w:rPr>
      </w:pPr>
      <w:r w:rsidRPr="00EB07A9">
        <w:rPr>
          <w:rFonts w:ascii="Times New Roman" w:hAnsi="Times New Roman" w:cs="Times New Roman"/>
          <w:b/>
          <w:noProof/>
          <w:sz w:val="24"/>
          <w:szCs w:val="24"/>
        </w:rPr>
        <w:t>Coherence and proportionality.</w:t>
      </w:r>
      <w:r>
        <w:rPr>
          <w:rFonts w:ascii="Times New Roman" w:hAnsi="Times New Roman" w:cs="Times New Roman"/>
          <w:noProof/>
          <w:sz w:val="24"/>
          <w:szCs w:val="24"/>
        </w:rPr>
        <w:t xml:space="preserve"> </w:t>
      </w:r>
      <w:r w:rsidRPr="00EC27BF">
        <w:rPr>
          <w:rFonts w:ascii="Times New Roman" w:hAnsi="Times New Roman" w:cs="Times New Roman"/>
          <w:b/>
          <w:noProof/>
          <w:sz w:val="24"/>
        </w:rPr>
        <w:t>P</w:t>
      </w:r>
      <w:r>
        <w:rPr>
          <w:rFonts w:ascii="Times New Roman" w:hAnsi="Times New Roman" w:cs="Times New Roman"/>
          <w:b/>
          <w:noProof/>
          <w:sz w:val="24"/>
        </w:rPr>
        <w:t xml:space="preserve">olicy option </w:t>
      </w:r>
      <w:r w:rsidR="00155F5A">
        <w:rPr>
          <w:rFonts w:ascii="Times New Roman" w:hAnsi="Times New Roman" w:cs="Times New Roman"/>
          <w:b/>
          <w:noProof/>
          <w:sz w:val="24"/>
        </w:rPr>
        <w:t>1.</w:t>
      </w:r>
      <w:r>
        <w:rPr>
          <w:rFonts w:ascii="Times New Roman" w:hAnsi="Times New Roman" w:cs="Times New Roman"/>
          <w:b/>
          <w:noProof/>
          <w:sz w:val="24"/>
        </w:rPr>
        <w:t>3</w:t>
      </w:r>
      <w:r>
        <w:rPr>
          <w:rFonts w:ascii="Times New Roman" w:hAnsi="Times New Roman" w:cs="Times New Roman"/>
          <w:noProof/>
          <w:sz w:val="24"/>
        </w:rPr>
        <w:t xml:space="preserve"> is in full coherence with past and envisaged initiatives</w:t>
      </w:r>
      <w:r w:rsidR="008E7886">
        <w:rPr>
          <w:rFonts w:ascii="Times New Roman" w:hAnsi="Times New Roman" w:cs="Times New Roman"/>
          <w:noProof/>
          <w:sz w:val="24"/>
        </w:rPr>
        <w:t>,</w:t>
      </w:r>
      <w:r>
        <w:rPr>
          <w:rFonts w:ascii="Times New Roman" w:hAnsi="Times New Roman" w:cs="Times New Roman"/>
          <w:noProof/>
          <w:sz w:val="24"/>
        </w:rPr>
        <w:t xml:space="preserve"> notably the proposals on Europol, Prüm II and </w:t>
      </w:r>
      <w:r w:rsidR="008E7886">
        <w:rPr>
          <w:rFonts w:ascii="Times New Roman" w:hAnsi="Times New Roman" w:cs="Times New Roman"/>
          <w:noProof/>
          <w:sz w:val="24"/>
        </w:rPr>
        <w:t xml:space="preserve">on </w:t>
      </w:r>
      <w:r>
        <w:rPr>
          <w:rFonts w:ascii="Times New Roman" w:hAnsi="Times New Roman" w:cs="Times New Roman"/>
          <w:noProof/>
          <w:sz w:val="24"/>
        </w:rPr>
        <w:t xml:space="preserve">the Schengen Border Code. </w:t>
      </w:r>
      <w:r w:rsidRPr="00EC27BF">
        <w:rPr>
          <w:rFonts w:ascii="Times New Roman" w:hAnsi="Times New Roman" w:cs="Times New Roman"/>
          <w:b/>
          <w:noProof/>
          <w:sz w:val="24"/>
        </w:rPr>
        <w:t>P</w:t>
      </w:r>
      <w:r>
        <w:rPr>
          <w:rFonts w:ascii="Times New Roman" w:hAnsi="Times New Roman" w:cs="Times New Roman"/>
          <w:b/>
          <w:noProof/>
          <w:sz w:val="24"/>
        </w:rPr>
        <w:t xml:space="preserve">olicy option </w:t>
      </w:r>
      <w:r w:rsidR="00155F5A">
        <w:rPr>
          <w:rFonts w:ascii="Times New Roman" w:hAnsi="Times New Roman" w:cs="Times New Roman"/>
          <w:b/>
          <w:noProof/>
          <w:sz w:val="24"/>
        </w:rPr>
        <w:t>1.</w:t>
      </w:r>
      <w:r>
        <w:rPr>
          <w:rFonts w:ascii="Times New Roman" w:hAnsi="Times New Roman" w:cs="Times New Roman"/>
          <w:b/>
          <w:noProof/>
          <w:sz w:val="24"/>
        </w:rPr>
        <w:t>3</w:t>
      </w:r>
      <w:r>
        <w:rPr>
          <w:rFonts w:ascii="Times New Roman" w:hAnsi="Times New Roman" w:cs="Times New Roman"/>
          <w:noProof/>
          <w:sz w:val="24"/>
        </w:rPr>
        <w:t xml:space="preserve"> is also </w:t>
      </w:r>
      <w:r w:rsidRPr="00EC27BF">
        <w:rPr>
          <w:rFonts w:ascii="Times New Roman" w:hAnsi="Times New Roman" w:cs="Times New Roman"/>
          <w:b/>
          <w:noProof/>
          <w:sz w:val="24"/>
        </w:rPr>
        <w:t xml:space="preserve">proportionate </w:t>
      </w:r>
      <w:r w:rsidRPr="00EC27BF">
        <w:rPr>
          <w:rFonts w:ascii="Times New Roman" w:hAnsi="Times New Roman" w:cs="Times New Roman"/>
          <w:noProof/>
          <w:sz w:val="24"/>
        </w:rPr>
        <w:t>to the identified problem and do not go beyond what is necessary to achieve the specific objective</w:t>
      </w:r>
      <w:r w:rsidRPr="00EC27BF">
        <w:rPr>
          <w:rFonts w:ascii="Times New Roman" w:hAnsi="Times New Roman" w:cs="Times New Roman"/>
          <w:noProof/>
          <w:sz w:val="24"/>
          <w:szCs w:val="24"/>
        </w:rPr>
        <w:t>.</w:t>
      </w:r>
    </w:p>
    <w:p w14:paraId="66F481BD" w14:textId="1DFD89D2" w:rsidR="00C76702" w:rsidRPr="00144E3C" w:rsidRDefault="00C76702" w:rsidP="00094199">
      <w:pPr>
        <w:pStyle w:val="Heading2"/>
        <w:rPr>
          <w:noProof/>
        </w:rPr>
      </w:pPr>
      <w:bookmarkStart w:id="110" w:name="_Toc74838183"/>
      <w:bookmarkStart w:id="111" w:name="_Toc83801045"/>
      <w:r w:rsidRPr="00222DD7">
        <w:rPr>
          <w:noProof/>
        </w:rPr>
        <w:t>Objective II:</w:t>
      </w:r>
      <w:r w:rsidRPr="00144E3C">
        <w:rPr>
          <w:noProof/>
        </w:rPr>
        <w:t xml:space="preserve"> Ensure that all Member States have an effective functioning Single Point of Contact (SPOC), including when a judicial authorisation is required to provide the data upon request of another Member State, and ensuring its effective cooperation with Police and Customs Cooperation Centres (PCCCs)</w:t>
      </w:r>
      <w:bookmarkEnd w:id="110"/>
      <w:bookmarkEnd w:id="111"/>
    </w:p>
    <w:p w14:paraId="4D222CB7" w14:textId="77777777" w:rsidR="00C76702" w:rsidRPr="009E4A32" w:rsidRDefault="00C76702" w:rsidP="00C76702">
      <w:pPr>
        <w:spacing w:after="0" w:line="240" w:lineRule="auto"/>
        <w:rPr>
          <w:rFonts w:ascii="Times New Roman" w:hAnsi="Times New Roman" w:cs="Times New Roman"/>
          <w:b/>
          <w:noProof/>
          <w:sz w:val="18"/>
          <w:szCs w:val="18"/>
        </w:rPr>
      </w:pPr>
    </w:p>
    <w:tbl>
      <w:tblPr>
        <w:tblStyle w:val="TableGrid15"/>
        <w:tblW w:w="9781" w:type="dxa"/>
        <w:tblInd w:w="108" w:type="dxa"/>
        <w:tblLayout w:type="fixed"/>
        <w:tblLook w:val="04A0" w:firstRow="1" w:lastRow="0" w:firstColumn="1" w:lastColumn="0" w:noHBand="0" w:noVBand="1"/>
      </w:tblPr>
      <w:tblGrid>
        <w:gridCol w:w="4130"/>
        <w:gridCol w:w="1682"/>
        <w:gridCol w:w="1985"/>
        <w:gridCol w:w="1984"/>
      </w:tblGrid>
      <w:tr w:rsidR="00C76702" w:rsidRPr="00A725B5" w14:paraId="1257EAFD" w14:textId="77777777" w:rsidTr="009D6B1A">
        <w:tc>
          <w:tcPr>
            <w:tcW w:w="9781" w:type="dxa"/>
            <w:gridSpan w:val="4"/>
            <w:shd w:val="clear" w:color="auto" w:fill="9CC2E5" w:themeFill="accent1" w:themeFillTint="99"/>
          </w:tcPr>
          <w:p w14:paraId="331A4864"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Comparative assessment for objective II</w:t>
            </w:r>
          </w:p>
        </w:tc>
      </w:tr>
      <w:tr w:rsidR="00C76702" w:rsidRPr="00A725B5" w14:paraId="3D70EEC4" w14:textId="77777777" w:rsidTr="00B628F2">
        <w:tc>
          <w:tcPr>
            <w:tcW w:w="4130" w:type="dxa"/>
            <w:shd w:val="clear" w:color="auto" w:fill="BDD6EE" w:themeFill="accent1" w:themeFillTint="66"/>
          </w:tcPr>
          <w:p w14:paraId="51DEAA66" w14:textId="77777777" w:rsidR="00C76702" w:rsidRPr="00666E2A" w:rsidRDefault="00C76702" w:rsidP="00704502">
            <w:pPr>
              <w:spacing w:before="60" w:after="60" w:line="240" w:lineRule="auto"/>
              <w:rPr>
                <w:rFonts w:ascii="Verdana" w:hAnsi="Verdana"/>
                <w:noProof/>
                <w:sz w:val="16"/>
                <w:szCs w:val="16"/>
              </w:rPr>
            </w:pPr>
          </w:p>
        </w:tc>
        <w:tc>
          <w:tcPr>
            <w:tcW w:w="1682" w:type="dxa"/>
            <w:shd w:val="clear" w:color="auto" w:fill="BDD6EE" w:themeFill="accent1" w:themeFillTint="66"/>
          </w:tcPr>
          <w:p w14:paraId="663BF7A0"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 xml:space="preserve">option </w:t>
            </w:r>
            <w:r w:rsidR="00155F5A">
              <w:rPr>
                <w:rFonts w:ascii="Verdana" w:hAnsi="Verdana" w:cs="Times New Roman"/>
                <w:b/>
                <w:noProof/>
                <w:sz w:val="16"/>
                <w:szCs w:val="16"/>
              </w:rPr>
              <w:t>2.1</w:t>
            </w:r>
          </w:p>
        </w:tc>
        <w:tc>
          <w:tcPr>
            <w:tcW w:w="1985" w:type="dxa"/>
            <w:shd w:val="clear" w:color="auto" w:fill="BDD6EE" w:themeFill="accent1" w:themeFillTint="66"/>
          </w:tcPr>
          <w:p w14:paraId="25979689"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 xml:space="preserve">option </w:t>
            </w:r>
            <w:r w:rsidR="00155F5A">
              <w:rPr>
                <w:rFonts w:ascii="Verdana" w:hAnsi="Verdana" w:cs="Times New Roman"/>
                <w:b/>
                <w:noProof/>
                <w:sz w:val="16"/>
                <w:szCs w:val="16"/>
              </w:rPr>
              <w:t>2.2</w:t>
            </w:r>
          </w:p>
        </w:tc>
        <w:tc>
          <w:tcPr>
            <w:tcW w:w="1984" w:type="dxa"/>
            <w:shd w:val="clear" w:color="auto" w:fill="BDD6EE" w:themeFill="accent1" w:themeFillTint="66"/>
          </w:tcPr>
          <w:p w14:paraId="4376BE57"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 xml:space="preserve">option </w:t>
            </w:r>
            <w:r w:rsidR="00155F5A">
              <w:rPr>
                <w:rFonts w:ascii="Verdana" w:hAnsi="Verdana" w:cs="Times New Roman"/>
                <w:b/>
                <w:noProof/>
                <w:sz w:val="16"/>
                <w:szCs w:val="16"/>
              </w:rPr>
              <w:t>2.3</w:t>
            </w:r>
          </w:p>
        </w:tc>
      </w:tr>
      <w:tr w:rsidR="00C76702" w:rsidRPr="00A725B5" w14:paraId="5C2F39D8" w14:textId="77777777" w:rsidTr="00B628F2">
        <w:tc>
          <w:tcPr>
            <w:tcW w:w="4130" w:type="dxa"/>
            <w:shd w:val="clear" w:color="auto" w:fill="BDD6EE" w:themeFill="accent1" w:themeFillTint="66"/>
          </w:tcPr>
          <w:p w14:paraId="3084A2E8"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1. impact on citizens and businesses</w:t>
            </w:r>
          </w:p>
        </w:tc>
        <w:tc>
          <w:tcPr>
            <w:tcW w:w="1682" w:type="dxa"/>
            <w:shd w:val="clear" w:color="auto" w:fill="DEEAF6" w:themeFill="accent1" w:themeFillTint="33"/>
          </w:tcPr>
          <w:p w14:paraId="6B6A5F9E"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5" w:type="dxa"/>
            <w:shd w:val="clear" w:color="auto" w:fill="DEEAF6" w:themeFill="accent1" w:themeFillTint="33"/>
          </w:tcPr>
          <w:p w14:paraId="6AE31939"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254B7E0B"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79F2F317" w14:textId="77777777" w:rsidTr="00B628F2">
        <w:tc>
          <w:tcPr>
            <w:tcW w:w="4130" w:type="dxa"/>
            <w:shd w:val="clear" w:color="auto" w:fill="BDD6EE" w:themeFill="accent1" w:themeFillTint="66"/>
          </w:tcPr>
          <w:p w14:paraId="1ACB091C"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2. impact on national authorities</w:t>
            </w:r>
          </w:p>
        </w:tc>
        <w:tc>
          <w:tcPr>
            <w:tcW w:w="1682" w:type="dxa"/>
            <w:shd w:val="clear" w:color="auto" w:fill="DEEAF6" w:themeFill="accent1" w:themeFillTint="33"/>
          </w:tcPr>
          <w:p w14:paraId="7A293163"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5" w:type="dxa"/>
            <w:shd w:val="clear" w:color="auto" w:fill="DEEAF6" w:themeFill="accent1" w:themeFillTint="33"/>
          </w:tcPr>
          <w:p w14:paraId="1958A857"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793ED15E"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7B1DD975" w14:textId="77777777" w:rsidTr="00B628F2">
        <w:tc>
          <w:tcPr>
            <w:tcW w:w="4130" w:type="dxa"/>
            <w:shd w:val="clear" w:color="auto" w:fill="BDD6EE" w:themeFill="accent1" w:themeFillTint="66"/>
          </w:tcPr>
          <w:p w14:paraId="7864A194"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3. impact on EU bodies</w:t>
            </w:r>
          </w:p>
        </w:tc>
        <w:tc>
          <w:tcPr>
            <w:tcW w:w="1682" w:type="dxa"/>
            <w:shd w:val="clear" w:color="auto" w:fill="DEEAF6" w:themeFill="accent1" w:themeFillTint="33"/>
          </w:tcPr>
          <w:p w14:paraId="47979E15"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5" w:type="dxa"/>
            <w:shd w:val="clear" w:color="auto" w:fill="DEEAF6" w:themeFill="accent1" w:themeFillTint="33"/>
          </w:tcPr>
          <w:p w14:paraId="1E985416"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54DE9C45"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518BD22A" w14:textId="77777777" w:rsidTr="00B628F2">
        <w:tc>
          <w:tcPr>
            <w:tcW w:w="4130" w:type="dxa"/>
            <w:shd w:val="clear" w:color="auto" w:fill="BDD6EE" w:themeFill="accent1" w:themeFillTint="66"/>
          </w:tcPr>
          <w:p w14:paraId="432C47E7"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4. impact on Fundamental Rights</w:t>
            </w:r>
          </w:p>
        </w:tc>
        <w:tc>
          <w:tcPr>
            <w:tcW w:w="1682" w:type="dxa"/>
            <w:shd w:val="clear" w:color="auto" w:fill="DEEAF6" w:themeFill="accent1" w:themeFillTint="33"/>
          </w:tcPr>
          <w:p w14:paraId="14CF4010" w14:textId="77777777" w:rsidR="00C76702" w:rsidRPr="00666E2A" w:rsidRDefault="00C36AF1"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5" w:type="dxa"/>
            <w:shd w:val="clear" w:color="auto" w:fill="DEEAF6" w:themeFill="accent1" w:themeFillTint="33"/>
          </w:tcPr>
          <w:p w14:paraId="6DD962CD"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47B04D21"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61C5CC81" w14:textId="77777777" w:rsidTr="00B628F2">
        <w:tc>
          <w:tcPr>
            <w:tcW w:w="4130" w:type="dxa"/>
            <w:shd w:val="clear" w:color="auto" w:fill="BDD6EE" w:themeFill="accent1" w:themeFillTint="66"/>
          </w:tcPr>
          <w:p w14:paraId="7C0A73AA"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5. effectiveness in meeting the policy objectives</w:t>
            </w:r>
          </w:p>
        </w:tc>
        <w:tc>
          <w:tcPr>
            <w:tcW w:w="1682" w:type="dxa"/>
            <w:shd w:val="clear" w:color="auto" w:fill="DEEAF6" w:themeFill="accent1" w:themeFillTint="33"/>
          </w:tcPr>
          <w:p w14:paraId="38043BDE"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5" w:type="dxa"/>
            <w:shd w:val="clear" w:color="auto" w:fill="DEEAF6" w:themeFill="accent1" w:themeFillTint="33"/>
          </w:tcPr>
          <w:p w14:paraId="157977E9"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6FF9EB53"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7810A92C" w14:textId="77777777" w:rsidTr="00B628F2">
        <w:tc>
          <w:tcPr>
            <w:tcW w:w="4130" w:type="dxa"/>
            <w:shd w:val="clear" w:color="auto" w:fill="BDD6EE" w:themeFill="accent1" w:themeFillTint="66"/>
          </w:tcPr>
          <w:p w14:paraId="7C436CB7"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6. efficiency in meeting the policy objectives</w:t>
            </w:r>
          </w:p>
        </w:tc>
        <w:tc>
          <w:tcPr>
            <w:tcW w:w="1682" w:type="dxa"/>
            <w:shd w:val="clear" w:color="auto" w:fill="DEEAF6" w:themeFill="accent1" w:themeFillTint="33"/>
          </w:tcPr>
          <w:p w14:paraId="41AEB259" w14:textId="5BBF9803" w:rsidR="00C76702" w:rsidRPr="00666E2A" w:rsidRDefault="00A04EF4"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5" w:type="dxa"/>
            <w:shd w:val="clear" w:color="auto" w:fill="DEEAF6" w:themeFill="accent1" w:themeFillTint="33"/>
          </w:tcPr>
          <w:p w14:paraId="65FCE290" w14:textId="1C80EC40" w:rsidR="00C76702" w:rsidRPr="00666E2A" w:rsidRDefault="00A04EF4"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4" w:type="dxa"/>
            <w:shd w:val="clear" w:color="auto" w:fill="DEEAF6" w:themeFill="accent1" w:themeFillTint="33"/>
          </w:tcPr>
          <w:p w14:paraId="318C8D2C" w14:textId="44FD2FD2" w:rsidR="00C76702" w:rsidRPr="00666E2A" w:rsidRDefault="00A04EF4"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r>
      <w:tr w:rsidR="00C76702" w:rsidRPr="00A725B5" w14:paraId="37DD59E8" w14:textId="77777777" w:rsidTr="00B628F2">
        <w:tc>
          <w:tcPr>
            <w:tcW w:w="4130" w:type="dxa"/>
            <w:shd w:val="clear" w:color="auto" w:fill="BDD6EE" w:themeFill="accent1" w:themeFillTint="66"/>
          </w:tcPr>
          <w:p w14:paraId="3236F52C"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7. legal feasibility</w:t>
            </w:r>
          </w:p>
        </w:tc>
        <w:tc>
          <w:tcPr>
            <w:tcW w:w="1682" w:type="dxa"/>
            <w:shd w:val="clear" w:color="auto" w:fill="DEEAF6" w:themeFill="accent1" w:themeFillTint="33"/>
          </w:tcPr>
          <w:p w14:paraId="016859F4" w14:textId="77777777" w:rsidR="00C76702" w:rsidRPr="00666E2A" w:rsidRDefault="00D6533F"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0</w:t>
            </w:r>
          </w:p>
        </w:tc>
        <w:tc>
          <w:tcPr>
            <w:tcW w:w="1985" w:type="dxa"/>
            <w:shd w:val="clear" w:color="auto" w:fill="DEEAF6" w:themeFill="accent1" w:themeFillTint="33"/>
          </w:tcPr>
          <w:p w14:paraId="1B4F8543"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54B827D8" w14:textId="494E66EF" w:rsidR="00C76702" w:rsidRPr="00666E2A" w:rsidRDefault="00E4718F"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r>
      <w:tr w:rsidR="005106E2" w:rsidRPr="00A725B5" w14:paraId="377EB0B3" w14:textId="77777777" w:rsidTr="00B628F2">
        <w:tc>
          <w:tcPr>
            <w:tcW w:w="4130" w:type="dxa"/>
            <w:shd w:val="clear" w:color="auto" w:fill="BDD6EE" w:themeFill="accent1" w:themeFillTint="66"/>
          </w:tcPr>
          <w:p w14:paraId="41CEDF90" w14:textId="77777777" w:rsidR="005106E2" w:rsidRPr="00666E2A" w:rsidRDefault="005106E2" w:rsidP="00704502">
            <w:pPr>
              <w:spacing w:before="60" w:after="60" w:line="240" w:lineRule="auto"/>
              <w:rPr>
                <w:rFonts w:ascii="Verdana" w:hAnsi="Verdana" w:cs="Times New Roman"/>
                <w:noProof/>
                <w:sz w:val="16"/>
                <w:szCs w:val="16"/>
              </w:rPr>
            </w:pPr>
            <w:r>
              <w:rPr>
                <w:rFonts w:ascii="Verdana" w:hAnsi="Verdana" w:cs="Times New Roman"/>
                <w:noProof/>
                <w:sz w:val="16"/>
                <w:szCs w:val="16"/>
              </w:rPr>
              <w:t>8. technical feasibility</w:t>
            </w:r>
          </w:p>
        </w:tc>
        <w:tc>
          <w:tcPr>
            <w:tcW w:w="1682" w:type="dxa"/>
            <w:shd w:val="clear" w:color="auto" w:fill="DEEAF6" w:themeFill="accent1" w:themeFillTint="33"/>
          </w:tcPr>
          <w:p w14:paraId="38637FB0" w14:textId="77777777" w:rsidR="005106E2" w:rsidRPr="00666E2A" w:rsidRDefault="005106E2"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5" w:type="dxa"/>
            <w:shd w:val="clear" w:color="auto" w:fill="DEEAF6" w:themeFill="accent1" w:themeFillTint="33"/>
          </w:tcPr>
          <w:p w14:paraId="5C265DC0" w14:textId="77777777" w:rsidR="005106E2" w:rsidRPr="00666E2A" w:rsidRDefault="005106E2"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4" w:type="dxa"/>
            <w:shd w:val="clear" w:color="auto" w:fill="DEEAF6" w:themeFill="accent1" w:themeFillTint="33"/>
          </w:tcPr>
          <w:p w14:paraId="46E76E49" w14:textId="4201A832" w:rsidR="005106E2" w:rsidRPr="00666E2A" w:rsidRDefault="00BC1843" w:rsidP="00BC1843">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r w:rsidR="00E4718F">
              <w:rPr>
                <w:rFonts w:ascii="Verdana" w:hAnsi="Verdana" w:cs="Times New Roman"/>
                <w:noProof/>
                <w:sz w:val="16"/>
                <w:szCs w:val="16"/>
              </w:rPr>
              <w:t>--</w:t>
            </w:r>
          </w:p>
        </w:tc>
      </w:tr>
      <w:tr w:rsidR="00C76702" w:rsidRPr="00A725B5" w14:paraId="69EBDA49" w14:textId="77777777" w:rsidTr="00B628F2">
        <w:tc>
          <w:tcPr>
            <w:tcW w:w="4130" w:type="dxa"/>
            <w:shd w:val="clear" w:color="auto" w:fill="BDD6EE" w:themeFill="accent1" w:themeFillTint="66"/>
          </w:tcPr>
          <w:p w14:paraId="5759B0F3" w14:textId="00EDA68E" w:rsidR="00C76702" w:rsidRPr="00666E2A" w:rsidRDefault="00863D0D" w:rsidP="00863D0D">
            <w:pPr>
              <w:spacing w:before="60" w:after="60" w:line="240" w:lineRule="auto"/>
              <w:rPr>
                <w:rFonts w:ascii="Verdana" w:hAnsi="Verdana" w:cs="Times New Roman"/>
                <w:noProof/>
                <w:sz w:val="16"/>
                <w:szCs w:val="16"/>
              </w:rPr>
            </w:pPr>
            <w:r>
              <w:rPr>
                <w:rFonts w:ascii="Verdana" w:hAnsi="Verdana" w:cs="Times New Roman"/>
                <w:noProof/>
                <w:sz w:val="16"/>
                <w:szCs w:val="16"/>
              </w:rPr>
              <w:t>9</w:t>
            </w:r>
            <w:r w:rsidR="00C76702" w:rsidRPr="00666E2A">
              <w:rPr>
                <w:rFonts w:ascii="Verdana" w:hAnsi="Verdana" w:cs="Times New Roman"/>
                <w:noProof/>
                <w:sz w:val="16"/>
                <w:szCs w:val="16"/>
              </w:rPr>
              <w:t>. coherence with other measures</w:t>
            </w:r>
          </w:p>
        </w:tc>
        <w:tc>
          <w:tcPr>
            <w:tcW w:w="1682" w:type="dxa"/>
            <w:shd w:val="clear" w:color="auto" w:fill="DEEAF6" w:themeFill="accent1" w:themeFillTint="33"/>
          </w:tcPr>
          <w:p w14:paraId="26E62C07"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5" w:type="dxa"/>
            <w:shd w:val="clear" w:color="auto" w:fill="DEEAF6" w:themeFill="accent1" w:themeFillTint="33"/>
          </w:tcPr>
          <w:p w14:paraId="6733C289"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47BAF23D" w14:textId="1AA2CB75"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1A0AC900" w14:textId="77777777" w:rsidTr="00C248A1">
        <w:tc>
          <w:tcPr>
            <w:tcW w:w="4130" w:type="dxa"/>
            <w:shd w:val="clear" w:color="auto" w:fill="9CC2E5" w:themeFill="accent1" w:themeFillTint="99"/>
          </w:tcPr>
          <w:p w14:paraId="18221157" w14:textId="77777777" w:rsidR="00C76702" w:rsidRPr="00666E2A" w:rsidRDefault="00C76702" w:rsidP="00704502">
            <w:pPr>
              <w:spacing w:before="60" w:after="60" w:line="240" w:lineRule="auto"/>
              <w:rPr>
                <w:rFonts w:ascii="Verdana" w:hAnsi="Verdana" w:cs="Times New Roman"/>
                <w:b/>
                <w:noProof/>
                <w:sz w:val="16"/>
                <w:szCs w:val="16"/>
              </w:rPr>
            </w:pPr>
            <w:r w:rsidRPr="00666E2A">
              <w:rPr>
                <w:rFonts w:ascii="Verdana" w:hAnsi="Verdana" w:cs="Times New Roman"/>
                <w:b/>
                <w:noProof/>
                <w:sz w:val="16"/>
                <w:szCs w:val="16"/>
              </w:rPr>
              <w:t>Preferred policy option</w:t>
            </w:r>
          </w:p>
        </w:tc>
        <w:tc>
          <w:tcPr>
            <w:tcW w:w="1682" w:type="dxa"/>
            <w:shd w:val="clear" w:color="auto" w:fill="9CC2E5" w:themeFill="accent1" w:themeFillTint="99"/>
          </w:tcPr>
          <w:p w14:paraId="6E0002E1" w14:textId="77777777" w:rsidR="00C76702" w:rsidRPr="00666E2A" w:rsidRDefault="00C76702" w:rsidP="00704502">
            <w:pPr>
              <w:spacing w:before="60" w:after="60" w:line="240" w:lineRule="auto"/>
              <w:jc w:val="center"/>
              <w:rPr>
                <w:rFonts w:ascii="Verdana" w:hAnsi="Verdana" w:cs="Times New Roman"/>
                <w:b/>
                <w:noProof/>
                <w:sz w:val="16"/>
                <w:szCs w:val="16"/>
              </w:rPr>
            </w:pPr>
          </w:p>
        </w:tc>
        <w:tc>
          <w:tcPr>
            <w:tcW w:w="1985" w:type="dxa"/>
            <w:shd w:val="clear" w:color="auto" w:fill="9CC2E5" w:themeFill="accent1" w:themeFillTint="99"/>
          </w:tcPr>
          <w:p w14:paraId="117B6E7F"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X</w:t>
            </w:r>
          </w:p>
        </w:tc>
        <w:tc>
          <w:tcPr>
            <w:tcW w:w="1984" w:type="dxa"/>
            <w:shd w:val="clear" w:color="auto" w:fill="9CC2E5" w:themeFill="accent1" w:themeFillTint="99"/>
          </w:tcPr>
          <w:p w14:paraId="474AC23F" w14:textId="77777777" w:rsidR="00C76702" w:rsidRPr="00666E2A" w:rsidRDefault="00C76702" w:rsidP="00704502">
            <w:pPr>
              <w:spacing w:before="60" w:after="60" w:line="240" w:lineRule="auto"/>
              <w:jc w:val="center"/>
              <w:rPr>
                <w:rFonts w:ascii="Verdana" w:hAnsi="Verdana" w:cs="Times New Roman"/>
                <w:b/>
                <w:noProof/>
                <w:sz w:val="16"/>
                <w:szCs w:val="16"/>
              </w:rPr>
            </w:pPr>
          </w:p>
        </w:tc>
      </w:tr>
    </w:tbl>
    <w:p w14:paraId="2ACDBDDF" w14:textId="77777777" w:rsidR="00C76702" w:rsidRDefault="00C76702" w:rsidP="00E80EAE">
      <w:pPr>
        <w:spacing w:before="120" w:after="120" w:line="240" w:lineRule="auto"/>
        <w:jc w:val="both"/>
        <w:rPr>
          <w:rFonts w:ascii="Times New Roman" w:hAnsi="Times New Roman" w:cs="Times New Roman"/>
          <w:noProof/>
          <w:sz w:val="24"/>
        </w:rPr>
      </w:pPr>
      <w:r w:rsidRPr="00CD51FA">
        <w:rPr>
          <w:rFonts w:ascii="Times New Roman" w:hAnsi="Times New Roman" w:cs="Times New Roman"/>
          <w:noProof/>
          <w:sz w:val="24"/>
        </w:rPr>
        <w:t>The policy options are</w:t>
      </w:r>
      <w:r>
        <w:rPr>
          <w:rFonts w:ascii="Times New Roman" w:hAnsi="Times New Roman" w:cs="Times New Roman"/>
          <w:noProof/>
          <w:sz w:val="24"/>
        </w:rPr>
        <w:t xml:space="preserve"> partially</w:t>
      </w:r>
      <w:r w:rsidRPr="00CD51FA">
        <w:rPr>
          <w:rFonts w:ascii="Times New Roman" w:hAnsi="Times New Roman" w:cs="Times New Roman"/>
          <w:noProof/>
          <w:sz w:val="24"/>
        </w:rPr>
        <w:t xml:space="preserve"> cumulative i</w:t>
      </w:r>
      <w:r>
        <w:rPr>
          <w:rFonts w:ascii="Times New Roman" w:hAnsi="Times New Roman" w:cs="Times New Roman"/>
          <w:noProof/>
          <w:sz w:val="24"/>
        </w:rPr>
        <w:t xml:space="preserve">n the sense that policy option </w:t>
      </w:r>
      <w:r w:rsidR="00155F5A">
        <w:rPr>
          <w:rFonts w:ascii="Times New Roman" w:hAnsi="Times New Roman" w:cs="Times New Roman"/>
          <w:noProof/>
          <w:sz w:val="24"/>
        </w:rPr>
        <w:t>2.2</w:t>
      </w:r>
      <w:r>
        <w:rPr>
          <w:rFonts w:ascii="Times New Roman" w:hAnsi="Times New Roman" w:cs="Times New Roman"/>
          <w:noProof/>
          <w:sz w:val="24"/>
        </w:rPr>
        <w:t xml:space="preserve"> builds on policy option </w:t>
      </w:r>
      <w:r w:rsidR="00155F5A">
        <w:rPr>
          <w:rFonts w:ascii="Times New Roman" w:hAnsi="Times New Roman" w:cs="Times New Roman"/>
          <w:noProof/>
          <w:sz w:val="24"/>
        </w:rPr>
        <w:t>2.1</w:t>
      </w:r>
      <w:r>
        <w:rPr>
          <w:rFonts w:ascii="Times New Roman" w:hAnsi="Times New Roman" w:cs="Times New Roman"/>
          <w:noProof/>
          <w:sz w:val="24"/>
        </w:rPr>
        <w:t xml:space="preserve">, and policy option </w:t>
      </w:r>
      <w:r w:rsidR="00155F5A">
        <w:rPr>
          <w:rFonts w:ascii="Times New Roman" w:hAnsi="Times New Roman" w:cs="Times New Roman"/>
          <w:noProof/>
          <w:sz w:val="24"/>
        </w:rPr>
        <w:t>2.3</w:t>
      </w:r>
      <w:r>
        <w:rPr>
          <w:rFonts w:ascii="Times New Roman" w:hAnsi="Times New Roman" w:cs="Times New Roman"/>
          <w:noProof/>
          <w:sz w:val="24"/>
        </w:rPr>
        <w:t xml:space="preserve"> builds on policy option </w:t>
      </w:r>
      <w:r w:rsidR="00155F5A">
        <w:rPr>
          <w:rFonts w:ascii="Times New Roman" w:hAnsi="Times New Roman" w:cs="Times New Roman"/>
          <w:noProof/>
          <w:sz w:val="24"/>
        </w:rPr>
        <w:t>2.2</w:t>
      </w:r>
      <w:r>
        <w:rPr>
          <w:rFonts w:ascii="Times New Roman" w:hAnsi="Times New Roman" w:cs="Times New Roman"/>
          <w:noProof/>
          <w:sz w:val="24"/>
        </w:rPr>
        <w:t xml:space="preserve"> </w:t>
      </w:r>
      <w:r w:rsidRPr="003E4A28">
        <w:rPr>
          <w:rFonts w:ascii="Times New Roman" w:hAnsi="Times New Roman" w:cs="Times New Roman"/>
          <w:b/>
          <w:noProof/>
          <w:sz w:val="24"/>
        </w:rPr>
        <w:t>for the sole flanking soft measures.</w:t>
      </w:r>
    </w:p>
    <w:p w14:paraId="31F9E8AF" w14:textId="77777777" w:rsidR="00C76702" w:rsidRDefault="00C76702" w:rsidP="00187EA9">
      <w:pPr>
        <w:spacing w:after="120" w:line="240" w:lineRule="auto"/>
        <w:jc w:val="both"/>
        <w:rPr>
          <w:rFonts w:ascii="Times New Roman" w:hAnsi="Times New Roman" w:cs="Times New Roman"/>
          <w:noProof/>
          <w:sz w:val="24"/>
        </w:rPr>
      </w:pPr>
      <w:r w:rsidRPr="00CD51FA">
        <w:rPr>
          <w:rFonts w:ascii="Times New Roman" w:hAnsi="Times New Roman" w:cs="Times New Roman"/>
          <w:b/>
          <w:noProof/>
          <w:sz w:val="24"/>
        </w:rPr>
        <w:t xml:space="preserve">Policy option </w:t>
      </w:r>
      <w:r w:rsidR="00155F5A">
        <w:rPr>
          <w:rFonts w:ascii="Times New Roman" w:hAnsi="Times New Roman" w:cs="Times New Roman"/>
          <w:b/>
          <w:noProof/>
          <w:sz w:val="24"/>
        </w:rPr>
        <w:t>2.2</w:t>
      </w:r>
      <w:r w:rsidRPr="00CD51FA">
        <w:rPr>
          <w:rFonts w:ascii="Times New Roman" w:hAnsi="Times New Roman" w:cs="Times New Roman"/>
          <w:noProof/>
          <w:sz w:val="24"/>
        </w:rPr>
        <w:t xml:space="preserve"> </w:t>
      </w:r>
      <w:r w:rsidRPr="00CD51FA">
        <w:rPr>
          <w:rFonts w:ascii="Times New Roman" w:hAnsi="Times New Roman" w:cs="Times New Roman"/>
          <w:b/>
          <w:noProof/>
          <w:sz w:val="24"/>
        </w:rPr>
        <w:t>is the preferred option</w:t>
      </w:r>
      <w:r w:rsidR="00535FAF" w:rsidRPr="00C17C97">
        <w:rPr>
          <w:rStyle w:val="FootnoteReference"/>
          <w:rFonts w:ascii="Times New Roman" w:hAnsi="Times New Roman" w:cs="Times New Roman"/>
          <w:noProof/>
          <w:sz w:val="24"/>
        </w:rPr>
        <w:footnoteReference w:id="101"/>
      </w:r>
      <w:r w:rsidRPr="00CD51FA">
        <w:rPr>
          <w:rFonts w:ascii="Times New Roman" w:hAnsi="Times New Roman" w:cs="Times New Roman"/>
          <w:noProof/>
          <w:sz w:val="24"/>
        </w:rPr>
        <w:t>. Under this policy option</w:t>
      </w:r>
      <w:r>
        <w:rPr>
          <w:rFonts w:ascii="Times New Roman" w:hAnsi="Times New Roman" w:cs="Times New Roman"/>
          <w:noProof/>
          <w:sz w:val="24"/>
        </w:rPr>
        <w:t xml:space="preserve">, national and regional   information hubs will benefit from the necessary approximation of commun minimum standards. This will cover the functionning, </w:t>
      </w:r>
      <w:r w:rsidRPr="00EF0800">
        <w:rPr>
          <w:rFonts w:ascii="Times New Roman" w:hAnsi="Times New Roman" w:cs="Times New Roman"/>
          <w:noProof/>
          <w:sz w:val="24"/>
          <w:szCs w:val="24"/>
        </w:rPr>
        <w:t>staffing</w:t>
      </w:r>
      <w:r>
        <w:rPr>
          <w:rFonts w:ascii="Times New Roman" w:hAnsi="Times New Roman" w:cs="Times New Roman"/>
          <w:noProof/>
          <w:sz w:val="24"/>
          <w:szCs w:val="24"/>
        </w:rPr>
        <w:t>,</w:t>
      </w:r>
      <w:r w:rsidRPr="00EF0800">
        <w:rPr>
          <w:rFonts w:ascii="Times New Roman" w:hAnsi="Times New Roman" w:cs="Times New Roman"/>
          <w:noProof/>
          <w:sz w:val="24"/>
          <w:szCs w:val="24"/>
        </w:rPr>
        <w:t xml:space="preserve"> and IT </w:t>
      </w:r>
      <w:r>
        <w:rPr>
          <w:rFonts w:ascii="Times New Roman" w:hAnsi="Times New Roman" w:cs="Times New Roman"/>
          <w:noProof/>
          <w:sz w:val="24"/>
          <w:szCs w:val="24"/>
        </w:rPr>
        <w:t xml:space="preserve">information systems, while ensuring the interconnectivity between the national information management architecture with regional ones (if any). This will significantly improve the efficiency and effectiveness of these information hubs at national and regional levels (inter-agency cooperation) but also at EU level (cooperation between national SPOCs). </w:t>
      </w:r>
      <w:r>
        <w:rPr>
          <w:rFonts w:ascii="Times New Roman" w:hAnsi="Times New Roman" w:cs="Times New Roman"/>
          <w:noProof/>
          <w:sz w:val="24"/>
        </w:rPr>
        <w:t>This will also have a positive ripple effect on Schengen Associated Countries. Flanking measures will be defined and implemented to support Member States accordingly.</w:t>
      </w:r>
    </w:p>
    <w:p w14:paraId="1655B496" w14:textId="0C0C9D42" w:rsidR="00C76702" w:rsidRPr="00C21EAF" w:rsidRDefault="00C76702" w:rsidP="006D3495">
      <w:pPr>
        <w:pStyle w:val="Body"/>
        <w:spacing w:after="120"/>
        <w:jc w:val="both"/>
        <w:rPr>
          <w:rFonts w:ascii="Times New Roman" w:hAnsi="Times New Roman"/>
          <w:bCs/>
          <w:noProof/>
          <w:sz w:val="24"/>
        </w:rPr>
      </w:pPr>
      <w:r>
        <w:rPr>
          <w:rFonts w:ascii="Times New Roman" w:hAnsi="Times New Roman"/>
          <w:bCs/>
          <w:noProof/>
          <w:sz w:val="24"/>
        </w:rPr>
        <w:t xml:space="preserve">Under </w:t>
      </w:r>
      <w:r w:rsidRPr="00C21EAF">
        <w:rPr>
          <w:rFonts w:ascii="Times New Roman" w:hAnsi="Times New Roman"/>
          <w:b/>
          <w:bCs/>
          <w:noProof/>
          <w:sz w:val="24"/>
        </w:rPr>
        <w:t>policy option</w:t>
      </w:r>
      <w:r w:rsidR="00C00FE5">
        <w:rPr>
          <w:rFonts w:ascii="Times New Roman" w:hAnsi="Times New Roman"/>
          <w:b/>
          <w:bCs/>
          <w:noProof/>
          <w:sz w:val="24"/>
        </w:rPr>
        <w:t>s</w:t>
      </w:r>
      <w:r w:rsidRPr="00C21EAF">
        <w:rPr>
          <w:rFonts w:ascii="Times New Roman" w:hAnsi="Times New Roman"/>
          <w:b/>
          <w:bCs/>
          <w:noProof/>
          <w:sz w:val="24"/>
        </w:rPr>
        <w:t xml:space="preserve"> </w:t>
      </w:r>
      <w:r w:rsidR="00155F5A">
        <w:rPr>
          <w:rFonts w:ascii="Times New Roman" w:hAnsi="Times New Roman"/>
          <w:b/>
          <w:bCs/>
          <w:noProof/>
          <w:sz w:val="24"/>
        </w:rPr>
        <w:t>2.2</w:t>
      </w:r>
      <w:r>
        <w:rPr>
          <w:rFonts w:ascii="Times New Roman" w:hAnsi="Times New Roman"/>
          <w:bCs/>
          <w:noProof/>
          <w:sz w:val="24"/>
        </w:rPr>
        <w:t xml:space="preserve"> </w:t>
      </w:r>
      <w:r w:rsidRPr="00C21EAF">
        <w:rPr>
          <w:rFonts w:ascii="Times New Roman" w:hAnsi="Times New Roman"/>
          <w:b/>
          <w:bCs/>
          <w:noProof/>
          <w:sz w:val="24"/>
        </w:rPr>
        <w:t xml:space="preserve">and </w:t>
      </w:r>
      <w:r w:rsidR="00155F5A">
        <w:rPr>
          <w:rFonts w:ascii="Times New Roman" w:hAnsi="Times New Roman"/>
          <w:b/>
          <w:bCs/>
          <w:noProof/>
          <w:sz w:val="24"/>
        </w:rPr>
        <w:t>2.3</w:t>
      </w:r>
      <w:r>
        <w:rPr>
          <w:rFonts w:ascii="Times New Roman" w:hAnsi="Times New Roman"/>
          <w:bCs/>
          <w:noProof/>
          <w:sz w:val="24"/>
        </w:rPr>
        <w:t xml:space="preserve">, Member States will be required to monitor SIENA 24/7 and to ensure the functional </w:t>
      </w:r>
      <w:r w:rsidR="00FE0E3B">
        <w:rPr>
          <w:rFonts w:ascii="Times New Roman" w:hAnsi="Times New Roman"/>
          <w:bCs/>
          <w:noProof/>
          <w:sz w:val="24"/>
        </w:rPr>
        <w:t xml:space="preserve">availability </w:t>
      </w:r>
      <w:r>
        <w:rPr>
          <w:rFonts w:ascii="Times New Roman" w:hAnsi="Times New Roman"/>
          <w:bCs/>
          <w:noProof/>
          <w:sz w:val="24"/>
        </w:rPr>
        <w:t>of a judicial authority. This good practice, identified in a number of Member States, has been noted to significantly improve the SPOC ability to respond to urgent requests</w:t>
      </w:r>
      <w:r w:rsidRPr="00117ACB">
        <w:rPr>
          <w:rFonts w:ascii="Times New Roman" w:hAnsi="Times New Roman"/>
          <w:bCs/>
          <w:noProof/>
          <w:sz w:val="24"/>
        </w:rPr>
        <w:t xml:space="preserve"> </w:t>
      </w:r>
      <w:r>
        <w:rPr>
          <w:rFonts w:ascii="Times New Roman" w:hAnsi="Times New Roman"/>
          <w:bCs/>
          <w:noProof/>
          <w:sz w:val="24"/>
        </w:rPr>
        <w:t>in a timely manner.</w:t>
      </w:r>
    </w:p>
    <w:p w14:paraId="70FD92DD" w14:textId="77777777" w:rsidR="00C76702" w:rsidRPr="007E6CC4" w:rsidRDefault="00C76702" w:rsidP="00187EA9">
      <w:pPr>
        <w:pStyle w:val="Body"/>
        <w:spacing w:after="120"/>
        <w:jc w:val="both"/>
        <w:rPr>
          <w:rFonts w:ascii="Times New Roman" w:hAnsi="Times New Roman"/>
          <w:bCs/>
          <w:noProof/>
          <w:sz w:val="24"/>
        </w:rPr>
      </w:pPr>
      <w:r w:rsidRPr="00B021EE">
        <w:rPr>
          <w:rFonts w:ascii="Times New Roman" w:hAnsi="Times New Roman"/>
          <w:b/>
          <w:bCs/>
          <w:noProof/>
          <w:sz w:val="24"/>
        </w:rPr>
        <w:t>Efficiency and effectiveness.</w:t>
      </w:r>
      <w:r>
        <w:rPr>
          <w:rFonts w:ascii="Times New Roman" w:hAnsi="Times New Roman"/>
          <w:bCs/>
          <w:noProof/>
          <w:sz w:val="24"/>
        </w:rPr>
        <w:t xml:space="preserve"> </w:t>
      </w:r>
      <w:r w:rsidRPr="007E6CC4">
        <w:rPr>
          <w:rFonts w:ascii="Times New Roman" w:hAnsi="Times New Roman"/>
          <w:bCs/>
          <w:noProof/>
          <w:sz w:val="24"/>
        </w:rPr>
        <w:t>While some countries do not seem to work with a modern C</w:t>
      </w:r>
      <w:r>
        <w:rPr>
          <w:rFonts w:ascii="Times New Roman" w:hAnsi="Times New Roman"/>
          <w:bCs/>
          <w:noProof/>
          <w:sz w:val="24"/>
        </w:rPr>
        <w:t xml:space="preserve">ase </w:t>
      </w:r>
      <w:r w:rsidRPr="007E6CC4">
        <w:rPr>
          <w:rFonts w:ascii="Times New Roman" w:hAnsi="Times New Roman"/>
          <w:bCs/>
          <w:noProof/>
          <w:sz w:val="24"/>
        </w:rPr>
        <w:t>M</w:t>
      </w:r>
      <w:r>
        <w:rPr>
          <w:rFonts w:ascii="Times New Roman" w:hAnsi="Times New Roman"/>
          <w:bCs/>
          <w:noProof/>
          <w:sz w:val="24"/>
        </w:rPr>
        <w:t xml:space="preserve">anagement </w:t>
      </w:r>
      <w:r w:rsidRPr="007E6CC4">
        <w:rPr>
          <w:rFonts w:ascii="Times New Roman" w:hAnsi="Times New Roman"/>
          <w:bCs/>
          <w:noProof/>
          <w:sz w:val="24"/>
        </w:rPr>
        <w:t>S</w:t>
      </w:r>
      <w:r>
        <w:rPr>
          <w:rFonts w:ascii="Times New Roman" w:hAnsi="Times New Roman"/>
          <w:bCs/>
          <w:noProof/>
          <w:sz w:val="24"/>
        </w:rPr>
        <w:t>ystem (</w:t>
      </w:r>
      <w:r w:rsidRPr="007E6CC4">
        <w:rPr>
          <w:rFonts w:ascii="Times New Roman" w:hAnsi="Times New Roman"/>
          <w:bCs/>
          <w:noProof/>
          <w:sz w:val="24"/>
        </w:rPr>
        <w:t>CMS</w:t>
      </w:r>
      <w:r>
        <w:rPr>
          <w:rFonts w:ascii="Times New Roman" w:hAnsi="Times New Roman"/>
          <w:bCs/>
          <w:noProof/>
          <w:sz w:val="24"/>
        </w:rPr>
        <w:t>)</w:t>
      </w:r>
      <w:r w:rsidRPr="007E6CC4">
        <w:rPr>
          <w:rFonts w:ascii="Times New Roman" w:hAnsi="Times New Roman"/>
          <w:bCs/>
          <w:noProof/>
          <w:sz w:val="24"/>
        </w:rPr>
        <w:t xml:space="preserve"> in relation to cross-border law enforcement cooperation, other countries have systems in place that are seamlessly interoperable and integrated with </w:t>
      </w:r>
      <w:r w:rsidR="004032AA">
        <w:rPr>
          <w:rFonts w:ascii="Times New Roman" w:hAnsi="Times New Roman"/>
          <w:bCs/>
          <w:noProof/>
          <w:sz w:val="24"/>
        </w:rPr>
        <w:t xml:space="preserve">Europol </w:t>
      </w:r>
      <w:r w:rsidRPr="007E6CC4">
        <w:rPr>
          <w:rFonts w:ascii="Times New Roman" w:hAnsi="Times New Roman"/>
          <w:bCs/>
          <w:noProof/>
          <w:sz w:val="24"/>
        </w:rPr>
        <w:t>SIENA. Thus, the measures identified</w:t>
      </w:r>
      <w:r>
        <w:rPr>
          <w:rFonts w:ascii="Times New Roman" w:hAnsi="Times New Roman"/>
          <w:bCs/>
          <w:noProof/>
          <w:sz w:val="24"/>
        </w:rPr>
        <w:t xml:space="preserve"> in </w:t>
      </w:r>
      <w:r w:rsidRPr="007E6CC4">
        <w:rPr>
          <w:rFonts w:ascii="Times New Roman" w:hAnsi="Times New Roman"/>
          <w:b/>
          <w:bCs/>
          <w:noProof/>
          <w:sz w:val="24"/>
        </w:rPr>
        <w:t xml:space="preserve">policy option </w:t>
      </w:r>
      <w:r w:rsidR="00155F5A">
        <w:rPr>
          <w:rFonts w:ascii="Times New Roman" w:hAnsi="Times New Roman"/>
          <w:b/>
          <w:bCs/>
          <w:noProof/>
          <w:sz w:val="24"/>
        </w:rPr>
        <w:t>2.2</w:t>
      </w:r>
      <w:r w:rsidRPr="007E6CC4">
        <w:rPr>
          <w:rFonts w:ascii="Times New Roman" w:hAnsi="Times New Roman"/>
          <w:bCs/>
          <w:noProof/>
          <w:sz w:val="24"/>
        </w:rPr>
        <w:t xml:space="preserve"> are expected to contribute to level the playing field in terms of technical progress of law enforcement cooperation between countries and, th</w:t>
      </w:r>
      <w:r>
        <w:rPr>
          <w:rFonts w:ascii="Times New Roman" w:hAnsi="Times New Roman"/>
          <w:bCs/>
          <w:noProof/>
          <w:sz w:val="24"/>
        </w:rPr>
        <w:t>ereby</w:t>
      </w:r>
      <w:r w:rsidRPr="007E6CC4">
        <w:rPr>
          <w:rFonts w:ascii="Times New Roman" w:hAnsi="Times New Roman"/>
          <w:bCs/>
          <w:noProof/>
          <w:sz w:val="24"/>
        </w:rPr>
        <w:t xml:space="preserve">, facilitate the access to and exchange of information. </w:t>
      </w:r>
      <w:r>
        <w:rPr>
          <w:rFonts w:ascii="Times New Roman" w:hAnsi="Times New Roman"/>
          <w:bCs/>
          <w:noProof/>
          <w:sz w:val="24"/>
        </w:rPr>
        <w:t>The approximation of common minimum requirements will ensure coordinated future developments, thereby facilitating and enhancing internal and EU cooperation. Indeed, d</w:t>
      </w:r>
      <w:r w:rsidRPr="007E6CC4">
        <w:rPr>
          <w:rFonts w:ascii="Times New Roman" w:hAnsi="Times New Roman"/>
          <w:bCs/>
          <w:noProof/>
          <w:sz w:val="24"/>
        </w:rPr>
        <w:t>ata can be exchanged in a more structured and s</w:t>
      </w:r>
      <w:r>
        <w:rPr>
          <w:rFonts w:ascii="Times New Roman" w:hAnsi="Times New Roman"/>
          <w:bCs/>
          <w:noProof/>
          <w:sz w:val="24"/>
        </w:rPr>
        <w:t>w</w:t>
      </w:r>
      <w:r w:rsidRPr="007E6CC4">
        <w:rPr>
          <w:rFonts w:ascii="Times New Roman" w:hAnsi="Times New Roman"/>
          <w:bCs/>
          <w:noProof/>
          <w:sz w:val="24"/>
        </w:rPr>
        <w:t>ifter way</w:t>
      </w:r>
      <w:r w:rsidR="004032AA">
        <w:rPr>
          <w:rFonts w:ascii="Times New Roman" w:hAnsi="Times New Roman"/>
          <w:bCs/>
          <w:noProof/>
          <w:sz w:val="24"/>
        </w:rPr>
        <w:t xml:space="preserve"> (e.g. via the Universal Message Format)</w:t>
      </w:r>
      <w:r w:rsidRPr="007E6CC4">
        <w:rPr>
          <w:rFonts w:ascii="Times New Roman" w:hAnsi="Times New Roman"/>
          <w:bCs/>
          <w:noProof/>
          <w:sz w:val="24"/>
        </w:rPr>
        <w:t>.</w:t>
      </w:r>
    </w:p>
    <w:p w14:paraId="4AF82737" w14:textId="77777777" w:rsidR="00C76702" w:rsidRDefault="00C76702" w:rsidP="00187EA9">
      <w:pPr>
        <w:pStyle w:val="Body"/>
        <w:spacing w:after="120"/>
        <w:jc w:val="both"/>
        <w:rPr>
          <w:rFonts w:ascii="Times New Roman" w:hAnsi="Times New Roman"/>
          <w:bCs/>
          <w:noProof/>
          <w:sz w:val="24"/>
        </w:rPr>
      </w:pPr>
      <w:r>
        <w:rPr>
          <w:rFonts w:ascii="Times New Roman" w:hAnsi="Times New Roman"/>
          <w:bCs/>
          <w:noProof/>
          <w:sz w:val="24"/>
        </w:rPr>
        <w:t xml:space="preserve">A </w:t>
      </w:r>
      <w:r w:rsidRPr="007E6CC4">
        <w:rPr>
          <w:rFonts w:ascii="Times New Roman" w:hAnsi="Times New Roman"/>
          <w:bCs/>
          <w:noProof/>
          <w:sz w:val="24"/>
        </w:rPr>
        <w:t xml:space="preserve">large majority of </w:t>
      </w:r>
      <w:r>
        <w:rPr>
          <w:rFonts w:ascii="Times New Roman" w:hAnsi="Times New Roman"/>
          <w:bCs/>
          <w:noProof/>
          <w:sz w:val="24"/>
        </w:rPr>
        <w:t xml:space="preserve">Member States </w:t>
      </w:r>
      <w:r w:rsidRPr="007E6CC4">
        <w:rPr>
          <w:rFonts w:ascii="Times New Roman" w:hAnsi="Times New Roman"/>
          <w:bCs/>
          <w:noProof/>
          <w:sz w:val="24"/>
        </w:rPr>
        <w:t xml:space="preserve">participants </w:t>
      </w:r>
      <w:r>
        <w:rPr>
          <w:rFonts w:ascii="Times New Roman" w:hAnsi="Times New Roman"/>
          <w:bCs/>
          <w:noProof/>
          <w:sz w:val="24"/>
        </w:rPr>
        <w:t xml:space="preserve">to </w:t>
      </w:r>
      <w:r w:rsidRPr="007E6CC4">
        <w:rPr>
          <w:rFonts w:ascii="Times New Roman" w:hAnsi="Times New Roman"/>
          <w:bCs/>
          <w:noProof/>
          <w:sz w:val="24"/>
        </w:rPr>
        <w:t>the 2</w:t>
      </w:r>
      <w:r w:rsidRPr="007E6CC4">
        <w:rPr>
          <w:rFonts w:ascii="Times New Roman" w:hAnsi="Times New Roman"/>
          <w:bCs/>
          <w:noProof/>
          <w:sz w:val="24"/>
          <w:vertAlign w:val="superscript"/>
        </w:rPr>
        <w:t>nd</w:t>
      </w:r>
      <w:r w:rsidRPr="007E6CC4">
        <w:rPr>
          <w:rFonts w:ascii="Times New Roman" w:hAnsi="Times New Roman"/>
          <w:bCs/>
          <w:noProof/>
          <w:sz w:val="24"/>
        </w:rPr>
        <w:t xml:space="preserve"> technical workshop</w:t>
      </w:r>
      <w:r>
        <w:rPr>
          <w:rFonts w:ascii="Times New Roman" w:hAnsi="Times New Roman"/>
          <w:bCs/>
          <w:noProof/>
          <w:sz w:val="24"/>
        </w:rPr>
        <w:t xml:space="preserve"> held in May 2021 </w:t>
      </w:r>
      <w:r w:rsidRPr="007E6CC4">
        <w:rPr>
          <w:rFonts w:ascii="Times New Roman" w:hAnsi="Times New Roman"/>
          <w:bCs/>
          <w:noProof/>
          <w:sz w:val="24"/>
        </w:rPr>
        <w:t>indicated that the envisaged measures centred on national C</w:t>
      </w:r>
      <w:r w:rsidR="00565A49">
        <w:rPr>
          <w:rFonts w:ascii="Times New Roman" w:hAnsi="Times New Roman"/>
          <w:bCs/>
          <w:noProof/>
          <w:sz w:val="24"/>
        </w:rPr>
        <w:t xml:space="preserve">ase </w:t>
      </w:r>
      <w:r w:rsidRPr="007E6CC4">
        <w:rPr>
          <w:rFonts w:ascii="Times New Roman" w:hAnsi="Times New Roman"/>
          <w:bCs/>
          <w:noProof/>
          <w:sz w:val="24"/>
        </w:rPr>
        <w:t>M</w:t>
      </w:r>
      <w:r w:rsidR="00565A49">
        <w:rPr>
          <w:rFonts w:ascii="Times New Roman" w:hAnsi="Times New Roman"/>
          <w:bCs/>
          <w:noProof/>
          <w:sz w:val="24"/>
        </w:rPr>
        <w:t xml:space="preserve">anagement </w:t>
      </w:r>
      <w:r w:rsidRPr="007E6CC4">
        <w:rPr>
          <w:rFonts w:ascii="Times New Roman" w:hAnsi="Times New Roman"/>
          <w:bCs/>
          <w:noProof/>
          <w:sz w:val="24"/>
        </w:rPr>
        <w:t>S</w:t>
      </w:r>
      <w:r w:rsidR="00565A49">
        <w:rPr>
          <w:rFonts w:ascii="Times New Roman" w:hAnsi="Times New Roman"/>
          <w:bCs/>
          <w:noProof/>
          <w:sz w:val="24"/>
        </w:rPr>
        <w:t>ystem</w:t>
      </w:r>
      <w:r w:rsidRPr="007E6CC4">
        <w:rPr>
          <w:rFonts w:ascii="Times New Roman" w:hAnsi="Times New Roman"/>
          <w:bCs/>
          <w:noProof/>
          <w:sz w:val="24"/>
        </w:rPr>
        <w:t xml:space="preserve"> for SPOCs would have a (very) positive impact on cross-bord</w:t>
      </w:r>
      <w:r>
        <w:rPr>
          <w:rFonts w:ascii="Times New Roman" w:hAnsi="Times New Roman"/>
          <w:bCs/>
          <w:noProof/>
          <w:sz w:val="24"/>
        </w:rPr>
        <w:t xml:space="preserve">er law </w:t>
      </w:r>
      <w:r w:rsidR="00565A49">
        <w:rPr>
          <w:rFonts w:ascii="Times New Roman" w:hAnsi="Times New Roman"/>
          <w:bCs/>
          <w:noProof/>
          <w:sz w:val="24"/>
        </w:rPr>
        <w:t>e</w:t>
      </w:r>
      <w:r>
        <w:rPr>
          <w:rFonts w:ascii="Times New Roman" w:hAnsi="Times New Roman"/>
          <w:bCs/>
          <w:noProof/>
          <w:sz w:val="24"/>
        </w:rPr>
        <w:t>nforcement cooperation</w:t>
      </w:r>
      <w:r w:rsidR="009F2E31">
        <w:rPr>
          <w:rStyle w:val="FootnoteReference"/>
          <w:rFonts w:ascii="Times New Roman" w:hAnsi="Times New Roman"/>
          <w:bCs/>
          <w:noProof/>
          <w:sz w:val="24"/>
        </w:rPr>
        <w:footnoteReference w:id="102"/>
      </w:r>
      <w:r>
        <w:rPr>
          <w:rFonts w:ascii="Times New Roman" w:hAnsi="Times New Roman"/>
          <w:bCs/>
          <w:noProof/>
          <w:sz w:val="24"/>
        </w:rPr>
        <w:t>.</w:t>
      </w:r>
    </w:p>
    <w:p w14:paraId="3C2C579E" w14:textId="2F8F5DB0" w:rsidR="00C76702" w:rsidRDefault="00C76702" w:rsidP="00187EA9">
      <w:pPr>
        <w:pStyle w:val="Body"/>
        <w:spacing w:after="120"/>
        <w:jc w:val="both"/>
        <w:rPr>
          <w:rFonts w:ascii="Times New Roman" w:hAnsi="Times New Roman"/>
          <w:bCs/>
          <w:noProof/>
          <w:sz w:val="24"/>
        </w:rPr>
      </w:pPr>
      <w:r w:rsidRPr="00617514">
        <w:rPr>
          <w:rFonts w:ascii="Times New Roman" w:hAnsi="Times New Roman"/>
          <w:bCs/>
          <w:noProof/>
          <w:sz w:val="24"/>
        </w:rPr>
        <w:t xml:space="preserve">Elements of the </w:t>
      </w:r>
      <w:r w:rsidRPr="00617514">
        <w:rPr>
          <w:rFonts w:ascii="Times New Roman" w:hAnsi="Times New Roman"/>
          <w:b/>
          <w:bCs/>
          <w:noProof/>
          <w:sz w:val="24"/>
        </w:rPr>
        <w:t xml:space="preserve">policy option </w:t>
      </w:r>
      <w:r w:rsidR="00155F5A">
        <w:rPr>
          <w:rFonts w:ascii="Times New Roman" w:hAnsi="Times New Roman"/>
          <w:b/>
          <w:bCs/>
          <w:noProof/>
          <w:sz w:val="24"/>
        </w:rPr>
        <w:t>2.1</w:t>
      </w:r>
      <w:r w:rsidRPr="00617514">
        <w:rPr>
          <w:rFonts w:ascii="Times New Roman" w:hAnsi="Times New Roman"/>
          <w:bCs/>
          <w:noProof/>
          <w:sz w:val="24"/>
        </w:rPr>
        <w:t xml:space="preserve"> </w:t>
      </w:r>
      <w:r w:rsidR="00565A49">
        <w:rPr>
          <w:rFonts w:ascii="Times New Roman" w:hAnsi="Times New Roman"/>
          <w:bCs/>
          <w:noProof/>
          <w:sz w:val="24"/>
        </w:rPr>
        <w:t xml:space="preserve">(non-binding guidance) </w:t>
      </w:r>
      <w:r w:rsidRPr="00617514">
        <w:rPr>
          <w:rFonts w:ascii="Times New Roman" w:hAnsi="Times New Roman"/>
          <w:bCs/>
          <w:noProof/>
          <w:sz w:val="24"/>
        </w:rPr>
        <w:t xml:space="preserve">are expected to make a small positive contribution to improving the efficiency of cross-border law enforcement cooperation. </w:t>
      </w:r>
      <w:r w:rsidRPr="00704502">
        <w:rPr>
          <w:rFonts w:ascii="Times New Roman" w:hAnsi="Times New Roman"/>
          <w:b/>
          <w:bCs/>
          <w:noProof/>
          <w:sz w:val="24"/>
        </w:rPr>
        <w:t>Yet,</w:t>
      </w:r>
      <w:r w:rsidRPr="00617514">
        <w:rPr>
          <w:rFonts w:ascii="Times New Roman" w:hAnsi="Times New Roman"/>
          <w:bCs/>
          <w:noProof/>
          <w:sz w:val="24"/>
        </w:rPr>
        <w:t xml:space="preserve"> this would not provide an adequate response from an efficiency perspective.</w:t>
      </w:r>
      <w:r w:rsidRPr="00617514">
        <w:rPr>
          <w:rFonts w:ascii="Times New Roman" w:hAnsi="Times New Roman"/>
          <w:noProof/>
          <w:sz w:val="36"/>
          <w:szCs w:val="24"/>
        </w:rPr>
        <w:t xml:space="preserve"> </w:t>
      </w:r>
      <w:r w:rsidRPr="0096305E">
        <w:rPr>
          <w:rFonts w:ascii="Times New Roman" w:hAnsi="Times New Roman"/>
          <w:noProof/>
          <w:sz w:val="24"/>
          <w:szCs w:val="24"/>
        </w:rPr>
        <w:t xml:space="preserve">Under </w:t>
      </w:r>
      <w:r>
        <w:rPr>
          <w:rFonts w:ascii="Times New Roman" w:hAnsi="Times New Roman"/>
          <w:b/>
          <w:noProof/>
          <w:sz w:val="24"/>
          <w:szCs w:val="24"/>
        </w:rPr>
        <w:t xml:space="preserve">policy option </w:t>
      </w:r>
      <w:r w:rsidR="00155F5A">
        <w:rPr>
          <w:rFonts w:ascii="Times New Roman" w:hAnsi="Times New Roman"/>
          <w:b/>
          <w:noProof/>
          <w:sz w:val="24"/>
          <w:szCs w:val="24"/>
        </w:rPr>
        <w:t>2.1</w:t>
      </w:r>
      <w:r>
        <w:rPr>
          <w:rFonts w:ascii="Times New Roman" w:hAnsi="Times New Roman"/>
          <w:b/>
          <w:noProof/>
          <w:sz w:val="24"/>
          <w:szCs w:val="24"/>
        </w:rPr>
        <w:t xml:space="preserve">, </w:t>
      </w:r>
      <w:r w:rsidRPr="00F1198C">
        <w:rPr>
          <w:rFonts w:ascii="Times New Roman" w:hAnsi="Times New Roman"/>
          <w:noProof/>
          <w:sz w:val="24"/>
          <w:szCs w:val="24"/>
        </w:rPr>
        <w:t>the identified</w:t>
      </w:r>
      <w:r>
        <w:rPr>
          <w:rFonts w:ascii="Times New Roman" w:hAnsi="Times New Roman"/>
          <w:noProof/>
          <w:sz w:val="24"/>
          <w:szCs w:val="24"/>
        </w:rPr>
        <w:t xml:space="preserve"> differences a</w:t>
      </w:r>
      <w:r w:rsidRPr="00F1198C">
        <w:rPr>
          <w:rFonts w:ascii="Times New Roman" w:hAnsi="Times New Roman"/>
          <w:noProof/>
          <w:sz w:val="24"/>
          <w:szCs w:val="24"/>
        </w:rPr>
        <w:t xml:space="preserve">nd inefficiencies in the </w:t>
      </w:r>
      <w:r>
        <w:rPr>
          <w:rFonts w:ascii="Times New Roman" w:hAnsi="Times New Roman"/>
          <w:noProof/>
          <w:sz w:val="24"/>
          <w:szCs w:val="24"/>
        </w:rPr>
        <w:t xml:space="preserve">functioning of SPOCs </w:t>
      </w:r>
      <w:r w:rsidRPr="0096305E">
        <w:rPr>
          <w:rFonts w:ascii="Times New Roman" w:hAnsi="Times New Roman"/>
          <w:noProof/>
          <w:sz w:val="24"/>
          <w:szCs w:val="24"/>
        </w:rPr>
        <w:t xml:space="preserve">across the EU would remain, hampering the efficient exchange of information, notably due to </w:t>
      </w:r>
      <w:r>
        <w:rPr>
          <w:rFonts w:ascii="Times New Roman" w:hAnsi="Times New Roman"/>
          <w:noProof/>
          <w:sz w:val="24"/>
          <w:szCs w:val="24"/>
        </w:rPr>
        <w:t>an in</w:t>
      </w:r>
      <w:r w:rsidRPr="0096305E">
        <w:rPr>
          <w:rFonts w:ascii="Times New Roman" w:hAnsi="Times New Roman"/>
          <w:noProof/>
          <w:sz w:val="24"/>
          <w:szCs w:val="24"/>
        </w:rPr>
        <w:t xml:space="preserve">adequate access to key databases and platforms in all SPOCs. </w:t>
      </w:r>
      <w:r w:rsidRPr="00F369D6">
        <w:rPr>
          <w:rFonts w:ascii="Times New Roman" w:hAnsi="Times New Roman"/>
          <w:bCs/>
          <w:noProof/>
          <w:sz w:val="24"/>
        </w:rPr>
        <w:t xml:space="preserve">The limited </w:t>
      </w:r>
      <w:r w:rsidR="00432BD6">
        <w:rPr>
          <w:rFonts w:ascii="Times New Roman" w:hAnsi="Times New Roman"/>
          <w:noProof/>
          <w:sz w:val="24"/>
          <w:szCs w:val="24"/>
        </w:rPr>
        <w:t>interconnectivity</w:t>
      </w:r>
      <w:r w:rsidR="00432BD6" w:rsidRPr="00F369D6">
        <w:rPr>
          <w:rFonts w:ascii="Times New Roman" w:hAnsi="Times New Roman"/>
          <w:bCs/>
          <w:noProof/>
          <w:sz w:val="24"/>
        </w:rPr>
        <w:t xml:space="preserve"> </w:t>
      </w:r>
      <w:r w:rsidRPr="00F369D6">
        <w:rPr>
          <w:rFonts w:ascii="Times New Roman" w:hAnsi="Times New Roman"/>
          <w:bCs/>
          <w:noProof/>
          <w:sz w:val="24"/>
        </w:rPr>
        <w:t>between different systems (e.g. due to va</w:t>
      </w:r>
      <w:r>
        <w:rPr>
          <w:rFonts w:ascii="Times New Roman" w:hAnsi="Times New Roman"/>
          <w:bCs/>
          <w:noProof/>
          <w:sz w:val="24"/>
        </w:rPr>
        <w:t>st differences between various '</w:t>
      </w:r>
      <w:r w:rsidRPr="00F369D6">
        <w:rPr>
          <w:rFonts w:ascii="Times New Roman" w:hAnsi="Times New Roman"/>
          <w:bCs/>
          <w:noProof/>
          <w:sz w:val="24"/>
        </w:rPr>
        <w:t>in-house solutions</w:t>
      </w:r>
      <w:r>
        <w:rPr>
          <w:rFonts w:ascii="Times New Roman" w:hAnsi="Times New Roman"/>
          <w:bCs/>
          <w:noProof/>
          <w:sz w:val="24"/>
        </w:rPr>
        <w:t>'</w:t>
      </w:r>
      <w:r w:rsidRPr="00F369D6">
        <w:rPr>
          <w:rFonts w:ascii="Times New Roman" w:hAnsi="Times New Roman"/>
          <w:bCs/>
          <w:noProof/>
          <w:sz w:val="24"/>
        </w:rPr>
        <w:t xml:space="preserve"> used in the EU), as well as the limited functionalities of the </w:t>
      </w:r>
      <w:r>
        <w:rPr>
          <w:rFonts w:ascii="Times New Roman" w:hAnsi="Times New Roman"/>
          <w:bCs/>
          <w:noProof/>
          <w:sz w:val="24"/>
        </w:rPr>
        <w:t>Case Management System (C</w:t>
      </w:r>
      <w:r w:rsidRPr="00F369D6">
        <w:rPr>
          <w:rFonts w:ascii="Times New Roman" w:hAnsi="Times New Roman"/>
          <w:bCs/>
          <w:noProof/>
          <w:sz w:val="24"/>
        </w:rPr>
        <w:t>MS</w:t>
      </w:r>
      <w:r>
        <w:rPr>
          <w:rFonts w:ascii="Times New Roman" w:hAnsi="Times New Roman"/>
          <w:bCs/>
          <w:noProof/>
          <w:sz w:val="24"/>
        </w:rPr>
        <w:t>)</w:t>
      </w:r>
      <w:r w:rsidRPr="00F369D6">
        <w:rPr>
          <w:rFonts w:ascii="Times New Roman" w:hAnsi="Times New Roman"/>
          <w:bCs/>
          <w:noProof/>
          <w:sz w:val="24"/>
        </w:rPr>
        <w:t xml:space="preserve"> in various Member States are also expected to remain and continue to hamper cross-border information exchange in the future.</w:t>
      </w:r>
    </w:p>
    <w:p w14:paraId="4941FAE2" w14:textId="77777777" w:rsidR="00C76702" w:rsidRDefault="00C76702" w:rsidP="00187EA9">
      <w:pPr>
        <w:pStyle w:val="Body"/>
        <w:spacing w:after="120"/>
        <w:jc w:val="both"/>
        <w:rPr>
          <w:rFonts w:ascii="Times New Roman" w:hAnsi="Times New Roman"/>
          <w:bCs/>
          <w:noProof/>
          <w:sz w:val="24"/>
        </w:rPr>
      </w:pPr>
      <w:r w:rsidRPr="00C21EAF">
        <w:rPr>
          <w:rFonts w:ascii="Times New Roman" w:hAnsi="Times New Roman"/>
          <w:bCs/>
          <w:noProof/>
          <w:sz w:val="24"/>
        </w:rPr>
        <w:t>The plethora of existing databases, channels and systems, as well as the extent to which and how they are used in practice by officials is expected to continue to hamper the efficiency of law enforcement cooperation in the EU. Fragmentation concerning the associated legal, technical and structural requirements at the EU and national levels, as well as established informal practices are expected to continue to be the main reasons for this.</w:t>
      </w:r>
      <w:r>
        <w:rPr>
          <w:rFonts w:ascii="Times New Roman" w:hAnsi="Times New Roman"/>
          <w:bCs/>
          <w:noProof/>
          <w:sz w:val="24"/>
        </w:rPr>
        <w:t xml:space="preserve"> </w:t>
      </w:r>
    </w:p>
    <w:p w14:paraId="03427A0F" w14:textId="77777777" w:rsidR="00C76702" w:rsidRDefault="00C76702" w:rsidP="00187EA9">
      <w:pPr>
        <w:pStyle w:val="Body"/>
        <w:spacing w:before="60" w:after="120"/>
        <w:jc w:val="both"/>
        <w:rPr>
          <w:rFonts w:ascii="Times New Roman" w:hAnsi="Times New Roman"/>
          <w:noProof/>
          <w:sz w:val="24"/>
          <w:szCs w:val="16"/>
        </w:rPr>
      </w:pPr>
      <w:r w:rsidRPr="0096305E">
        <w:rPr>
          <w:rFonts w:ascii="Times New Roman" w:hAnsi="Times New Roman"/>
          <w:noProof/>
          <w:sz w:val="24"/>
          <w:szCs w:val="24"/>
        </w:rPr>
        <w:t>Moreover, some SPOCs have insufficient resources to address the information requests received within the deadlines in all cases. There is also a need to further ensure that law enforcement authorities involved in intra-EU cross-border cases are better trained on recent developments and possess adequate language skills to communicate with their peers</w:t>
      </w:r>
      <w:r>
        <w:rPr>
          <w:rFonts w:ascii="Times New Roman" w:hAnsi="Times New Roman"/>
          <w:noProof/>
          <w:sz w:val="24"/>
          <w:szCs w:val="24"/>
        </w:rPr>
        <w:t xml:space="preserve">. </w:t>
      </w:r>
      <w:r w:rsidRPr="0096305E">
        <w:rPr>
          <w:rFonts w:ascii="Times New Roman" w:hAnsi="Times New Roman"/>
          <w:noProof/>
          <w:sz w:val="24"/>
          <w:szCs w:val="16"/>
        </w:rPr>
        <w:t>Whilst it remains possible that the SPOCs and PCCCs will over time incrementally update and improve their information management systems, these developments would not be aligned between the Member States and the current b</w:t>
      </w:r>
      <w:r>
        <w:rPr>
          <w:rFonts w:ascii="Times New Roman" w:hAnsi="Times New Roman"/>
          <w:noProof/>
          <w:sz w:val="24"/>
          <w:szCs w:val="16"/>
        </w:rPr>
        <w:t>arriers are expected to remain.</w:t>
      </w:r>
    </w:p>
    <w:p w14:paraId="28514FA4" w14:textId="77777777" w:rsidR="007F36CB" w:rsidRDefault="00C76702" w:rsidP="00187EA9">
      <w:pPr>
        <w:pStyle w:val="Body"/>
        <w:spacing w:after="120"/>
        <w:jc w:val="both"/>
        <w:rPr>
          <w:rFonts w:ascii="Times New Roman" w:hAnsi="Times New Roman"/>
          <w:noProof/>
          <w:sz w:val="24"/>
          <w:szCs w:val="24"/>
        </w:rPr>
      </w:pPr>
      <w:r w:rsidRPr="00B021EE">
        <w:rPr>
          <w:rFonts w:ascii="Times New Roman" w:hAnsi="Times New Roman"/>
          <w:b/>
          <w:noProof/>
          <w:sz w:val="24"/>
          <w:szCs w:val="24"/>
        </w:rPr>
        <w:t>Political feasibility.</w:t>
      </w:r>
      <w:r>
        <w:rPr>
          <w:rFonts w:ascii="Times New Roman" w:hAnsi="Times New Roman"/>
          <w:noProof/>
          <w:sz w:val="24"/>
          <w:szCs w:val="24"/>
        </w:rPr>
        <w:t xml:space="preserve"> </w:t>
      </w:r>
      <w:r w:rsidRPr="009F2E31">
        <w:rPr>
          <w:rFonts w:ascii="Times New Roman" w:hAnsi="Times New Roman"/>
          <w:b/>
          <w:noProof/>
          <w:sz w:val="24"/>
          <w:szCs w:val="24"/>
        </w:rPr>
        <w:t>Unlike</w:t>
      </w:r>
      <w:r>
        <w:rPr>
          <w:rFonts w:ascii="Times New Roman" w:hAnsi="Times New Roman"/>
          <w:noProof/>
          <w:sz w:val="24"/>
          <w:szCs w:val="24"/>
        </w:rPr>
        <w:t xml:space="preserve"> </w:t>
      </w:r>
      <w:r w:rsidRPr="00C21EAF">
        <w:rPr>
          <w:rFonts w:ascii="Times New Roman" w:hAnsi="Times New Roman"/>
          <w:b/>
          <w:noProof/>
          <w:sz w:val="24"/>
          <w:szCs w:val="24"/>
        </w:rPr>
        <w:t xml:space="preserve">policy option </w:t>
      </w:r>
      <w:r w:rsidR="00155F5A">
        <w:rPr>
          <w:rFonts w:ascii="Times New Roman" w:hAnsi="Times New Roman"/>
          <w:b/>
          <w:noProof/>
          <w:sz w:val="24"/>
          <w:szCs w:val="24"/>
        </w:rPr>
        <w:t>2.3</w:t>
      </w:r>
      <w:r>
        <w:rPr>
          <w:rFonts w:ascii="Times New Roman" w:hAnsi="Times New Roman"/>
          <w:noProof/>
          <w:sz w:val="24"/>
          <w:szCs w:val="24"/>
        </w:rPr>
        <w:t xml:space="preserve">, </w:t>
      </w:r>
      <w:r w:rsidRPr="00C21EAF">
        <w:rPr>
          <w:rFonts w:ascii="Times New Roman" w:hAnsi="Times New Roman"/>
          <w:b/>
          <w:noProof/>
          <w:sz w:val="24"/>
          <w:szCs w:val="24"/>
        </w:rPr>
        <w:t xml:space="preserve">policy option </w:t>
      </w:r>
      <w:r w:rsidR="00155F5A">
        <w:rPr>
          <w:rFonts w:ascii="Times New Roman" w:hAnsi="Times New Roman"/>
          <w:b/>
          <w:noProof/>
          <w:sz w:val="24"/>
          <w:szCs w:val="24"/>
        </w:rPr>
        <w:t>2.2</w:t>
      </w:r>
      <w:r>
        <w:rPr>
          <w:rFonts w:ascii="Times New Roman" w:hAnsi="Times New Roman"/>
          <w:noProof/>
          <w:sz w:val="24"/>
          <w:szCs w:val="24"/>
        </w:rPr>
        <w:t xml:space="preserve"> is politically feasible. </w:t>
      </w:r>
      <w:r>
        <w:rPr>
          <w:rFonts w:ascii="Times New Roman" w:hAnsi="Times New Roman"/>
          <w:noProof/>
          <w:sz w:val="24"/>
        </w:rPr>
        <w:t xml:space="preserve">The lack of </w:t>
      </w:r>
      <w:r>
        <w:rPr>
          <w:rFonts w:ascii="Times New Roman" w:hAnsi="Times New Roman"/>
          <w:noProof/>
          <w:sz w:val="24"/>
          <w:szCs w:val="24"/>
        </w:rPr>
        <w:t>effective and efficient functioning of national and regional information hubs (where they exist)</w:t>
      </w:r>
      <w:r>
        <w:rPr>
          <w:rFonts w:ascii="Times New Roman" w:hAnsi="Times New Roman"/>
          <w:noProof/>
          <w:sz w:val="24"/>
        </w:rPr>
        <w:t xml:space="preserve"> have been persistently noted in the Schengen evaluation country reports in the field of police cooperation. Council guidelines (non-binding) have not led to a necessary minimal convergence of national practices </w:t>
      </w:r>
      <w:r w:rsidR="009F2E31">
        <w:rPr>
          <w:rFonts w:ascii="Times New Roman" w:hAnsi="Times New Roman"/>
          <w:noProof/>
          <w:sz w:val="24"/>
        </w:rPr>
        <w:t>(</w:t>
      </w:r>
      <w:r>
        <w:rPr>
          <w:rFonts w:ascii="Times New Roman" w:hAnsi="Times New Roman"/>
          <w:noProof/>
          <w:sz w:val="24"/>
        </w:rPr>
        <w:t>while recent Council Conclusions insisted on the need to support the "</w:t>
      </w:r>
      <w:r w:rsidRPr="002212B6">
        <w:rPr>
          <w:rFonts w:ascii="Times New Roman" w:hAnsi="Times New Roman"/>
          <w:i/>
          <w:noProof/>
          <w:sz w:val="24"/>
          <w:szCs w:val="24"/>
        </w:rPr>
        <w:t>further development of relevant structures and platforms</w:t>
      </w:r>
      <w:r w:rsidRPr="002212B6">
        <w:rPr>
          <w:rFonts w:ascii="Times New Roman" w:hAnsi="Times New Roman"/>
          <w:noProof/>
          <w:sz w:val="24"/>
          <w:szCs w:val="24"/>
        </w:rPr>
        <w:t>"</w:t>
      </w:r>
      <w:r w:rsidR="009F2E31">
        <w:rPr>
          <w:rFonts w:ascii="Times New Roman" w:hAnsi="Times New Roman"/>
          <w:noProof/>
          <w:sz w:val="24"/>
          <w:szCs w:val="24"/>
        </w:rPr>
        <w:t>)</w:t>
      </w:r>
      <w:r w:rsidRPr="002212B6">
        <w:rPr>
          <w:rFonts w:ascii="Times New Roman" w:hAnsi="Times New Roman"/>
          <w:noProof/>
          <w:sz w:val="24"/>
          <w:szCs w:val="24"/>
        </w:rPr>
        <w:t>.</w:t>
      </w:r>
      <w:r w:rsidRPr="00473493">
        <w:rPr>
          <w:rFonts w:ascii="Times New Roman" w:hAnsi="Times New Roman"/>
          <w:noProof/>
          <w:sz w:val="24"/>
          <w:szCs w:val="24"/>
        </w:rPr>
        <w:t xml:space="preserve"> </w:t>
      </w:r>
    </w:p>
    <w:p w14:paraId="2C7C5CFC" w14:textId="20152A14" w:rsidR="0001435D" w:rsidRPr="00B47345" w:rsidRDefault="00C76702" w:rsidP="00B47345">
      <w:pPr>
        <w:spacing w:after="120" w:line="240" w:lineRule="auto"/>
        <w:jc w:val="both"/>
        <w:rPr>
          <w:rFonts w:ascii="Times New Roman" w:hAnsi="Times New Roman" w:cs="Times New Roman"/>
          <w:noProof/>
          <w:sz w:val="24"/>
          <w:szCs w:val="24"/>
        </w:rPr>
      </w:pPr>
      <w:r>
        <w:rPr>
          <w:rFonts w:ascii="Times New Roman" w:hAnsi="Times New Roman"/>
          <w:noProof/>
          <w:sz w:val="24"/>
          <w:szCs w:val="16"/>
        </w:rPr>
        <w:t>This approximation of common minimum standard, notably stemming from the Heads of SPOC network</w:t>
      </w:r>
      <w:r>
        <w:rPr>
          <w:rStyle w:val="FootnoteReference"/>
          <w:rFonts w:ascii="Times New Roman" w:hAnsi="Times New Roman"/>
          <w:noProof/>
          <w:sz w:val="24"/>
          <w:szCs w:val="16"/>
        </w:rPr>
        <w:footnoteReference w:id="103"/>
      </w:r>
      <w:r>
        <w:rPr>
          <w:rFonts w:ascii="Times New Roman" w:hAnsi="Times New Roman"/>
          <w:noProof/>
          <w:sz w:val="24"/>
          <w:szCs w:val="16"/>
        </w:rPr>
        <w:t>, express a wide consensus at expert level.</w:t>
      </w:r>
      <w:r w:rsidR="009F2E31" w:rsidRPr="009F2E31">
        <w:rPr>
          <w:rFonts w:ascii="Times New Roman" w:hAnsi="Times New Roman"/>
          <w:noProof/>
          <w:sz w:val="24"/>
          <w:szCs w:val="24"/>
        </w:rPr>
        <w:t xml:space="preserve"> </w:t>
      </w:r>
      <w:r w:rsidR="009F2E31">
        <w:rPr>
          <w:rFonts w:ascii="Times New Roman" w:hAnsi="Times New Roman"/>
          <w:noProof/>
          <w:sz w:val="24"/>
          <w:szCs w:val="24"/>
        </w:rPr>
        <w:t>Ensuring the harmonisation of rules (option 2.3) on issues not covered by EU provisions so far will not be supported by Member States given their far-reaching structural and financial implications.</w:t>
      </w:r>
    </w:p>
    <w:p w14:paraId="64070185" w14:textId="77777777" w:rsidR="00C76702" w:rsidRDefault="00C76702" w:rsidP="00187EA9">
      <w:pPr>
        <w:spacing w:after="120" w:line="240" w:lineRule="auto"/>
        <w:jc w:val="both"/>
        <w:rPr>
          <w:rFonts w:ascii="Times New Roman" w:hAnsi="Times New Roman" w:cs="Times New Roman"/>
          <w:noProof/>
          <w:sz w:val="24"/>
        </w:rPr>
      </w:pPr>
      <w:r w:rsidRPr="00EB07A9">
        <w:rPr>
          <w:rFonts w:ascii="Times New Roman" w:hAnsi="Times New Roman" w:cs="Times New Roman"/>
          <w:b/>
          <w:noProof/>
          <w:sz w:val="24"/>
          <w:szCs w:val="24"/>
        </w:rPr>
        <w:t>Coherence and proportionality.</w:t>
      </w:r>
      <w:r>
        <w:rPr>
          <w:rFonts w:ascii="Times New Roman" w:hAnsi="Times New Roman" w:cs="Times New Roman"/>
          <w:noProof/>
          <w:sz w:val="24"/>
          <w:szCs w:val="24"/>
        </w:rPr>
        <w:t xml:space="preserve"> </w:t>
      </w:r>
      <w:r w:rsidRPr="00EC27BF">
        <w:rPr>
          <w:rFonts w:ascii="Times New Roman" w:hAnsi="Times New Roman" w:cs="Times New Roman"/>
          <w:b/>
          <w:noProof/>
          <w:sz w:val="24"/>
        </w:rPr>
        <w:t>P</w:t>
      </w:r>
      <w:r>
        <w:rPr>
          <w:rFonts w:ascii="Times New Roman" w:hAnsi="Times New Roman" w:cs="Times New Roman"/>
          <w:b/>
          <w:noProof/>
          <w:sz w:val="24"/>
        </w:rPr>
        <w:t xml:space="preserve">olicy option </w:t>
      </w:r>
      <w:r w:rsidR="00155F5A">
        <w:rPr>
          <w:rFonts w:ascii="Times New Roman" w:hAnsi="Times New Roman" w:cs="Times New Roman"/>
          <w:b/>
          <w:noProof/>
          <w:sz w:val="24"/>
        </w:rPr>
        <w:t>2.2</w:t>
      </w:r>
      <w:r>
        <w:rPr>
          <w:rFonts w:ascii="Times New Roman" w:hAnsi="Times New Roman" w:cs="Times New Roman"/>
          <w:noProof/>
          <w:sz w:val="24"/>
        </w:rPr>
        <w:t xml:space="preserve"> is in full coherence with past and envisaged initiatives notably the proposals on Europol, Prüm II and</w:t>
      </w:r>
      <w:r w:rsidR="00565A49">
        <w:rPr>
          <w:rFonts w:ascii="Times New Roman" w:hAnsi="Times New Roman" w:cs="Times New Roman"/>
          <w:noProof/>
          <w:sz w:val="24"/>
        </w:rPr>
        <w:t xml:space="preserve"> on</w:t>
      </w:r>
      <w:r>
        <w:rPr>
          <w:rFonts w:ascii="Times New Roman" w:hAnsi="Times New Roman" w:cs="Times New Roman"/>
          <w:noProof/>
          <w:sz w:val="24"/>
        </w:rPr>
        <w:t xml:space="preserve"> the Schengen Border Code. </w:t>
      </w:r>
      <w:r w:rsidRPr="00EC27BF">
        <w:rPr>
          <w:rFonts w:ascii="Times New Roman" w:hAnsi="Times New Roman" w:cs="Times New Roman"/>
          <w:b/>
          <w:noProof/>
          <w:sz w:val="24"/>
        </w:rPr>
        <w:t>P</w:t>
      </w:r>
      <w:r>
        <w:rPr>
          <w:rFonts w:ascii="Times New Roman" w:hAnsi="Times New Roman" w:cs="Times New Roman"/>
          <w:b/>
          <w:noProof/>
          <w:sz w:val="24"/>
        </w:rPr>
        <w:t xml:space="preserve">olicy option </w:t>
      </w:r>
      <w:r w:rsidR="00155F5A">
        <w:rPr>
          <w:rFonts w:ascii="Times New Roman" w:hAnsi="Times New Roman" w:cs="Times New Roman"/>
          <w:b/>
          <w:noProof/>
          <w:sz w:val="24"/>
        </w:rPr>
        <w:t>2.2</w:t>
      </w:r>
      <w:r>
        <w:rPr>
          <w:rFonts w:ascii="Times New Roman" w:hAnsi="Times New Roman" w:cs="Times New Roman"/>
          <w:noProof/>
          <w:sz w:val="24"/>
        </w:rPr>
        <w:t xml:space="preserve"> is also </w:t>
      </w:r>
      <w:r w:rsidRPr="00EC27BF">
        <w:rPr>
          <w:rFonts w:ascii="Times New Roman" w:hAnsi="Times New Roman" w:cs="Times New Roman"/>
          <w:b/>
          <w:noProof/>
          <w:sz w:val="24"/>
        </w:rPr>
        <w:t xml:space="preserve">proportionate </w:t>
      </w:r>
      <w:r w:rsidRPr="00EC27BF">
        <w:rPr>
          <w:rFonts w:ascii="Times New Roman" w:hAnsi="Times New Roman" w:cs="Times New Roman"/>
          <w:noProof/>
          <w:sz w:val="24"/>
        </w:rPr>
        <w:t>to the identified problem and do not go beyond what is necessary to achieve the specific objective</w:t>
      </w:r>
      <w:r w:rsidRPr="00EC27BF">
        <w:rPr>
          <w:rFonts w:ascii="Times New Roman" w:hAnsi="Times New Roman" w:cs="Times New Roman"/>
          <w:noProof/>
          <w:sz w:val="24"/>
          <w:szCs w:val="24"/>
        </w:rPr>
        <w:t>.</w:t>
      </w:r>
    </w:p>
    <w:p w14:paraId="7BD23962" w14:textId="33BE4F00" w:rsidR="00BD78F2" w:rsidRDefault="00C76702" w:rsidP="00187EA9">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full harmonisation of rules </w:t>
      </w:r>
      <w:r w:rsidRPr="00C21EAF">
        <w:rPr>
          <w:rFonts w:ascii="Times New Roman" w:hAnsi="Times New Roman" w:cs="Times New Roman"/>
          <w:b/>
          <w:noProof/>
          <w:sz w:val="24"/>
          <w:szCs w:val="24"/>
        </w:rPr>
        <w:t xml:space="preserve">(option </w:t>
      </w:r>
      <w:r w:rsidR="00155F5A">
        <w:rPr>
          <w:rFonts w:ascii="Times New Roman" w:hAnsi="Times New Roman" w:cs="Times New Roman"/>
          <w:b/>
          <w:noProof/>
          <w:sz w:val="24"/>
          <w:szCs w:val="24"/>
        </w:rPr>
        <w:t>2.3</w:t>
      </w:r>
      <w:r w:rsidRPr="00C21EAF">
        <w:rPr>
          <w:rFonts w:ascii="Times New Roman" w:hAnsi="Times New Roman" w:cs="Times New Roman"/>
          <w:b/>
          <w:noProof/>
          <w:sz w:val="24"/>
          <w:szCs w:val="24"/>
        </w:rPr>
        <w:t>)</w:t>
      </w:r>
      <w:r>
        <w:rPr>
          <w:rFonts w:ascii="Times New Roman" w:hAnsi="Times New Roman" w:cs="Times New Roman"/>
          <w:noProof/>
          <w:sz w:val="24"/>
          <w:szCs w:val="24"/>
        </w:rPr>
        <w:t xml:space="preserve"> d</w:t>
      </w:r>
      <w:r w:rsidR="009F2E31">
        <w:rPr>
          <w:rFonts w:ascii="Times New Roman" w:hAnsi="Times New Roman" w:cs="Times New Roman"/>
          <w:noProof/>
          <w:sz w:val="24"/>
          <w:szCs w:val="24"/>
        </w:rPr>
        <w:t>o</w:t>
      </w:r>
      <w:r>
        <w:rPr>
          <w:rFonts w:ascii="Times New Roman" w:hAnsi="Times New Roman" w:cs="Times New Roman"/>
          <w:noProof/>
          <w:sz w:val="24"/>
          <w:szCs w:val="24"/>
        </w:rPr>
        <w:t xml:space="preserve"> not meet the </w:t>
      </w:r>
      <w:r w:rsidRPr="009C11CF">
        <w:rPr>
          <w:rFonts w:ascii="Times New Roman" w:hAnsi="Times New Roman" w:cs="Times New Roman"/>
          <w:b/>
          <w:noProof/>
          <w:sz w:val="24"/>
          <w:szCs w:val="24"/>
        </w:rPr>
        <w:t>proportionality test</w:t>
      </w:r>
      <w:r>
        <w:rPr>
          <w:rFonts w:ascii="Times New Roman" w:hAnsi="Times New Roman" w:cs="Times New Roman"/>
          <w:noProof/>
          <w:sz w:val="24"/>
          <w:szCs w:val="24"/>
        </w:rPr>
        <w:t xml:space="preserve">. </w:t>
      </w:r>
      <w:r w:rsidR="00B47345">
        <w:rPr>
          <w:rFonts w:ascii="Times New Roman" w:hAnsi="Times New Roman" w:cs="Times New Roman"/>
          <w:noProof/>
          <w:sz w:val="24"/>
          <w:szCs w:val="24"/>
        </w:rPr>
        <w:t xml:space="preserve">Indeed, passing from </w:t>
      </w:r>
      <w:r w:rsidR="00B47345" w:rsidRPr="00212DDD">
        <w:rPr>
          <w:rFonts w:ascii="Times New Roman" w:hAnsi="Times New Roman" w:cs="Times New Roman"/>
          <w:noProof/>
          <w:sz w:val="24"/>
          <w:szCs w:val="24"/>
        </w:rPr>
        <w:t>Council non-binding guidance to a fully-fledged harmonisation</w:t>
      </w:r>
      <w:r w:rsidR="00B47345">
        <w:rPr>
          <w:rFonts w:ascii="Times New Roman" w:hAnsi="Times New Roman" w:cs="Times New Roman"/>
          <w:noProof/>
          <w:sz w:val="24"/>
          <w:szCs w:val="24"/>
        </w:rPr>
        <w:t xml:space="preserve"> by EU law</w:t>
      </w:r>
      <w:r w:rsidR="00B47345" w:rsidRPr="00212DDD">
        <w:rPr>
          <w:rFonts w:ascii="Times New Roman" w:hAnsi="Times New Roman" w:cs="Times New Roman"/>
          <w:noProof/>
          <w:sz w:val="24"/>
          <w:szCs w:val="24"/>
        </w:rPr>
        <w:t xml:space="preserve"> would </w:t>
      </w:r>
      <w:r w:rsidR="00B47345">
        <w:rPr>
          <w:rFonts w:ascii="Times New Roman" w:hAnsi="Times New Roman" w:cs="Times New Roman"/>
          <w:noProof/>
          <w:sz w:val="24"/>
          <w:szCs w:val="24"/>
        </w:rPr>
        <w:t xml:space="preserve">not be feasible </w:t>
      </w:r>
      <w:r w:rsidR="00B47345" w:rsidRPr="00212DDD">
        <w:rPr>
          <w:rFonts w:ascii="Times New Roman" w:hAnsi="Times New Roman" w:cs="Times New Roman"/>
          <w:noProof/>
          <w:sz w:val="24"/>
          <w:szCs w:val="24"/>
        </w:rPr>
        <w:t xml:space="preserve">given the </w:t>
      </w:r>
      <w:r w:rsidR="00B47345">
        <w:rPr>
          <w:rFonts w:ascii="Times New Roman" w:hAnsi="Times New Roman" w:cs="Times New Roman"/>
          <w:noProof/>
          <w:sz w:val="24"/>
          <w:szCs w:val="24"/>
        </w:rPr>
        <w:t xml:space="preserve">major </w:t>
      </w:r>
      <w:r w:rsidR="00B47345" w:rsidRPr="00212DDD">
        <w:rPr>
          <w:rFonts w:ascii="Times New Roman" w:hAnsi="Times New Roman" w:cs="Times New Roman"/>
          <w:noProof/>
          <w:sz w:val="24"/>
          <w:szCs w:val="24"/>
        </w:rPr>
        <w:t>technical, legal and financial implications.</w:t>
      </w:r>
      <w:r w:rsidR="00B47345">
        <w:rPr>
          <w:rFonts w:ascii="Times New Roman" w:hAnsi="Times New Roman" w:cs="Times New Roman"/>
          <w:noProof/>
          <w:sz w:val="24"/>
          <w:szCs w:val="24"/>
        </w:rPr>
        <w:t xml:space="preserve"> </w:t>
      </w:r>
      <w:r>
        <w:rPr>
          <w:rFonts w:ascii="Times New Roman" w:hAnsi="Times New Roman" w:cs="Times New Roman"/>
          <w:noProof/>
          <w:sz w:val="24"/>
          <w:szCs w:val="24"/>
        </w:rPr>
        <w:t>The approximation of core minimum standards is considered less invasive while still being conducive to achieving the objective II.</w:t>
      </w:r>
    </w:p>
    <w:p w14:paraId="4AF05E49" w14:textId="6895B25E" w:rsidR="00C76702" w:rsidRPr="00144E3C" w:rsidRDefault="00C76702" w:rsidP="00094199">
      <w:pPr>
        <w:pStyle w:val="Heading2"/>
        <w:rPr>
          <w:noProof/>
        </w:rPr>
      </w:pPr>
      <w:bookmarkStart w:id="112" w:name="_Toc74838184"/>
      <w:bookmarkStart w:id="113" w:name="_Toc83801046"/>
      <w:r w:rsidRPr="00222DD7">
        <w:rPr>
          <w:noProof/>
        </w:rPr>
        <w:t>Objective III:</w:t>
      </w:r>
      <w:r w:rsidRPr="00144E3C">
        <w:rPr>
          <w:noProof/>
        </w:rPr>
        <w:t xml:space="preserve"> To </w:t>
      </w:r>
      <w:r w:rsidR="00C112C2" w:rsidRPr="00CB565C">
        <w:rPr>
          <w:noProof/>
        </w:rPr>
        <w:t>remedy the</w:t>
      </w:r>
      <w:r w:rsidR="00C112C2" w:rsidRPr="00CB565C">
        <w:rPr>
          <w:rFonts w:ascii="Verdana" w:hAnsi="Verdana"/>
          <w:noProof/>
          <w:sz w:val="16"/>
          <w:szCs w:val="16"/>
        </w:rPr>
        <w:t xml:space="preserve"> </w:t>
      </w:r>
      <w:r w:rsidR="00C112C2" w:rsidRPr="00CB565C">
        <w:rPr>
          <w:noProof/>
        </w:rPr>
        <w:t xml:space="preserve">proliferation of communication channels used for law enforcement information exchange between Member States while empowering Europol as the EU criminal information hub for offences falling within its mandate </w:t>
      </w:r>
      <w:r w:rsidR="00C112C2" w:rsidRPr="00CB565C">
        <w:rPr>
          <w:noProof/>
          <w:lang w:eastAsia="en-GB"/>
        </w:rPr>
        <w:t>(unless otherwise regulated by EU law)</w:t>
      </w:r>
      <w:bookmarkEnd w:id="112"/>
      <w:bookmarkEnd w:id="113"/>
    </w:p>
    <w:p w14:paraId="025DEFC3" w14:textId="77777777" w:rsidR="00C76702" w:rsidRPr="005B5476" w:rsidRDefault="00C76702" w:rsidP="00C76702">
      <w:pPr>
        <w:spacing w:after="0" w:line="240" w:lineRule="auto"/>
        <w:rPr>
          <w:rFonts w:ascii="Times New Roman" w:hAnsi="Times New Roman" w:cs="Times New Roman"/>
          <w:b/>
          <w:noProof/>
          <w:sz w:val="16"/>
          <w:szCs w:val="16"/>
        </w:rPr>
      </w:pPr>
    </w:p>
    <w:tbl>
      <w:tblPr>
        <w:tblStyle w:val="TableGrid15"/>
        <w:tblW w:w="9781" w:type="dxa"/>
        <w:tblInd w:w="108" w:type="dxa"/>
        <w:tblLayout w:type="fixed"/>
        <w:tblLook w:val="04A0" w:firstRow="1" w:lastRow="0" w:firstColumn="1" w:lastColumn="0" w:noHBand="0" w:noVBand="1"/>
      </w:tblPr>
      <w:tblGrid>
        <w:gridCol w:w="4130"/>
        <w:gridCol w:w="1824"/>
        <w:gridCol w:w="1843"/>
        <w:gridCol w:w="1984"/>
      </w:tblGrid>
      <w:tr w:rsidR="00C76702" w:rsidRPr="00A725B5" w14:paraId="3A7AE1FC" w14:textId="77777777" w:rsidTr="009D6B1A">
        <w:tc>
          <w:tcPr>
            <w:tcW w:w="9781" w:type="dxa"/>
            <w:gridSpan w:val="4"/>
            <w:shd w:val="clear" w:color="auto" w:fill="9CC2E5" w:themeFill="accent1" w:themeFillTint="99"/>
          </w:tcPr>
          <w:p w14:paraId="68C3CC20"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Comparative assessment for objective III</w:t>
            </w:r>
          </w:p>
        </w:tc>
      </w:tr>
      <w:tr w:rsidR="00C76702" w:rsidRPr="00A725B5" w14:paraId="0D363EDB" w14:textId="77777777" w:rsidTr="00B628F2">
        <w:tc>
          <w:tcPr>
            <w:tcW w:w="4130" w:type="dxa"/>
            <w:shd w:val="clear" w:color="auto" w:fill="BDD6EE" w:themeFill="accent1" w:themeFillTint="66"/>
          </w:tcPr>
          <w:p w14:paraId="173C62C8" w14:textId="77777777" w:rsidR="00C76702" w:rsidRPr="00666E2A" w:rsidRDefault="00C76702" w:rsidP="00704502">
            <w:pPr>
              <w:spacing w:before="60" w:after="60" w:line="240" w:lineRule="auto"/>
              <w:rPr>
                <w:rFonts w:ascii="Verdana" w:hAnsi="Verdana"/>
                <w:noProof/>
                <w:sz w:val="16"/>
                <w:szCs w:val="16"/>
              </w:rPr>
            </w:pPr>
          </w:p>
        </w:tc>
        <w:tc>
          <w:tcPr>
            <w:tcW w:w="1824" w:type="dxa"/>
            <w:shd w:val="clear" w:color="auto" w:fill="BDD6EE" w:themeFill="accent1" w:themeFillTint="66"/>
          </w:tcPr>
          <w:p w14:paraId="02A64B28"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 xml:space="preserve">option </w:t>
            </w:r>
            <w:r w:rsidR="00155F5A">
              <w:rPr>
                <w:rFonts w:ascii="Verdana" w:hAnsi="Verdana" w:cs="Times New Roman"/>
                <w:b/>
                <w:noProof/>
                <w:sz w:val="16"/>
                <w:szCs w:val="16"/>
              </w:rPr>
              <w:t>3.1</w:t>
            </w:r>
          </w:p>
        </w:tc>
        <w:tc>
          <w:tcPr>
            <w:tcW w:w="1843" w:type="dxa"/>
            <w:shd w:val="clear" w:color="auto" w:fill="BDD6EE" w:themeFill="accent1" w:themeFillTint="66"/>
          </w:tcPr>
          <w:p w14:paraId="409DEF5C"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 xml:space="preserve">option </w:t>
            </w:r>
            <w:r w:rsidR="00155F5A">
              <w:rPr>
                <w:rFonts w:ascii="Verdana" w:hAnsi="Verdana" w:cs="Times New Roman"/>
                <w:b/>
                <w:noProof/>
                <w:sz w:val="16"/>
                <w:szCs w:val="16"/>
              </w:rPr>
              <w:t>3.2</w:t>
            </w:r>
          </w:p>
        </w:tc>
        <w:tc>
          <w:tcPr>
            <w:tcW w:w="1984" w:type="dxa"/>
            <w:shd w:val="clear" w:color="auto" w:fill="BDD6EE" w:themeFill="accent1" w:themeFillTint="66"/>
          </w:tcPr>
          <w:p w14:paraId="05F46E40" w14:textId="77777777" w:rsidR="00C76702" w:rsidRPr="00666E2A" w:rsidRDefault="00C76702" w:rsidP="00704502">
            <w:pPr>
              <w:spacing w:before="60" w:after="60" w:line="240" w:lineRule="auto"/>
              <w:jc w:val="center"/>
              <w:rPr>
                <w:rFonts w:ascii="Verdana" w:hAnsi="Verdana" w:cs="Times New Roman"/>
                <w:b/>
                <w:noProof/>
                <w:sz w:val="16"/>
                <w:szCs w:val="16"/>
              </w:rPr>
            </w:pPr>
            <w:r w:rsidRPr="00666E2A">
              <w:rPr>
                <w:rFonts w:ascii="Verdana" w:hAnsi="Verdana" w:cs="Times New Roman"/>
                <w:b/>
                <w:noProof/>
                <w:sz w:val="16"/>
                <w:szCs w:val="16"/>
              </w:rPr>
              <w:t xml:space="preserve">option </w:t>
            </w:r>
            <w:r w:rsidR="00155F5A">
              <w:rPr>
                <w:rFonts w:ascii="Verdana" w:hAnsi="Verdana" w:cs="Times New Roman"/>
                <w:b/>
                <w:noProof/>
                <w:sz w:val="16"/>
                <w:szCs w:val="16"/>
              </w:rPr>
              <w:t>3.3</w:t>
            </w:r>
          </w:p>
        </w:tc>
      </w:tr>
      <w:tr w:rsidR="00C76702" w:rsidRPr="00A725B5" w14:paraId="1690D06A" w14:textId="77777777" w:rsidTr="00B628F2">
        <w:tc>
          <w:tcPr>
            <w:tcW w:w="4130" w:type="dxa"/>
            <w:shd w:val="clear" w:color="auto" w:fill="BDD6EE" w:themeFill="accent1" w:themeFillTint="66"/>
          </w:tcPr>
          <w:p w14:paraId="75161479"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1. impact on citizens and businesses</w:t>
            </w:r>
          </w:p>
        </w:tc>
        <w:tc>
          <w:tcPr>
            <w:tcW w:w="1824" w:type="dxa"/>
            <w:shd w:val="clear" w:color="auto" w:fill="DEEAF6" w:themeFill="accent1" w:themeFillTint="33"/>
          </w:tcPr>
          <w:p w14:paraId="6B1C59A5"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39A7FA2A"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7C34F465"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601739DB" w14:textId="77777777" w:rsidTr="00B628F2">
        <w:tc>
          <w:tcPr>
            <w:tcW w:w="4130" w:type="dxa"/>
            <w:shd w:val="clear" w:color="auto" w:fill="BDD6EE" w:themeFill="accent1" w:themeFillTint="66"/>
          </w:tcPr>
          <w:p w14:paraId="4C982097"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2. impact on national authorities</w:t>
            </w:r>
          </w:p>
        </w:tc>
        <w:tc>
          <w:tcPr>
            <w:tcW w:w="1824" w:type="dxa"/>
            <w:shd w:val="clear" w:color="auto" w:fill="DEEAF6" w:themeFill="accent1" w:themeFillTint="33"/>
          </w:tcPr>
          <w:p w14:paraId="03270F89"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0C8BA39C"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64104AEC"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171221A6" w14:textId="77777777" w:rsidTr="00B628F2">
        <w:tc>
          <w:tcPr>
            <w:tcW w:w="4130" w:type="dxa"/>
            <w:shd w:val="clear" w:color="auto" w:fill="BDD6EE" w:themeFill="accent1" w:themeFillTint="66"/>
          </w:tcPr>
          <w:p w14:paraId="76137A52"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3. impact on EU bodies</w:t>
            </w:r>
          </w:p>
        </w:tc>
        <w:tc>
          <w:tcPr>
            <w:tcW w:w="1824" w:type="dxa"/>
            <w:shd w:val="clear" w:color="auto" w:fill="DEEAF6" w:themeFill="accent1" w:themeFillTint="33"/>
          </w:tcPr>
          <w:p w14:paraId="64488DFA"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4E7BA921"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791433BF"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7B662A7D" w14:textId="77777777" w:rsidTr="00B628F2">
        <w:tc>
          <w:tcPr>
            <w:tcW w:w="4130" w:type="dxa"/>
            <w:shd w:val="clear" w:color="auto" w:fill="BDD6EE" w:themeFill="accent1" w:themeFillTint="66"/>
          </w:tcPr>
          <w:p w14:paraId="2DA18924"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4. impact on Fundamental Rights</w:t>
            </w:r>
          </w:p>
        </w:tc>
        <w:tc>
          <w:tcPr>
            <w:tcW w:w="1824" w:type="dxa"/>
            <w:shd w:val="clear" w:color="auto" w:fill="DEEAF6" w:themeFill="accent1" w:themeFillTint="33"/>
          </w:tcPr>
          <w:p w14:paraId="2916E785"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6EBCB10E"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57E15AD3"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08627423" w14:textId="77777777" w:rsidTr="00B628F2">
        <w:tc>
          <w:tcPr>
            <w:tcW w:w="4130" w:type="dxa"/>
            <w:shd w:val="clear" w:color="auto" w:fill="BDD6EE" w:themeFill="accent1" w:themeFillTint="66"/>
          </w:tcPr>
          <w:p w14:paraId="1978F573"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5. effectiveness in meeting the policy objectives</w:t>
            </w:r>
          </w:p>
        </w:tc>
        <w:tc>
          <w:tcPr>
            <w:tcW w:w="1824" w:type="dxa"/>
            <w:shd w:val="clear" w:color="auto" w:fill="DEEAF6" w:themeFill="accent1" w:themeFillTint="33"/>
          </w:tcPr>
          <w:p w14:paraId="506CEFF4"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7E3E3FCD"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35228559"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39D620C3" w14:textId="77777777" w:rsidTr="00B628F2">
        <w:tc>
          <w:tcPr>
            <w:tcW w:w="4130" w:type="dxa"/>
            <w:shd w:val="clear" w:color="auto" w:fill="BDD6EE" w:themeFill="accent1" w:themeFillTint="66"/>
          </w:tcPr>
          <w:p w14:paraId="440E1D29"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6. efficiency in meeting the policy objectives</w:t>
            </w:r>
          </w:p>
        </w:tc>
        <w:tc>
          <w:tcPr>
            <w:tcW w:w="1824" w:type="dxa"/>
            <w:shd w:val="clear" w:color="auto" w:fill="DEEAF6" w:themeFill="accent1" w:themeFillTint="33"/>
          </w:tcPr>
          <w:p w14:paraId="6C817B71"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3E699E2E" w14:textId="46737428" w:rsidR="00C76702" w:rsidRPr="00666E2A" w:rsidRDefault="00A04EF4"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4" w:type="dxa"/>
            <w:shd w:val="clear" w:color="auto" w:fill="DEEAF6" w:themeFill="accent1" w:themeFillTint="33"/>
          </w:tcPr>
          <w:p w14:paraId="74E61590" w14:textId="378F8E0D" w:rsidR="00C76702" w:rsidRPr="00666E2A" w:rsidRDefault="00A04EF4"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r>
      <w:tr w:rsidR="00C76702" w:rsidRPr="00A725B5" w14:paraId="524BB9DC" w14:textId="77777777" w:rsidTr="00B628F2">
        <w:tc>
          <w:tcPr>
            <w:tcW w:w="4130" w:type="dxa"/>
            <w:shd w:val="clear" w:color="auto" w:fill="BDD6EE" w:themeFill="accent1" w:themeFillTint="66"/>
          </w:tcPr>
          <w:p w14:paraId="66B39E99" w14:textId="77777777" w:rsidR="00C76702" w:rsidRPr="00666E2A" w:rsidRDefault="00C76702" w:rsidP="00704502">
            <w:pPr>
              <w:spacing w:before="60" w:after="60" w:line="240" w:lineRule="auto"/>
              <w:rPr>
                <w:rFonts w:ascii="Verdana" w:hAnsi="Verdana" w:cs="Times New Roman"/>
                <w:noProof/>
                <w:sz w:val="16"/>
                <w:szCs w:val="16"/>
              </w:rPr>
            </w:pPr>
            <w:r w:rsidRPr="00666E2A">
              <w:rPr>
                <w:rFonts w:ascii="Verdana" w:hAnsi="Verdana" w:cs="Times New Roman"/>
                <w:noProof/>
                <w:sz w:val="16"/>
                <w:szCs w:val="16"/>
              </w:rPr>
              <w:t>7. legal feasibility</w:t>
            </w:r>
          </w:p>
        </w:tc>
        <w:tc>
          <w:tcPr>
            <w:tcW w:w="1824" w:type="dxa"/>
            <w:shd w:val="clear" w:color="auto" w:fill="DEEAF6" w:themeFill="accent1" w:themeFillTint="33"/>
          </w:tcPr>
          <w:p w14:paraId="13D8318C" w14:textId="77777777" w:rsidR="00C76702" w:rsidRPr="00666E2A" w:rsidRDefault="00D6533F"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0</w:t>
            </w:r>
          </w:p>
        </w:tc>
        <w:tc>
          <w:tcPr>
            <w:tcW w:w="1843" w:type="dxa"/>
            <w:shd w:val="clear" w:color="auto" w:fill="DEEAF6" w:themeFill="accent1" w:themeFillTint="33"/>
          </w:tcPr>
          <w:p w14:paraId="67F172CB"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34CDB2A8"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5106E2" w:rsidRPr="00A725B5" w14:paraId="69D3D439" w14:textId="77777777" w:rsidTr="00B628F2">
        <w:tc>
          <w:tcPr>
            <w:tcW w:w="4130" w:type="dxa"/>
            <w:shd w:val="clear" w:color="auto" w:fill="BDD6EE" w:themeFill="accent1" w:themeFillTint="66"/>
          </w:tcPr>
          <w:p w14:paraId="3E261D2A" w14:textId="77777777" w:rsidR="005106E2" w:rsidRPr="00666E2A" w:rsidRDefault="005106E2" w:rsidP="00704502">
            <w:pPr>
              <w:spacing w:before="60" w:after="60" w:line="240" w:lineRule="auto"/>
              <w:rPr>
                <w:rFonts w:ascii="Verdana" w:hAnsi="Verdana" w:cs="Times New Roman"/>
                <w:noProof/>
                <w:sz w:val="16"/>
                <w:szCs w:val="16"/>
              </w:rPr>
            </w:pPr>
            <w:r>
              <w:rPr>
                <w:rFonts w:ascii="Verdana" w:hAnsi="Verdana" w:cs="Times New Roman"/>
                <w:noProof/>
                <w:sz w:val="16"/>
                <w:szCs w:val="16"/>
              </w:rPr>
              <w:t xml:space="preserve">8. </w:t>
            </w:r>
            <w:r w:rsidRPr="00666E2A">
              <w:rPr>
                <w:rFonts w:ascii="Verdana" w:hAnsi="Verdana" w:cs="Times New Roman"/>
                <w:noProof/>
                <w:sz w:val="16"/>
                <w:szCs w:val="16"/>
              </w:rPr>
              <w:t>technical feasibility</w:t>
            </w:r>
          </w:p>
        </w:tc>
        <w:tc>
          <w:tcPr>
            <w:tcW w:w="1824" w:type="dxa"/>
            <w:shd w:val="clear" w:color="auto" w:fill="DEEAF6" w:themeFill="accent1" w:themeFillTint="33"/>
          </w:tcPr>
          <w:p w14:paraId="5739B1D8" w14:textId="77777777" w:rsidR="005106E2" w:rsidRPr="00666E2A" w:rsidRDefault="005106E2"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843" w:type="dxa"/>
            <w:shd w:val="clear" w:color="auto" w:fill="DEEAF6" w:themeFill="accent1" w:themeFillTint="33"/>
          </w:tcPr>
          <w:p w14:paraId="5B688049" w14:textId="77777777" w:rsidR="005106E2" w:rsidRPr="00666E2A" w:rsidRDefault="005106E2"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c>
          <w:tcPr>
            <w:tcW w:w="1984" w:type="dxa"/>
            <w:shd w:val="clear" w:color="auto" w:fill="DEEAF6" w:themeFill="accent1" w:themeFillTint="33"/>
          </w:tcPr>
          <w:p w14:paraId="530E6209" w14:textId="77777777" w:rsidR="005106E2" w:rsidRPr="00666E2A" w:rsidRDefault="005106E2" w:rsidP="00704502">
            <w:pPr>
              <w:spacing w:before="60" w:after="60" w:line="240" w:lineRule="auto"/>
              <w:jc w:val="center"/>
              <w:rPr>
                <w:rFonts w:ascii="Verdana" w:hAnsi="Verdana" w:cs="Times New Roman"/>
                <w:noProof/>
                <w:sz w:val="16"/>
                <w:szCs w:val="16"/>
              </w:rPr>
            </w:pPr>
            <w:r>
              <w:rPr>
                <w:rFonts w:ascii="Verdana" w:hAnsi="Verdana" w:cs="Times New Roman"/>
                <w:noProof/>
                <w:sz w:val="16"/>
                <w:szCs w:val="16"/>
              </w:rPr>
              <w:t>++</w:t>
            </w:r>
          </w:p>
        </w:tc>
      </w:tr>
      <w:tr w:rsidR="00C76702" w:rsidRPr="00A725B5" w14:paraId="39AE8CCB" w14:textId="77777777" w:rsidTr="00B628F2">
        <w:tc>
          <w:tcPr>
            <w:tcW w:w="4130" w:type="dxa"/>
            <w:shd w:val="clear" w:color="auto" w:fill="BDD6EE" w:themeFill="accent1" w:themeFillTint="66"/>
          </w:tcPr>
          <w:p w14:paraId="246DDE66" w14:textId="2B07CFF7" w:rsidR="00C76702" w:rsidRPr="00666E2A" w:rsidRDefault="00863D0D" w:rsidP="00863D0D">
            <w:pPr>
              <w:spacing w:before="60" w:after="60" w:line="240" w:lineRule="auto"/>
              <w:rPr>
                <w:rFonts w:ascii="Verdana" w:hAnsi="Verdana" w:cs="Times New Roman"/>
                <w:noProof/>
                <w:sz w:val="16"/>
                <w:szCs w:val="16"/>
              </w:rPr>
            </w:pPr>
            <w:r>
              <w:rPr>
                <w:rFonts w:ascii="Verdana" w:hAnsi="Verdana" w:cs="Times New Roman"/>
                <w:noProof/>
                <w:sz w:val="16"/>
                <w:szCs w:val="16"/>
              </w:rPr>
              <w:t>9</w:t>
            </w:r>
            <w:r w:rsidR="00C76702" w:rsidRPr="00666E2A">
              <w:rPr>
                <w:rFonts w:ascii="Verdana" w:hAnsi="Verdana" w:cs="Times New Roman"/>
                <w:noProof/>
                <w:sz w:val="16"/>
                <w:szCs w:val="16"/>
              </w:rPr>
              <w:t>. coherence with other measures</w:t>
            </w:r>
          </w:p>
        </w:tc>
        <w:tc>
          <w:tcPr>
            <w:tcW w:w="1824" w:type="dxa"/>
            <w:shd w:val="clear" w:color="auto" w:fill="DEEAF6" w:themeFill="accent1" w:themeFillTint="33"/>
          </w:tcPr>
          <w:p w14:paraId="25F9A42E"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843" w:type="dxa"/>
            <w:shd w:val="clear" w:color="auto" w:fill="DEEAF6" w:themeFill="accent1" w:themeFillTint="33"/>
          </w:tcPr>
          <w:p w14:paraId="751C4A3B"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c>
          <w:tcPr>
            <w:tcW w:w="1984" w:type="dxa"/>
            <w:shd w:val="clear" w:color="auto" w:fill="DEEAF6" w:themeFill="accent1" w:themeFillTint="33"/>
          </w:tcPr>
          <w:p w14:paraId="5958AB40" w14:textId="77777777" w:rsidR="00C76702" w:rsidRPr="00666E2A" w:rsidRDefault="00C76702" w:rsidP="00704502">
            <w:pPr>
              <w:spacing w:before="60" w:after="60" w:line="240" w:lineRule="auto"/>
              <w:jc w:val="center"/>
              <w:rPr>
                <w:rFonts w:ascii="Verdana" w:hAnsi="Verdana" w:cs="Times New Roman"/>
                <w:noProof/>
                <w:sz w:val="16"/>
                <w:szCs w:val="16"/>
              </w:rPr>
            </w:pPr>
            <w:r w:rsidRPr="00666E2A">
              <w:rPr>
                <w:rFonts w:ascii="Verdana" w:hAnsi="Verdana" w:cs="Times New Roman"/>
                <w:noProof/>
                <w:sz w:val="16"/>
                <w:szCs w:val="16"/>
              </w:rPr>
              <w:t>+++</w:t>
            </w:r>
          </w:p>
        </w:tc>
      </w:tr>
      <w:tr w:rsidR="00C76702" w:rsidRPr="00A725B5" w14:paraId="391D36B1" w14:textId="77777777" w:rsidTr="00C248A1">
        <w:tc>
          <w:tcPr>
            <w:tcW w:w="4130" w:type="dxa"/>
            <w:shd w:val="clear" w:color="auto" w:fill="9CC2E5" w:themeFill="accent1" w:themeFillTint="99"/>
          </w:tcPr>
          <w:p w14:paraId="785C19B7" w14:textId="77777777" w:rsidR="00C76702" w:rsidRPr="00666E2A" w:rsidRDefault="00C76702" w:rsidP="00704502">
            <w:pPr>
              <w:spacing w:before="60" w:after="60" w:line="240" w:lineRule="auto"/>
              <w:rPr>
                <w:rFonts w:ascii="Verdana" w:hAnsi="Verdana" w:cs="Times New Roman"/>
                <w:b/>
                <w:noProof/>
                <w:sz w:val="16"/>
                <w:szCs w:val="16"/>
              </w:rPr>
            </w:pPr>
            <w:r w:rsidRPr="00666E2A">
              <w:rPr>
                <w:rFonts w:ascii="Verdana" w:hAnsi="Verdana" w:cs="Times New Roman"/>
                <w:b/>
                <w:noProof/>
                <w:sz w:val="16"/>
                <w:szCs w:val="16"/>
              </w:rPr>
              <w:t>Preferred policy option</w:t>
            </w:r>
          </w:p>
        </w:tc>
        <w:tc>
          <w:tcPr>
            <w:tcW w:w="1824" w:type="dxa"/>
            <w:shd w:val="clear" w:color="auto" w:fill="9CC2E5" w:themeFill="accent1" w:themeFillTint="99"/>
          </w:tcPr>
          <w:p w14:paraId="005376BF" w14:textId="77777777" w:rsidR="00C76702" w:rsidRPr="00666E2A" w:rsidRDefault="00C76702" w:rsidP="00704502">
            <w:pPr>
              <w:spacing w:before="60" w:after="60" w:line="240" w:lineRule="auto"/>
              <w:jc w:val="center"/>
              <w:rPr>
                <w:rFonts w:ascii="Verdana" w:hAnsi="Verdana" w:cs="Times New Roman"/>
                <w:b/>
                <w:noProof/>
                <w:sz w:val="16"/>
                <w:szCs w:val="16"/>
              </w:rPr>
            </w:pPr>
          </w:p>
        </w:tc>
        <w:tc>
          <w:tcPr>
            <w:tcW w:w="1843" w:type="dxa"/>
            <w:shd w:val="clear" w:color="auto" w:fill="9CC2E5" w:themeFill="accent1" w:themeFillTint="99"/>
          </w:tcPr>
          <w:p w14:paraId="1CFF3B34" w14:textId="77777777" w:rsidR="00C76702" w:rsidRPr="00666E2A" w:rsidRDefault="00C76702" w:rsidP="00704502">
            <w:pPr>
              <w:spacing w:before="60" w:after="60" w:line="240" w:lineRule="auto"/>
              <w:jc w:val="center"/>
              <w:rPr>
                <w:rFonts w:ascii="Verdana" w:hAnsi="Verdana" w:cs="Times New Roman"/>
                <w:b/>
                <w:noProof/>
                <w:sz w:val="16"/>
                <w:szCs w:val="16"/>
              </w:rPr>
            </w:pPr>
          </w:p>
        </w:tc>
        <w:tc>
          <w:tcPr>
            <w:tcW w:w="1984" w:type="dxa"/>
            <w:shd w:val="clear" w:color="auto" w:fill="9CC2E5" w:themeFill="accent1" w:themeFillTint="99"/>
          </w:tcPr>
          <w:p w14:paraId="068F0E1E" w14:textId="77777777" w:rsidR="00C76702" w:rsidRPr="00666E2A" w:rsidRDefault="008A33AF" w:rsidP="00704502">
            <w:pPr>
              <w:spacing w:before="60" w:after="60" w:line="240" w:lineRule="auto"/>
              <w:jc w:val="center"/>
              <w:rPr>
                <w:rFonts w:ascii="Verdana" w:hAnsi="Verdana" w:cs="Times New Roman"/>
                <w:b/>
                <w:noProof/>
                <w:sz w:val="16"/>
                <w:szCs w:val="16"/>
              </w:rPr>
            </w:pPr>
            <w:r>
              <w:rPr>
                <w:rFonts w:ascii="Verdana" w:hAnsi="Verdana" w:cs="Times New Roman"/>
                <w:b/>
                <w:noProof/>
                <w:sz w:val="16"/>
                <w:szCs w:val="16"/>
              </w:rPr>
              <w:t>X</w:t>
            </w:r>
          </w:p>
        </w:tc>
      </w:tr>
    </w:tbl>
    <w:p w14:paraId="30C7FB12" w14:textId="77777777" w:rsidR="00C76702" w:rsidRPr="007341B9" w:rsidRDefault="00C76702" w:rsidP="00C76702">
      <w:pPr>
        <w:spacing w:before="120" w:after="120" w:line="240" w:lineRule="auto"/>
        <w:jc w:val="both"/>
        <w:rPr>
          <w:rFonts w:ascii="Times New Roman" w:hAnsi="Times New Roman" w:cs="Times New Roman"/>
          <w:b/>
          <w:noProof/>
          <w:sz w:val="24"/>
        </w:rPr>
      </w:pPr>
      <w:r w:rsidRPr="00CD51FA">
        <w:rPr>
          <w:rFonts w:ascii="Times New Roman" w:hAnsi="Times New Roman" w:cs="Times New Roman"/>
          <w:noProof/>
          <w:sz w:val="24"/>
        </w:rPr>
        <w:t>The policy options are</w:t>
      </w:r>
      <w:r>
        <w:rPr>
          <w:rFonts w:ascii="Times New Roman" w:hAnsi="Times New Roman" w:cs="Times New Roman"/>
          <w:noProof/>
          <w:sz w:val="24"/>
        </w:rPr>
        <w:t xml:space="preserve"> partially</w:t>
      </w:r>
      <w:r w:rsidRPr="00CD51FA">
        <w:rPr>
          <w:rFonts w:ascii="Times New Roman" w:hAnsi="Times New Roman" w:cs="Times New Roman"/>
          <w:noProof/>
          <w:sz w:val="24"/>
        </w:rPr>
        <w:t xml:space="preserve"> cumulative i</w:t>
      </w:r>
      <w:r>
        <w:rPr>
          <w:rFonts w:ascii="Times New Roman" w:hAnsi="Times New Roman" w:cs="Times New Roman"/>
          <w:noProof/>
          <w:sz w:val="24"/>
        </w:rPr>
        <w:t xml:space="preserve">n the sense that policy option </w:t>
      </w:r>
      <w:r w:rsidR="00155F5A">
        <w:rPr>
          <w:rFonts w:ascii="Times New Roman" w:hAnsi="Times New Roman" w:cs="Times New Roman"/>
          <w:noProof/>
          <w:sz w:val="24"/>
        </w:rPr>
        <w:t>3.2</w:t>
      </w:r>
      <w:r>
        <w:rPr>
          <w:rFonts w:ascii="Times New Roman" w:hAnsi="Times New Roman" w:cs="Times New Roman"/>
          <w:noProof/>
          <w:sz w:val="24"/>
        </w:rPr>
        <w:t xml:space="preserve"> builds on policy option </w:t>
      </w:r>
      <w:r w:rsidR="00155F5A">
        <w:rPr>
          <w:rFonts w:ascii="Times New Roman" w:hAnsi="Times New Roman" w:cs="Times New Roman"/>
          <w:noProof/>
          <w:sz w:val="24"/>
        </w:rPr>
        <w:t>3.1</w:t>
      </w:r>
      <w:r w:rsidRPr="00CD51FA">
        <w:rPr>
          <w:rFonts w:ascii="Times New Roman" w:hAnsi="Times New Roman" w:cs="Times New Roman"/>
          <w:noProof/>
          <w:sz w:val="24"/>
        </w:rPr>
        <w:t xml:space="preserve">, and policy option </w:t>
      </w:r>
      <w:r w:rsidR="00155F5A">
        <w:rPr>
          <w:rFonts w:ascii="Times New Roman" w:hAnsi="Times New Roman" w:cs="Times New Roman"/>
          <w:noProof/>
          <w:sz w:val="24"/>
        </w:rPr>
        <w:t>3.3</w:t>
      </w:r>
      <w:r w:rsidRPr="00CD51FA">
        <w:rPr>
          <w:rFonts w:ascii="Times New Roman" w:hAnsi="Times New Roman" w:cs="Times New Roman"/>
          <w:noProof/>
          <w:sz w:val="24"/>
        </w:rPr>
        <w:t xml:space="preserve"> bui</w:t>
      </w:r>
      <w:r>
        <w:rPr>
          <w:rFonts w:ascii="Times New Roman" w:hAnsi="Times New Roman" w:cs="Times New Roman"/>
          <w:noProof/>
          <w:sz w:val="24"/>
        </w:rPr>
        <w:t xml:space="preserve">lds on policy options </w:t>
      </w:r>
      <w:r w:rsidR="004843FA">
        <w:rPr>
          <w:rFonts w:ascii="Times New Roman" w:hAnsi="Times New Roman" w:cs="Times New Roman"/>
          <w:noProof/>
          <w:sz w:val="24"/>
        </w:rPr>
        <w:t>3.2</w:t>
      </w:r>
      <w:r>
        <w:rPr>
          <w:rFonts w:ascii="Times New Roman" w:hAnsi="Times New Roman" w:cs="Times New Roman"/>
          <w:noProof/>
          <w:sz w:val="24"/>
        </w:rPr>
        <w:t xml:space="preserve"> </w:t>
      </w:r>
      <w:r w:rsidRPr="007341B9">
        <w:rPr>
          <w:rFonts w:ascii="Times New Roman" w:hAnsi="Times New Roman" w:cs="Times New Roman"/>
          <w:b/>
          <w:noProof/>
          <w:sz w:val="24"/>
        </w:rPr>
        <w:t>for the sole flanking soft measures.</w:t>
      </w:r>
    </w:p>
    <w:p w14:paraId="02F7A20E" w14:textId="01AD737B" w:rsidR="009C47A4" w:rsidRDefault="00C76702" w:rsidP="00935663">
      <w:pPr>
        <w:spacing w:after="120" w:line="240" w:lineRule="auto"/>
        <w:jc w:val="both"/>
        <w:rPr>
          <w:rFonts w:ascii="Times New Roman" w:hAnsi="Times New Roman" w:cs="Times New Roman"/>
          <w:noProof/>
          <w:sz w:val="24"/>
        </w:rPr>
      </w:pPr>
      <w:r>
        <w:rPr>
          <w:rFonts w:ascii="Times New Roman" w:hAnsi="Times New Roman" w:cs="Times New Roman"/>
          <w:b/>
          <w:noProof/>
          <w:sz w:val="24"/>
        </w:rPr>
        <w:t xml:space="preserve">Policy option </w:t>
      </w:r>
      <w:r w:rsidR="00155F5A">
        <w:rPr>
          <w:rFonts w:ascii="Times New Roman" w:hAnsi="Times New Roman" w:cs="Times New Roman"/>
          <w:b/>
          <w:noProof/>
          <w:sz w:val="24"/>
        </w:rPr>
        <w:t>3.3</w:t>
      </w:r>
      <w:r w:rsidRPr="00CD51FA">
        <w:rPr>
          <w:rFonts w:ascii="Times New Roman" w:hAnsi="Times New Roman" w:cs="Times New Roman"/>
          <w:noProof/>
          <w:sz w:val="24"/>
        </w:rPr>
        <w:t xml:space="preserve"> </w:t>
      </w:r>
      <w:r w:rsidRPr="00CD51FA">
        <w:rPr>
          <w:rFonts w:ascii="Times New Roman" w:hAnsi="Times New Roman" w:cs="Times New Roman"/>
          <w:b/>
          <w:noProof/>
          <w:sz w:val="24"/>
        </w:rPr>
        <w:t>is the preferred option</w:t>
      </w:r>
      <w:r w:rsidR="00E75BA6" w:rsidRPr="00C17C97">
        <w:rPr>
          <w:rStyle w:val="FootnoteReference"/>
          <w:rFonts w:ascii="Times New Roman" w:hAnsi="Times New Roman" w:cs="Times New Roman"/>
          <w:noProof/>
          <w:sz w:val="24"/>
        </w:rPr>
        <w:footnoteReference w:id="104"/>
      </w:r>
      <w:r w:rsidRPr="00CD51FA">
        <w:rPr>
          <w:rFonts w:ascii="Times New Roman" w:hAnsi="Times New Roman" w:cs="Times New Roman"/>
          <w:noProof/>
          <w:sz w:val="24"/>
        </w:rPr>
        <w:t>. Under this policy option</w:t>
      </w:r>
      <w:r>
        <w:rPr>
          <w:rFonts w:ascii="Times New Roman" w:hAnsi="Times New Roman" w:cs="Times New Roman"/>
          <w:noProof/>
          <w:sz w:val="24"/>
        </w:rPr>
        <w:t xml:space="preserve">, Member States will be required to exchange information between them via SIENA (unless </w:t>
      </w:r>
      <w:r w:rsidRPr="001B22E3">
        <w:rPr>
          <w:rFonts w:ascii="Times New Roman" w:hAnsi="Times New Roman" w:cs="Times New Roman"/>
          <w:noProof/>
          <w:sz w:val="24"/>
          <w:szCs w:val="24"/>
        </w:rPr>
        <w:t>otherwise regulated by EU law</w:t>
      </w:r>
      <w:r>
        <w:rPr>
          <w:rFonts w:ascii="Times New Roman" w:hAnsi="Times New Roman" w:cs="Times New Roman"/>
          <w:noProof/>
          <w:sz w:val="28"/>
        </w:rPr>
        <w:t>)</w:t>
      </w:r>
      <w:r w:rsidRPr="001B22E3">
        <w:rPr>
          <w:rFonts w:ascii="Times New Roman" w:hAnsi="Times New Roman" w:cs="Times New Roman"/>
          <w:noProof/>
          <w:sz w:val="24"/>
        </w:rPr>
        <w:t xml:space="preserve"> </w:t>
      </w:r>
      <w:r>
        <w:rPr>
          <w:rFonts w:ascii="Times New Roman" w:hAnsi="Times New Roman" w:cs="Times New Roman"/>
          <w:noProof/>
          <w:sz w:val="24"/>
        </w:rPr>
        <w:t>while putting Europol in copy when this concerns an offence within Europol'</w:t>
      </w:r>
      <w:r w:rsidR="000B251B">
        <w:rPr>
          <w:rFonts w:ascii="Times New Roman" w:hAnsi="Times New Roman" w:cs="Times New Roman"/>
          <w:noProof/>
          <w:sz w:val="24"/>
        </w:rPr>
        <w:t>s</w:t>
      </w:r>
      <w:r>
        <w:rPr>
          <w:rFonts w:ascii="Times New Roman" w:hAnsi="Times New Roman" w:cs="Times New Roman"/>
          <w:noProof/>
          <w:sz w:val="24"/>
        </w:rPr>
        <w:t xml:space="preserve"> mandate.</w:t>
      </w:r>
      <w:r w:rsidR="00F61412">
        <w:rPr>
          <w:rFonts w:ascii="Times New Roman" w:hAnsi="Times New Roman" w:cs="Times New Roman"/>
          <w:noProof/>
          <w:sz w:val="24"/>
        </w:rPr>
        <w:t xml:space="preserve"> </w:t>
      </w:r>
      <w:r>
        <w:rPr>
          <w:rFonts w:ascii="Times New Roman" w:hAnsi="Times New Roman" w:cs="Times New Roman"/>
          <w:noProof/>
          <w:sz w:val="24"/>
        </w:rPr>
        <w:t xml:space="preserve">Such requirement will only enter into force after a necessary transition period ensuring the full roll-out of SIENA at national level. This will also have a positive ripple effect on Schengen Associated Countries. </w:t>
      </w:r>
    </w:p>
    <w:p w14:paraId="291479FE" w14:textId="77777777" w:rsidR="00C76702" w:rsidRDefault="00C76702" w:rsidP="00935663">
      <w:pPr>
        <w:spacing w:after="120" w:line="240" w:lineRule="auto"/>
        <w:jc w:val="both"/>
        <w:rPr>
          <w:rFonts w:ascii="Times New Roman" w:hAnsi="Times New Roman" w:cs="Times New Roman"/>
          <w:noProof/>
          <w:sz w:val="24"/>
        </w:rPr>
      </w:pPr>
      <w:r>
        <w:rPr>
          <w:rFonts w:ascii="Times New Roman" w:hAnsi="Times New Roman" w:cs="Times New Roman"/>
          <w:noProof/>
          <w:sz w:val="24"/>
        </w:rPr>
        <w:t xml:space="preserve">Flanking </w:t>
      </w:r>
      <w:r w:rsidR="004F11E2">
        <w:rPr>
          <w:rFonts w:ascii="Times New Roman" w:hAnsi="Times New Roman" w:cs="Times New Roman"/>
          <w:noProof/>
          <w:sz w:val="24"/>
        </w:rPr>
        <w:t xml:space="preserve">soft </w:t>
      </w:r>
      <w:r>
        <w:rPr>
          <w:rFonts w:ascii="Times New Roman" w:hAnsi="Times New Roman" w:cs="Times New Roman"/>
          <w:noProof/>
          <w:sz w:val="24"/>
        </w:rPr>
        <w:t xml:space="preserve">measures will be defined and implemented to support Member States accordingly. </w:t>
      </w:r>
      <w:r w:rsidR="00980A85" w:rsidRPr="00704502">
        <w:rPr>
          <w:rFonts w:ascii="Times New Roman" w:hAnsi="Times New Roman" w:cs="Times New Roman"/>
          <w:noProof/>
          <w:sz w:val="24"/>
        </w:rPr>
        <w:t>Compared to the status q</w:t>
      </w:r>
      <w:r w:rsidR="00823F1A" w:rsidRPr="00171FEA">
        <w:rPr>
          <w:rFonts w:ascii="Times New Roman" w:hAnsi="Times New Roman" w:cs="Times New Roman"/>
          <w:noProof/>
          <w:sz w:val="24"/>
        </w:rPr>
        <w:t>uo, where Member States use</w:t>
      </w:r>
      <w:r w:rsidR="00980A85" w:rsidRPr="00704502">
        <w:rPr>
          <w:rFonts w:ascii="Times New Roman" w:hAnsi="Times New Roman" w:cs="Times New Roman"/>
          <w:noProof/>
          <w:sz w:val="24"/>
        </w:rPr>
        <w:t xml:space="preserve"> different communication channels and often do not involve Europol in their bilateral exchanges, this will also </w:t>
      </w:r>
      <w:r w:rsidR="00823F1A" w:rsidRPr="004C36D6">
        <w:rPr>
          <w:rFonts w:ascii="Times New Roman" w:hAnsi="Times New Roman" w:cs="Times New Roman"/>
          <w:noProof/>
          <w:sz w:val="24"/>
        </w:rPr>
        <w:t>significantly</w:t>
      </w:r>
      <w:r w:rsidR="00823F1A" w:rsidRPr="00171FEA">
        <w:rPr>
          <w:rFonts w:ascii="Times New Roman" w:hAnsi="Times New Roman" w:cs="Times New Roman"/>
          <w:noProof/>
          <w:sz w:val="24"/>
        </w:rPr>
        <w:t xml:space="preserve"> </w:t>
      </w:r>
      <w:r w:rsidR="00980A85" w:rsidRPr="00704502">
        <w:rPr>
          <w:rFonts w:ascii="Times New Roman" w:hAnsi="Times New Roman" w:cs="Times New Roman"/>
          <w:noProof/>
          <w:sz w:val="24"/>
        </w:rPr>
        <w:t>increase the amount of information that Member States will share with Europol on cross-border crime, and hence close an important information gap</w:t>
      </w:r>
      <w:r w:rsidR="00980A85">
        <w:rPr>
          <w:rFonts w:ascii="Times New Roman" w:hAnsi="Times New Roman" w:cs="Times New Roman"/>
          <w:noProof/>
          <w:sz w:val="24"/>
        </w:rPr>
        <w:t>.</w:t>
      </w:r>
    </w:p>
    <w:p w14:paraId="1198DEF7" w14:textId="48896F71" w:rsidR="00C76702" w:rsidRDefault="00C76702" w:rsidP="00187EA9">
      <w:pPr>
        <w:pStyle w:val="Body"/>
        <w:spacing w:after="120"/>
        <w:jc w:val="both"/>
        <w:rPr>
          <w:rFonts w:ascii="Times New Roman" w:hAnsi="Times New Roman"/>
          <w:bCs/>
          <w:noProof/>
          <w:sz w:val="24"/>
          <w:szCs w:val="24"/>
        </w:rPr>
      </w:pPr>
      <w:r>
        <w:rPr>
          <w:rFonts w:ascii="Times New Roman" w:hAnsi="Times New Roman"/>
          <w:bCs/>
          <w:noProof/>
          <w:sz w:val="24"/>
          <w:szCs w:val="24"/>
        </w:rPr>
        <w:t xml:space="preserve">The main difference between </w:t>
      </w:r>
      <w:r w:rsidRPr="009F461E">
        <w:rPr>
          <w:rFonts w:ascii="Times New Roman" w:hAnsi="Times New Roman"/>
          <w:b/>
          <w:bCs/>
          <w:noProof/>
          <w:sz w:val="24"/>
          <w:szCs w:val="24"/>
        </w:rPr>
        <w:t xml:space="preserve">policy option </w:t>
      </w:r>
      <w:r w:rsidR="00155F5A">
        <w:rPr>
          <w:rFonts w:ascii="Times New Roman" w:hAnsi="Times New Roman"/>
          <w:b/>
          <w:bCs/>
          <w:noProof/>
          <w:sz w:val="24"/>
          <w:szCs w:val="24"/>
        </w:rPr>
        <w:t>3.2</w:t>
      </w:r>
      <w:r>
        <w:rPr>
          <w:rFonts w:ascii="Times New Roman" w:hAnsi="Times New Roman"/>
          <w:bCs/>
          <w:noProof/>
          <w:sz w:val="24"/>
          <w:szCs w:val="24"/>
        </w:rPr>
        <w:t xml:space="preserve"> </w:t>
      </w:r>
      <w:r w:rsidRPr="009F461E">
        <w:rPr>
          <w:rFonts w:ascii="Times New Roman" w:hAnsi="Times New Roman"/>
          <w:b/>
          <w:bCs/>
          <w:noProof/>
          <w:sz w:val="24"/>
          <w:szCs w:val="24"/>
        </w:rPr>
        <w:t xml:space="preserve">and </w:t>
      </w:r>
      <w:r w:rsidR="00155F5A">
        <w:rPr>
          <w:rFonts w:ascii="Times New Roman" w:hAnsi="Times New Roman"/>
          <w:b/>
          <w:bCs/>
          <w:noProof/>
          <w:sz w:val="24"/>
          <w:szCs w:val="24"/>
        </w:rPr>
        <w:t>3.3</w:t>
      </w:r>
      <w:r>
        <w:rPr>
          <w:rFonts w:ascii="Times New Roman" w:hAnsi="Times New Roman"/>
          <w:bCs/>
          <w:noProof/>
          <w:sz w:val="24"/>
          <w:szCs w:val="24"/>
        </w:rPr>
        <w:t xml:space="preserve"> lies in SIENA being the "preferred" channel of communication</w:t>
      </w:r>
      <w:r w:rsidR="0097540F">
        <w:rPr>
          <w:rFonts w:ascii="Times New Roman" w:hAnsi="Times New Roman"/>
          <w:bCs/>
          <w:noProof/>
          <w:sz w:val="24"/>
          <w:szCs w:val="24"/>
        </w:rPr>
        <w:t>,</w:t>
      </w:r>
      <w:r>
        <w:rPr>
          <w:rFonts w:ascii="Times New Roman" w:hAnsi="Times New Roman"/>
          <w:bCs/>
          <w:noProof/>
          <w:sz w:val="24"/>
          <w:szCs w:val="24"/>
        </w:rPr>
        <w:t xml:space="preserve"> </w:t>
      </w:r>
      <w:r w:rsidR="0097540F">
        <w:rPr>
          <w:rFonts w:ascii="Times New Roman" w:hAnsi="Times New Roman"/>
          <w:bCs/>
          <w:noProof/>
          <w:sz w:val="24"/>
          <w:szCs w:val="24"/>
        </w:rPr>
        <w:t>thereby still leaving room for Member States not to implement this option if they so decide,</w:t>
      </w:r>
      <w:r>
        <w:rPr>
          <w:rFonts w:ascii="Times New Roman" w:hAnsi="Times New Roman"/>
          <w:bCs/>
          <w:noProof/>
          <w:sz w:val="24"/>
          <w:szCs w:val="24"/>
        </w:rPr>
        <w:t xml:space="preserve"> and SIENA being </w:t>
      </w:r>
      <w:r w:rsidR="0097540F">
        <w:rPr>
          <w:rFonts w:ascii="Times New Roman" w:hAnsi="Times New Roman"/>
          <w:bCs/>
          <w:noProof/>
          <w:sz w:val="24"/>
          <w:szCs w:val="24"/>
        </w:rPr>
        <w:t xml:space="preserve">the </w:t>
      </w:r>
      <w:r>
        <w:rPr>
          <w:rFonts w:ascii="Times New Roman" w:hAnsi="Times New Roman"/>
          <w:bCs/>
          <w:noProof/>
          <w:sz w:val="24"/>
          <w:szCs w:val="24"/>
        </w:rPr>
        <w:t xml:space="preserve">channel of communication </w:t>
      </w:r>
      <w:r w:rsidR="0097540F">
        <w:rPr>
          <w:rFonts w:ascii="Times New Roman" w:hAnsi="Times New Roman"/>
          <w:bCs/>
          <w:noProof/>
          <w:sz w:val="24"/>
          <w:szCs w:val="24"/>
        </w:rPr>
        <w:t>“</w:t>
      </w:r>
      <w:r>
        <w:rPr>
          <w:rFonts w:ascii="Times New Roman" w:hAnsi="Times New Roman"/>
          <w:bCs/>
          <w:noProof/>
          <w:sz w:val="24"/>
          <w:szCs w:val="24"/>
        </w:rPr>
        <w:t>by default</w:t>
      </w:r>
      <w:r w:rsidR="0097540F">
        <w:rPr>
          <w:rFonts w:ascii="Times New Roman" w:hAnsi="Times New Roman"/>
          <w:bCs/>
          <w:noProof/>
          <w:sz w:val="24"/>
          <w:szCs w:val="24"/>
        </w:rPr>
        <w:t>”</w:t>
      </w:r>
      <w:r w:rsidR="004F11E2">
        <w:rPr>
          <w:rFonts w:ascii="Times New Roman" w:hAnsi="Times New Roman"/>
          <w:bCs/>
          <w:noProof/>
          <w:sz w:val="24"/>
          <w:szCs w:val="24"/>
        </w:rPr>
        <w:t xml:space="preserve"> for intra-EU communication</w:t>
      </w:r>
      <w:r>
        <w:rPr>
          <w:rFonts w:ascii="Times New Roman" w:hAnsi="Times New Roman"/>
          <w:bCs/>
          <w:noProof/>
          <w:sz w:val="24"/>
          <w:szCs w:val="24"/>
        </w:rPr>
        <w:t>.</w:t>
      </w:r>
    </w:p>
    <w:p w14:paraId="30AE6D78" w14:textId="3CBACE98" w:rsidR="00C76702" w:rsidRDefault="0097540F" w:rsidP="006D3495">
      <w:pPr>
        <w:pStyle w:val="Body"/>
        <w:spacing w:after="120"/>
        <w:jc w:val="both"/>
        <w:rPr>
          <w:rFonts w:ascii="Times New Roman" w:hAnsi="Times New Roman"/>
          <w:noProof/>
          <w:sz w:val="24"/>
        </w:rPr>
      </w:pPr>
      <w:r w:rsidRPr="00380EEA">
        <w:rPr>
          <w:rFonts w:ascii="Times New Roman" w:hAnsi="Times New Roman"/>
          <w:b/>
          <w:bCs/>
          <w:noProof/>
          <w:sz w:val="24"/>
          <w:szCs w:val="24"/>
        </w:rPr>
        <w:t>P</w:t>
      </w:r>
      <w:r w:rsidR="00C76702" w:rsidRPr="009620F3">
        <w:rPr>
          <w:rFonts w:ascii="Times New Roman" w:hAnsi="Times New Roman"/>
          <w:b/>
          <w:bCs/>
          <w:noProof/>
          <w:sz w:val="24"/>
          <w:szCs w:val="24"/>
        </w:rPr>
        <w:t xml:space="preserve">olicy option </w:t>
      </w:r>
      <w:r w:rsidR="00155F5A">
        <w:rPr>
          <w:rFonts w:ascii="Times New Roman" w:hAnsi="Times New Roman"/>
          <w:b/>
          <w:bCs/>
          <w:noProof/>
          <w:sz w:val="24"/>
          <w:szCs w:val="24"/>
        </w:rPr>
        <w:t>3.2</w:t>
      </w:r>
      <w:r>
        <w:rPr>
          <w:rFonts w:ascii="Times New Roman" w:hAnsi="Times New Roman"/>
          <w:b/>
          <w:bCs/>
          <w:noProof/>
          <w:sz w:val="24"/>
          <w:szCs w:val="24"/>
        </w:rPr>
        <w:t xml:space="preserve"> </w:t>
      </w:r>
      <w:r>
        <w:rPr>
          <w:rFonts w:ascii="Times New Roman" w:hAnsi="Times New Roman"/>
          <w:bCs/>
          <w:noProof/>
          <w:sz w:val="24"/>
          <w:szCs w:val="24"/>
        </w:rPr>
        <w:t xml:space="preserve">will </w:t>
      </w:r>
      <w:r w:rsidR="00C76702">
        <w:rPr>
          <w:rFonts w:ascii="Times New Roman" w:hAnsi="Times New Roman"/>
          <w:bCs/>
          <w:noProof/>
          <w:sz w:val="24"/>
          <w:szCs w:val="24"/>
        </w:rPr>
        <w:t>still allow Member States leeway in the choice of the communication</w:t>
      </w:r>
      <w:r w:rsidR="00823F1A">
        <w:rPr>
          <w:rFonts w:ascii="Times New Roman" w:hAnsi="Times New Roman"/>
          <w:bCs/>
          <w:noProof/>
          <w:sz w:val="24"/>
          <w:szCs w:val="24"/>
        </w:rPr>
        <w:t xml:space="preserve"> channel</w:t>
      </w:r>
      <w:r w:rsidR="00446DA6">
        <w:rPr>
          <w:rFonts w:ascii="Times New Roman" w:hAnsi="Times New Roman"/>
          <w:bCs/>
          <w:noProof/>
          <w:sz w:val="24"/>
          <w:szCs w:val="24"/>
        </w:rPr>
        <w:t xml:space="preserve"> in predefined cases</w:t>
      </w:r>
      <w:r w:rsidR="004F11E2">
        <w:rPr>
          <w:rFonts w:ascii="Times New Roman" w:hAnsi="Times New Roman"/>
          <w:bCs/>
          <w:noProof/>
          <w:sz w:val="24"/>
          <w:szCs w:val="24"/>
        </w:rPr>
        <w:t>, thereby promoting the use of Europol SIENA as the preferred channel of communication where relevant</w:t>
      </w:r>
      <w:r w:rsidR="00C76702">
        <w:rPr>
          <w:rFonts w:ascii="Times New Roman" w:hAnsi="Times New Roman"/>
          <w:bCs/>
          <w:noProof/>
          <w:sz w:val="24"/>
          <w:szCs w:val="24"/>
        </w:rPr>
        <w:t xml:space="preserve">. The </w:t>
      </w:r>
      <w:r w:rsidR="00C76702" w:rsidRPr="009F461E">
        <w:rPr>
          <w:rFonts w:ascii="Times New Roman" w:hAnsi="Times New Roman"/>
          <w:b/>
          <w:bCs/>
          <w:noProof/>
          <w:sz w:val="24"/>
          <w:szCs w:val="24"/>
        </w:rPr>
        <w:t xml:space="preserve">policy option </w:t>
      </w:r>
      <w:r w:rsidR="00155F5A">
        <w:rPr>
          <w:rFonts w:ascii="Times New Roman" w:hAnsi="Times New Roman"/>
          <w:b/>
          <w:bCs/>
          <w:noProof/>
          <w:sz w:val="24"/>
          <w:szCs w:val="24"/>
        </w:rPr>
        <w:t>3.2</w:t>
      </w:r>
      <w:r w:rsidR="00C76702">
        <w:rPr>
          <w:rFonts w:ascii="Times New Roman" w:hAnsi="Times New Roman"/>
          <w:bCs/>
          <w:noProof/>
          <w:sz w:val="24"/>
          <w:szCs w:val="24"/>
        </w:rPr>
        <w:t xml:space="preserve"> will thus </w:t>
      </w:r>
      <w:r w:rsidR="00823F1A">
        <w:rPr>
          <w:rFonts w:ascii="Times New Roman" w:hAnsi="Times New Roman"/>
          <w:bCs/>
          <w:noProof/>
          <w:sz w:val="24"/>
          <w:szCs w:val="24"/>
        </w:rPr>
        <w:t xml:space="preserve">seek to </w:t>
      </w:r>
      <w:r w:rsidR="00C76702">
        <w:rPr>
          <w:rFonts w:ascii="Times New Roman" w:hAnsi="Times New Roman"/>
          <w:bCs/>
          <w:noProof/>
          <w:sz w:val="24"/>
          <w:szCs w:val="24"/>
        </w:rPr>
        <w:t>clarify existing Council guidelines on the choice of the appropriate channel</w:t>
      </w:r>
      <w:r w:rsidR="00446DA6">
        <w:rPr>
          <w:rFonts w:ascii="Times New Roman" w:hAnsi="Times New Roman"/>
          <w:bCs/>
          <w:noProof/>
          <w:sz w:val="24"/>
          <w:szCs w:val="24"/>
        </w:rPr>
        <w:t xml:space="preserve"> in a (binding) legal text</w:t>
      </w:r>
      <w:r w:rsidR="00C76702">
        <w:rPr>
          <w:rFonts w:ascii="Times New Roman" w:hAnsi="Times New Roman"/>
          <w:bCs/>
          <w:noProof/>
          <w:sz w:val="24"/>
          <w:szCs w:val="24"/>
        </w:rPr>
        <w:t xml:space="preserve">. </w:t>
      </w:r>
      <w:r w:rsidR="00C76702" w:rsidRPr="00BB4A51">
        <w:rPr>
          <w:rFonts w:ascii="Times New Roman" w:hAnsi="Times New Roman"/>
          <w:b/>
          <w:bCs/>
          <w:noProof/>
          <w:sz w:val="24"/>
          <w:szCs w:val="24"/>
        </w:rPr>
        <w:t>P</w:t>
      </w:r>
      <w:r w:rsidR="00C76702" w:rsidRPr="00DF562D">
        <w:rPr>
          <w:rFonts w:ascii="Times New Roman" w:hAnsi="Times New Roman"/>
          <w:b/>
          <w:noProof/>
          <w:sz w:val="24"/>
        </w:rPr>
        <w:t xml:space="preserve">olicy option </w:t>
      </w:r>
      <w:r w:rsidR="00155F5A">
        <w:rPr>
          <w:rFonts w:ascii="Times New Roman" w:hAnsi="Times New Roman"/>
          <w:b/>
          <w:noProof/>
          <w:sz w:val="24"/>
        </w:rPr>
        <w:t>3.3</w:t>
      </w:r>
      <w:r w:rsidR="00C76702" w:rsidRPr="006529DA">
        <w:rPr>
          <w:rFonts w:ascii="Times New Roman" w:hAnsi="Times New Roman"/>
          <w:noProof/>
          <w:sz w:val="24"/>
        </w:rPr>
        <w:t xml:space="preserve"> ensures a more coherent approach, one giving the Europol channel a central</w:t>
      </w:r>
      <w:r w:rsidR="00C76702">
        <w:rPr>
          <w:rFonts w:ascii="Times New Roman" w:hAnsi="Times New Roman"/>
          <w:noProof/>
          <w:sz w:val="24"/>
        </w:rPr>
        <w:t xml:space="preserve"> </w:t>
      </w:r>
      <w:r w:rsidR="00C76702" w:rsidRPr="006529DA">
        <w:rPr>
          <w:rFonts w:ascii="Times New Roman" w:hAnsi="Times New Roman"/>
          <w:noProof/>
          <w:sz w:val="24"/>
        </w:rPr>
        <w:t xml:space="preserve">role. </w:t>
      </w:r>
      <w:r w:rsidR="008D693D">
        <w:rPr>
          <w:rFonts w:ascii="Times New Roman" w:hAnsi="Times New Roman"/>
          <w:noProof/>
          <w:sz w:val="24"/>
        </w:rPr>
        <w:t xml:space="preserve">Member States </w:t>
      </w:r>
      <w:r w:rsidR="00823F1A">
        <w:rPr>
          <w:rFonts w:ascii="Times New Roman" w:hAnsi="Times New Roman"/>
          <w:noProof/>
          <w:sz w:val="24"/>
        </w:rPr>
        <w:t xml:space="preserve">could </w:t>
      </w:r>
      <w:r w:rsidR="008D693D">
        <w:rPr>
          <w:rFonts w:ascii="Times New Roman" w:hAnsi="Times New Roman"/>
          <w:bCs/>
          <w:noProof/>
          <w:sz w:val="24"/>
          <w:szCs w:val="24"/>
        </w:rPr>
        <w:t xml:space="preserve">still be allowed to use an alternative channel </w:t>
      </w:r>
      <w:r w:rsidR="00C326E8">
        <w:rPr>
          <w:rFonts w:ascii="Times New Roman" w:hAnsi="Times New Roman"/>
          <w:bCs/>
          <w:noProof/>
          <w:sz w:val="24"/>
          <w:szCs w:val="24"/>
        </w:rPr>
        <w:t xml:space="preserve">in </w:t>
      </w:r>
      <w:r w:rsidR="008D693D">
        <w:rPr>
          <w:rFonts w:ascii="Times New Roman" w:hAnsi="Times New Roman"/>
          <w:bCs/>
          <w:noProof/>
          <w:sz w:val="24"/>
          <w:szCs w:val="24"/>
        </w:rPr>
        <w:t>exceptional circumstances (to be understood restrictively</w:t>
      </w:r>
      <w:r w:rsidR="00C326E8">
        <w:rPr>
          <w:rFonts w:ascii="Times New Roman" w:hAnsi="Times New Roman"/>
          <w:bCs/>
          <w:noProof/>
          <w:sz w:val="24"/>
          <w:szCs w:val="24"/>
        </w:rPr>
        <w:t>).</w:t>
      </w:r>
    </w:p>
    <w:p w14:paraId="2EAA4FDD" w14:textId="77777777" w:rsidR="00C76702" w:rsidRDefault="00C76702" w:rsidP="007B4A8C">
      <w:pPr>
        <w:spacing w:after="120" w:line="240" w:lineRule="auto"/>
        <w:jc w:val="both"/>
        <w:rPr>
          <w:rFonts w:ascii="Times New Roman" w:hAnsi="Times New Roman"/>
          <w:noProof/>
          <w:sz w:val="24"/>
        </w:rPr>
      </w:pPr>
      <w:r w:rsidRPr="00B021EE">
        <w:rPr>
          <w:rFonts w:ascii="Times New Roman" w:hAnsi="Times New Roman" w:cs="Times New Roman"/>
          <w:b/>
          <w:bCs/>
          <w:noProof/>
          <w:sz w:val="24"/>
        </w:rPr>
        <w:t>Efficiency and effectiveness</w:t>
      </w:r>
      <w:r>
        <w:rPr>
          <w:rFonts w:ascii="Times New Roman" w:hAnsi="Times New Roman" w:cs="Times New Roman"/>
          <w:b/>
          <w:bCs/>
          <w:noProof/>
          <w:sz w:val="24"/>
        </w:rPr>
        <w:t xml:space="preserve">. </w:t>
      </w:r>
      <w:r w:rsidRPr="006529DA">
        <w:rPr>
          <w:rFonts w:ascii="Times New Roman" w:hAnsi="Times New Roman" w:cs="Times New Roman"/>
          <w:noProof/>
          <w:sz w:val="24"/>
          <w:szCs w:val="24"/>
        </w:rPr>
        <w:t xml:space="preserve"> One result of Member States having a free choice of channel (apart from the legal requirements relating to SIRENE Bureaux and E</w:t>
      </w:r>
      <w:r w:rsidR="00823F1A">
        <w:rPr>
          <w:rFonts w:ascii="Times New Roman" w:hAnsi="Times New Roman" w:cs="Times New Roman"/>
          <w:noProof/>
          <w:sz w:val="24"/>
          <w:szCs w:val="24"/>
        </w:rPr>
        <w:t xml:space="preserve">uropol </w:t>
      </w:r>
      <w:r w:rsidRPr="006529DA">
        <w:rPr>
          <w:rFonts w:ascii="Times New Roman" w:hAnsi="Times New Roman" w:cs="Times New Roman"/>
          <w:noProof/>
          <w:sz w:val="24"/>
          <w:szCs w:val="24"/>
        </w:rPr>
        <w:t>N</w:t>
      </w:r>
      <w:r w:rsidR="00823F1A">
        <w:rPr>
          <w:rFonts w:ascii="Times New Roman" w:hAnsi="Times New Roman" w:cs="Times New Roman"/>
          <w:noProof/>
          <w:sz w:val="24"/>
          <w:szCs w:val="24"/>
        </w:rPr>
        <w:t xml:space="preserve">ational </w:t>
      </w:r>
      <w:r w:rsidRPr="006529DA">
        <w:rPr>
          <w:rFonts w:ascii="Times New Roman" w:hAnsi="Times New Roman" w:cs="Times New Roman"/>
          <w:noProof/>
          <w:sz w:val="24"/>
          <w:szCs w:val="24"/>
        </w:rPr>
        <w:t>U</w:t>
      </w:r>
      <w:r w:rsidR="00823F1A">
        <w:rPr>
          <w:rFonts w:ascii="Times New Roman" w:hAnsi="Times New Roman" w:cs="Times New Roman"/>
          <w:noProof/>
          <w:sz w:val="24"/>
          <w:szCs w:val="24"/>
        </w:rPr>
        <w:t>nit</w:t>
      </w:r>
      <w:r w:rsidRPr="006529DA">
        <w:rPr>
          <w:rFonts w:ascii="Times New Roman" w:hAnsi="Times New Roman" w:cs="Times New Roman"/>
          <w:noProof/>
          <w:sz w:val="24"/>
          <w:szCs w:val="24"/>
        </w:rPr>
        <w:t>s) is that they use different channels to different extents</w:t>
      </w:r>
      <w:r>
        <w:rPr>
          <w:rFonts w:ascii="Times New Roman" w:hAnsi="Times New Roman" w:cs="Times New Roman"/>
          <w:noProof/>
          <w:sz w:val="24"/>
          <w:szCs w:val="24"/>
        </w:rPr>
        <w:t xml:space="preserve"> also depending from officers' habits and personal preferences</w:t>
      </w:r>
      <w:r w:rsidRPr="006529DA">
        <w:rPr>
          <w:rFonts w:ascii="Times New Roman" w:hAnsi="Times New Roman" w:cs="Times New Roman"/>
          <w:noProof/>
          <w:sz w:val="24"/>
          <w:szCs w:val="24"/>
        </w:rPr>
        <w:t xml:space="preserve">. </w:t>
      </w:r>
      <w:r w:rsidRPr="006529DA">
        <w:rPr>
          <w:rFonts w:ascii="Times New Roman" w:hAnsi="Times New Roman"/>
          <w:noProof/>
          <w:sz w:val="24"/>
        </w:rPr>
        <w:t>Some Member States have moved towards more systematic use of the Europol channel (SIENA). Others continue to rely a good deal on the I</w:t>
      </w:r>
      <w:r>
        <w:rPr>
          <w:rFonts w:ascii="Times New Roman" w:hAnsi="Times New Roman"/>
          <w:noProof/>
          <w:sz w:val="24"/>
        </w:rPr>
        <w:t>NTERPOL</w:t>
      </w:r>
      <w:r w:rsidRPr="006529DA">
        <w:rPr>
          <w:rFonts w:ascii="Times New Roman" w:hAnsi="Times New Roman"/>
          <w:noProof/>
          <w:sz w:val="24"/>
        </w:rPr>
        <w:t xml:space="preserve"> channel. </w:t>
      </w:r>
    </w:p>
    <w:p w14:paraId="56C69EC3" w14:textId="77777777" w:rsidR="00C76702" w:rsidRDefault="00C76702" w:rsidP="006D3495">
      <w:pPr>
        <w:pStyle w:val="Body"/>
        <w:spacing w:after="120"/>
        <w:jc w:val="both"/>
        <w:rPr>
          <w:rFonts w:ascii="Times New Roman" w:hAnsi="Times New Roman"/>
          <w:bCs/>
          <w:noProof/>
          <w:sz w:val="24"/>
          <w:szCs w:val="24"/>
        </w:rPr>
      </w:pPr>
      <w:r w:rsidRPr="00091E97">
        <w:rPr>
          <w:rFonts w:ascii="Times New Roman" w:hAnsi="Times New Roman"/>
          <w:b/>
          <w:bCs/>
          <w:noProof/>
          <w:sz w:val="24"/>
          <w:szCs w:val="24"/>
        </w:rPr>
        <w:t xml:space="preserve">It is important to note that the Member States </w:t>
      </w:r>
      <w:r w:rsidR="007D09BC">
        <w:rPr>
          <w:rFonts w:ascii="Times New Roman" w:hAnsi="Times New Roman"/>
          <w:b/>
          <w:bCs/>
          <w:noProof/>
          <w:sz w:val="24"/>
          <w:szCs w:val="24"/>
        </w:rPr>
        <w:t xml:space="preserve">have divergent views </w:t>
      </w:r>
      <w:r w:rsidRPr="00091E97">
        <w:rPr>
          <w:rFonts w:ascii="Times New Roman" w:hAnsi="Times New Roman"/>
          <w:b/>
          <w:bCs/>
          <w:noProof/>
          <w:sz w:val="24"/>
          <w:szCs w:val="24"/>
        </w:rPr>
        <w:t xml:space="preserve">in relation to </w:t>
      </w:r>
      <w:r>
        <w:rPr>
          <w:rFonts w:ascii="Times New Roman" w:hAnsi="Times New Roman"/>
          <w:b/>
          <w:bCs/>
          <w:noProof/>
          <w:sz w:val="24"/>
          <w:szCs w:val="24"/>
        </w:rPr>
        <w:t xml:space="preserve">the use of </w:t>
      </w:r>
      <w:r w:rsidRPr="00091E97">
        <w:rPr>
          <w:rFonts w:ascii="Times New Roman" w:hAnsi="Times New Roman"/>
          <w:b/>
          <w:bCs/>
          <w:noProof/>
          <w:sz w:val="24"/>
          <w:szCs w:val="24"/>
        </w:rPr>
        <w:t>SIENA</w:t>
      </w:r>
      <w:r>
        <w:rPr>
          <w:rFonts w:ascii="Times New Roman" w:hAnsi="Times New Roman"/>
          <w:b/>
          <w:bCs/>
          <w:noProof/>
          <w:sz w:val="24"/>
          <w:szCs w:val="24"/>
        </w:rPr>
        <w:t xml:space="preserve"> as default channel of communication</w:t>
      </w:r>
      <w:r w:rsidRPr="00091E97">
        <w:rPr>
          <w:rFonts w:ascii="Times New Roman" w:hAnsi="Times New Roman"/>
          <w:b/>
          <w:bCs/>
          <w:noProof/>
          <w:sz w:val="24"/>
          <w:szCs w:val="24"/>
        </w:rPr>
        <w:t>.</w:t>
      </w:r>
      <w:r>
        <w:rPr>
          <w:rFonts w:ascii="Times New Roman" w:hAnsi="Times New Roman"/>
          <w:bCs/>
          <w:noProof/>
          <w:sz w:val="24"/>
          <w:szCs w:val="24"/>
        </w:rPr>
        <w:t xml:space="preserve"> </w:t>
      </w:r>
      <w:r w:rsidR="007D09BC">
        <w:rPr>
          <w:rFonts w:ascii="Times New Roman" w:hAnsi="Times New Roman"/>
          <w:bCs/>
          <w:noProof/>
          <w:sz w:val="24"/>
          <w:szCs w:val="24"/>
        </w:rPr>
        <w:t xml:space="preserve">Some </w:t>
      </w:r>
      <w:r>
        <w:rPr>
          <w:rFonts w:ascii="Times New Roman" w:hAnsi="Times New Roman"/>
          <w:bCs/>
          <w:noProof/>
          <w:sz w:val="24"/>
          <w:szCs w:val="24"/>
        </w:rPr>
        <w:t xml:space="preserve">Member States </w:t>
      </w:r>
      <w:r w:rsidRPr="00D16C13">
        <w:rPr>
          <w:rFonts w:ascii="Times New Roman" w:hAnsi="Times New Roman"/>
          <w:bCs/>
          <w:noProof/>
          <w:sz w:val="24"/>
          <w:szCs w:val="24"/>
        </w:rPr>
        <w:t>have pointed out that it is important for their own purposes to be able to decide based on the case at hand in a rather flexible manner via which channel i</w:t>
      </w:r>
      <w:r>
        <w:rPr>
          <w:rFonts w:ascii="Times New Roman" w:hAnsi="Times New Roman"/>
          <w:bCs/>
          <w:noProof/>
          <w:sz w:val="24"/>
          <w:szCs w:val="24"/>
        </w:rPr>
        <w:t>nformation should be exchanged.</w:t>
      </w:r>
      <w:r w:rsidR="007B4A8C">
        <w:rPr>
          <w:rFonts w:ascii="Times New Roman" w:hAnsi="Times New Roman"/>
          <w:bCs/>
          <w:noProof/>
          <w:sz w:val="24"/>
          <w:szCs w:val="24"/>
        </w:rPr>
        <w:t xml:space="preserve"> </w:t>
      </w:r>
      <w:r w:rsidRPr="00D16C13">
        <w:rPr>
          <w:rFonts w:ascii="Times New Roman" w:hAnsi="Times New Roman"/>
          <w:bCs/>
          <w:noProof/>
          <w:sz w:val="24"/>
          <w:szCs w:val="24"/>
        </w:rPr>
        <w:t xml:space="preserve">For instance, it is not always clear in practice </w:t>
      </w:r>
      <w:r w:rsidR="004F11E2">
        <w:rPr>
          <w:rFonts w:ascii="Times New Roman" w:hAnsi="Times New Roman"/>
          <w:bCs/>
          <w:noProof/>
          <w:sz w:val="24"/>
          <w:szCs w:val="24"/>
        </w:rPr>
        <w:t xml:space="preserve">to determine whether </w:t>
      </w:r>
      <w:r w:rsidRPr="00D16C13">
        <w:rPr>
          <w:rFonts w:ascii="Times New Roman" w:hAnsi="Times New Roman"/>
          <w:bCs/>
          <w:noProof/>
          <w:sz w:val="24"/>
          <w:szCs w:val="24"/>
        </w:rPr>
        <w:t xml:space="preserve">a specific case is only related to the EU or also has an international component. In such a case, making SIENA the default channel via which information is exchanged may lead to double work if the case turns out to be of international nature in relation to which </w:t>
      </w:r>
      <w:r w:rsidR="00D31254">
        <w:rPr>
          <w:rFonts w:ascii="Times New Roman" w:hAnsi="Times New Roman"/>
          <w:bCs/>
          <w:noProof/>
          <w:sz w:val="24"/>
          <w:szCs w:val="24"/>
        </w:rPr>
        <w:t>INTERPOL I</w:t>
      </w:r>
      <w:r w:rsidRPr="00D16C13">
        <w:rPr>
          <w:rFonts w:ascii="Times New Roman" w:hAnsi="Times New Roman"/>
          <w:bCs/>
          <w:noProof/>
          <w:sz w:val="24"/>
          <w:szCs w:val="24"/>
        </w:rPr>
        <w:t xml:space="preserve">24/7 should rather have been used. </w:t>
      </w:r>
    </w:p>
    <w:p w14:paraId="1CC571A3" w14:textId="77777777" w:rsidR="007F36CB" w:rsidRDefault="00C76702" w:rsidP="00704502">
      <w:pPr>
        <w:pStyle w:val="Body"/>
        <w:spacing w:after="120"/>
        <w:jc w:val="both"/>
        <w:rPr>
          <w:rFonts w:ascii="Times New Roman" w:hAnsi="Times New Roman"/>
          <w:bCs/>
          <w:noProof/>
          <w:sz w:val="24"/>
          <w:szCs w:val="24"/>
        </w:rPr>
      </w:pPr>
      <w:r>
        <w:rPr>
          <w:rFonts w:ascii="Times New Roman" w:hAnsi="Times New Roman"/>
          <w:noProof/>
          <w:sz w:val="24"/>
        </w:rPr>
        <w:t xml:space="preserve">However, </w:t>
      </w:r>
      <w:r w:rsidRPr="006529DA">
        <w:rPr>
          <w:rFonts w:ascii="Times New Roman" w:hAnsi="Times New Roman"/>
          <w:noProof/>
          <w:sz w:val="24"/>
          <w:szCs w:val="24"/>
        </w:rPr>
        <w:t xml:space="preserve">the choice of the Europol channel </w:t>
      </w:r>
      <w:r>
        <w:rPr>
          <w:rFonts w:ascii="Times New Roman" w:hAnsi="Times New Roman"/>
          <w:noProof/>
          <w:sz w:val="24"/>
          <w:szCs w:val="24"/>
        </w:rPr>
        <w:t xml:space="preserve">(SIENA) </w:t>
      </w:r>
      <w:r w:rsidRPr="006529DA">
        <w:rPr>
          <w:rFonts w:ascii="Times New Roman" w:hAnsi="Times New Roman"/>
          <w:noProof/>
          <w:sz w:val="24"/>
          <w:szCs w:val="24"/>
        </w:rPr>
        <w:t xml:space="preserve">is justified by its advantages. SIENA can be used for direct bilateral exchanges, but also facilitates sharing of information with Europol in line with legal requirements of the Europol Regulation and the Swedish Framework Decision. SIENA messages are structured, can handle large data volumes and are exchanged with a high level of </w:t>
      </w:r>
      <w:r w:rsidR="00823F1A">
        <w:rPr>
          <w:rFonts w:ascii="Times New Roman" w:hAnsi="Times New Roman"/>
          <w:noProof/>
          <w:sz w:val="24"/>
          <w:szCs w:val="24"/>
        </w:rPr>
        <w:t xml:space="preserve">data protection and </w:t>
      </w:r>
      <w:r w:rsidRPr="006529DA">
        <w:rPr>
          <w:rFonts w:ascii="Times New Roman" w:hAnsi="Times New Roman"/>
          <w:noProof/>
          <w:sz w:val="24"/>
          <w:szCs w:val="24"/>
        </w:rPr>
        <w:t>security.</w:t>
      </w:r>
      <w:r w:rsidR="007D09BC">
        <w:rPr>
          <w:rFonts w:ascii="Times New Roman" w:hAnsi="Times New Roman"/>
          <w:noProof/>
          <w:sz w:val="24"/>
          <w:szCs w:val="24"/>
        </w:rPr>
        <w:t xml:space="preserve"> The Europol Liaison Officers community is an additional benefit as they can be asked to intervene where necessary </w:t>
      </w:r>
      <w:r w:rsidR="004F11E2">
        <w:rPr>
          <w:rFonts w:ascii="Times New Roman" w:hAnsi="Times New Roman"/>
          <w:noProof/>
          <w:sz w:val="24"/>
          <w:szCs w:val="24"/>
        </w:rPr>
        <w:t xml:space="preserve">to </w:t>
      </w:r>
      <w:r w:rsidR="007D09BC">
        <w:rPr>
          <w:rFonts w:ascii="Times New Roman" w:hAnsi="Times New Roman"/>
          <w:noProof/>
          <w:sz w:val="24"/>
          <w:szCs w:val="24"/>
        </w:rPr>
        <w:t>facilitate the understanding and effectiveness of information exchange</w:t>
      </w:r>
      <w:r w:rsidR="00302C08">
        <w:rPr>
          <w:rFonts w:ascii="Times New Roman" w:hAnsi="Times New Roman"/>
          <w:noProof/>
          <w:sz w:val="24"/>
          <w:szCs w:val="24"/>
        </w:rPr>
        <w:t>.</w:t>
      </w:r>
      <w:r w:rsidR="00302C08">
        <w:rPr>
          <w:rFonts w:ascii="Times New Roman" w:hAnsi="Times New Roman"/>
          <w:bCs/>
          <w:noProof/>
          <w:sz w:val="24"/>
          <w:szCs w:val="24"/>
        </w:rPr>
        <w:t xml:space="preserve"> </w:t>
      </w:r>
    </w:p>
    <w:p w14:paraId="5DA5490A" w14:textId="77777777" w:rsidR="00C76702" w:rsidRDefault="00C76702" w:rsidP="00704502">
      <w:pPr>
        <w:pStyle w:val="Body"/>
        <w:spacing w:after="120"/>
        <w:jc w:val="both"/>
        <w:rPr>
          <w:rFonts w:ascii="Times New Roman" w:hAnsi="Times New Roman"/>
          <w:noProof/>
          <w:sz w:val="24"/>
          <w:szCs w:val="24"/>
        </w:rPr>
      </w:pPr>
      <w:r w:rsidRPr="00D16C13">
        <w:rPr>
          <w:rFonts w:ascii="Times New Roman" w:hAnsi="Times New Roman"/>
          <w:bCs/>
          <w:noProof/>
          <w:sz w:val="24"/>
          <w:szCs w:val="24"/>
        </w:rPr>
        <w:t xml:space="preserve">Europol indicated that </w:t>
      </w:r>
      <w:r w:rsidRPr="004F5EF2">
        <w:rPr>
          <w:rFonts w:ascii="Times New Roman" w:hAnsi="Times New Roman"/>
          <w:noProof/>
          <w:sz w:val="24"/>
          <w:szCs w:val="24"/>
        </w:rPr>
        <w:t>the definition of</w:t>
      </w:r>
      <w:r w:rsidRPr="004F5EF2">
        <w:rPr>
          <w:rFonts w:ascii="Times New Roman" w:hAnsi="Times New Roman"/>
          <w:bCs/>
          <w:noProof/>
          <w:sz w:val="24"/>
          <w:szCs w:val="24"/>
        </w:rPr>
        <w:t xml:space="preserve"> SIENA </w:t>
      </w:r>
      <w:r w:rsidRPr="004F5EF2">
        <w:rPr>
          <w:rFonts w:ascii="Times New Roman" w:hAnsi="Times New Roman"/>
          <w:noProof/>
          <w:sz w:val="24"/>
          <w:szCs w:val="24"/>
        </w:rPr>
        <w:t xml:space="preserve">as the default channel </w:t>
      </w:r>
      <w:r w:rsidR="00823F1A">
        <w:rPr>
          <w:rFonts w:ascii="Times New Roman" w:hAnsi="Times New Roman"/>
          <w:noProof/>
          <w:sz w:val="24"/>
          <w:szCs w:val="24"/>
        </w:rPr>
        <w:t xml:space="preserve">(while putting Europol in copy) </w:t>
      </w:r>
      <w:r w:rsidRPr="004F5EF2">
        <w:rPr>
          <w:rFonts w:ascii="Times New Roman" w:hAnsi="Times New Roman"/>
          <w:noProof/>
          <w:sz w:val="24"/>
          <w:szCs w:val="24"/>
        </w:rPr>
        <w:t xml:space="preserve">instead of </w:t>
      </w:r>
      <w:r w:rsidR="004F11E2">
        <w:rPr>
          <w:rFonts w:ascii="Times New Roman" w:hAnsi="Times New Roman"/>
          <w:noProof/>
          <w:sz w:val="24"/>
          <w:szCs w:val="24"/>
        </w:rPr>
        <w:t xml:space="preserve">as </w:t>
      </w:r>
      <w:r w:rsidRPr="004F5EF2">
        <w:rPr>
          <w:rFonts w:ascii="Times New Roman" w:hAnsi="Times New Roman"/>
          <w:noProof/>
          <w:sz w:val="24"/>
          <w:szCs w:val="24"/>
        </w:rPr>
        <w:t xml:space="preserve">a preferred channel </w:t>
      </w:r>
      <w:r w:rsidRPr="00BB4A51">
        <w:rPr>
          <w:rFonts w:ascii="Times New Roman" w:hAnsi="Times New Roman"/>
          <w:b/>
          <w:noProof/>
          <w:sz w:val="24"/>
          <w:szCs w:val="24"/>
        </w:rPr>
        <w:t xml:space="preserve">(policy option </w:t>
      </w:r>
      <w:r w:rsidR="00155F5A">
        <w:rPr>
          <w:rFonts w:ascii="Times New Roman" w:hAnsi="Times New Roman"/>
          <w:b/>
          <w:noProof/>
          <w:sz w:val="24"/>
          <w:szCs w:val="24"/>
        </w:rPr>
        <w:t>3.2</w:t>
      </w:r>
      <w:r w:rsidRPr="00BB4A51">
        <w:rPr>
          <w:rFonts w:ascii="Times New Roman" w:hAnsi="Times New Roman"/>
          <w:b/>
          <w:noProof/>
          <w:sz w:val="24"/>
          <w:szCs w:val="24"/>
        </w:rPr>
        <w:t>)</w:t>
      </w:r>
      <w:r w:rsidRPr="004F5EF2">
        <w:rPr>
          <w:rFonts w:ascii="Times New Roman" w:hAnsi="Times New Roman"/>
          <w:noProof/>
          <w:sz w:val="24"/>
          <w:szCs w:val="24"/>
        </w:rPr>
        <w:t xml:space="preserve"> is in particular expected to further facilitate the access to and exchange of information and, inevitably, lead to a strong increase of the number of messages exchanged via SIENA.</w:t>
      </w:r>
      <w:r w:rsidR="00EC2012" w:rsidRPr="00EC2012">
        <w:rPr>
          <w:rFonts w:ascii="Times New Roman" w:hAnsi="Times New Roman"/>
          <w:noProof/>
          <w:sz w:val="24"/>
          <w:szCs w:val="24"/>
        </w:rPr>
        <w:t xml:space="preserve"> </w:t>
      </w:r>
      <w:r w:rsidR="002B3BB4" w:rsidRPr="00D16C13">
        <w:rPr>
          <w:rFonts w:ascii="Times New Roman" w:hAnsi="Times New Roman"/>
          <w:noProof/>
          <w:sz w:val="24"/>
          <w:szCs w:val="24"/>
        </w:rPr>
        <w:t xml:space="preserve">The </w:t>
      </w:r>
      <w:r w:rsidR="00980A85">
        <w:rPr>
          <w:rFonts w:ascii="Times New Roman" w:hAnsi="Times New Roman"/>
          <w:noProof/>
          <w:sz w:val="24"/>
          <w:szCs w:val="24"/>
        </w:rPr>
        <w:t xml:space="preserve">yearly </w:t>
      </w:r>
      <w:r w:rsidR="002B3BB4" w:rsidRPr="00D16C13">
        <w:rPr>
          <w:rFonts w:ascii="Times New Roman" w:hAnsi="Times New Roman"/>
          <w:noProof/>
          <w:sz w:val="24"/>
          <w:szCs w:val="24"/>
        </w:rPr>
        <w:t xml:space="preserve">number of messages exchanged via SIENA is estimated to increase </w:t>
      </w:r>
      <w:r w:rsidR="00980A85">
        <w:rPr>
          <w:rFonts w:ascii="Times New Roman" w:hAnsi="Times New Roman"/>
          <w:noProof/>
          <w:sz w:val="24"/>
          <w:szCs w:val="24"/>
        </w:rPr>
        <w:t xml:space="preserve">to up to </w:t>
      </w:r>
      <w:r w:rsidR="002B3BB4" w:rsidRPr="00D16C13">
        <w:rPr>
          <w:rFonts w:ascii="Times New Roman" w:hAnsi="Times New Roman"/>
          <w:noProof/>
          <w:sz w:val="24"/>
          <w:szCs w:val="24"/>
        </w:rPr>
        <w:t>3.86 million messages in 2030</w:t>
      </w:r>
      <w:r w:rsidR="00446DA6">
        <w:rPr>
          <w:rFonts w:ascii="Times New Roman" w:hAnsi="Times New Roman"/>
          <w:noProof/>
          <w:sz w:val="24"/>
          <w:szCs w:val="24"/>
        </w:rPr>
        <w:t xml:space="preserve"> (</w:t>
      </w:r>
      <w:r w:rsidR="00564DF4">
        <w:rPr>
          <w:rFonts w:ascii="Times New Roman" w:hAnsi="Times New Roman"/>
          <w:noProof/>
          <w:sz w:val="24"/>
          <w:szCs w:val="24"/>
        </w:rPr>
        <w:t xml:space="preserve">against </w:t>
      </w:r>
      <w:r w:rsidR="00446DA6" w:rsidRPr="00704502">
        <w:rPr>
          <w:rFonts w:ascii="Times New Roman" w:hAnsi="Times New Roman"/>
          <w:noProof/>
          <w:sz w:val="24"/>
        </w:rPr>
        <w:t xml:space="preserve">1.3 million </w:t>
      </w:r>
      <w:r w:rsidR="00446DA6">
        <w:rPr>
          <w:rFonts w:ascii="Times New Roman" w:hAnsi="Times New Roman"/>
          <w:noProof/>
          <w:sz w:val="24"/>
          <w:szCs w:val="24"/>
        </w:rPr>
        <w:t>in 2020)</w:t>
      </w:r>
      <w:r w:rsidR="002B3BB4" w:rsidRPr="00D16C13">
        <w:rPr>
          <w:rFonts w:ascii="Times New Roman" w:hAnsi="Times New Roman"/>
          <w:noProof/>
          <w:sz w:val="24"/>
          <w:szCs w:val="24"/>
        </w:rPr>
        <w:t>.</w:t>
      </w:r>
    </w:p>
    <w:p w14:paraId="28EFE1C5" w14:textId="77777777" w:rsidR="00C76702" w:rsidRPr="0096305E" w:rsidRDefault="00C76702" w:rsidP="00C76702">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O</w:t>
      </w:r>
      <w:r w:rsidRPr="0096305E">
        <w:rPr>
          <w:rFonts w:ascii="Times New Roman" w:hAnsi="Times New Roman" w:cs="Times New Roman"/>
          <w:b/>
          <w:noProof/>
          <w:sz w:val="24"/>
          <w:szCs w:val="24"/>
        </w:rPr>
        <w:t xml:space="preserve">ption </w:t>
      </w:r>
      <w:r w:rsidR="00155F5A">
        <w:rPr>
          <w:rFonts w:ascii="Times New Roman" w:hAnsi="Times New Roman" w:cs="Times New Roman"/>
          <w:b/>
          <w:noProof/>
          <w:sz w:val="24"/>
          <w:szCs w:val="24"/>
        </w:rPr>
        <w:t>3.1</w:t>
      </w:r>
      <w:r w:rsidRPr="0096305E">
        <w:rPr>
          <w:rFonts w:ascii="Times New Roman" w:hAnsi="Times New Roman" w:cs="Times New Roman"/>
          <w:noProof/>
          <w:sz w:val="24"/>
          <w:szCs w:val="24"/>
        </w:rPr>
        <w:t xml:space="preserve"> is expected to, one the one hand, have a small positive impact as regards the achievement of this objective, </w:t>
      </w:r>
      <w:r>
        <w:rPr>
          <w:rFonts w:ascii="Times New Roman" w:hAnsi="Times New Roman" w:cs="Times New Roman"/>
          <w:noProof/>
          <w:sz w:val="24"/>
          <w:szCs w:val="24"/>
        </w:rPr>
        <w:t xml:space="preserve">since </w:t>
      </w:r>
      <w:r w:rsidRPr="0096305E">
        <w:rPr>
          <w:rFonts w:ascii="Times New Roman" w:hAnsi="Times New Roman" w:cs="Times New Roman"/>
          <w:noProof/>
          <w:sz w:val="24"/>
          <w:szCs w:val="24"/>
        </w:rPr>
        <w:t>Europol is expected to make further improvements to SIENA, potentiall</w:t>
      </w:r>
      <w:r>
        <w:rPr>
          <w:rFonts w:ascii="Times New Roman" w:hAnsi="Times New Roman" w:cs="Times New Roman"/>
          <w:noProof/>
          <w:sz w:val="24"/>
          <w:szCs w:val="24"/>
        </w:rPr>
        <w:t>y doubling the number of users.</w:t>
      </w:r>
    </w:p>
    <w:p w14:paraId="15B513F1" w14:textId="77777777" w:rsidR="00C76702" w:rsidRDefault="00C76702" w:rsidP="006D3495">
      <w:pPr>
        <w:pStyle w:val="Body"/>
        <w:spacing w:after="120"/>
        <w:jc w:val="both"/>
        <w:rPr>
          <w:rFonts w:ascii="Times New Roman" w:hAnsi="Times New Roman"/>
          <w:noProof/>
          <w:sz w:val="24"/>
          <w:szCs w:val="24"/>
        </w:rPr>
      </w:pPr>
      <w:r w:rsidRPr="00E70FBF">
        <w:rPr>
          <w:rFonts w:ascii="Times New Roman" w:hAnsi="Times New Roman"/>
          <w:noProof/>
          <w:sz w:val="24"/>
          <w:szCs w:val="24"/>
        </w:rPr>
        <w:t>However, the extent to which the potential efficiency gains may actually materialise l</w:t>
      </w:r>
      <w:r>
        <w:rPr>
          <w:rFonts w:ascii="Times New Roman" w:hAnsi="Times New Roman"/>
          <w:noProof/>
          <w:sz w:val="24"/>
          <w:szCs w:val="24"/>
        </w:rPr>
        <w:t>argely depends on Member States'</w:t>
      </w:r>
      <w:r w:rsidRPr="00E70FBF">
        <w:rPr>
          <w:rFonts w:ascii="Times New Roman" w:hAnsi="Times New Roman"/>
          <w:noProof/>
          <w:sz w:val="24"/>
          <w:szCs w:val="24"/>
        </w:rPr>
        <w:t xml:space="preserve"> commitment to the improvement of law enforcement cooperation and their willingness to implement (common) changes within their national systems. The current differences between the national set-ups are expected to continue to exist and hamper the level playing field betwee</w:t>
      </w:r>
      <w:r>
        <w:rPr>
          <w:rFonts w:ascii="Times New Roman" w:hAnsi="Times New Roman"/>
          <w:noProof/>
          <w:sz w:val="24"/>
          <w:szCs w:val="24"/>
        </w:rPr>
        <w:t>n Member States.</w:t>
      </w:r>
      <w:r w:rsidR="00446DA6" w:rsidRPr="00446DA6">
        <w:rPr>
          <w:rFonts w:ascii="Times New Roman" w:hAnsi="Times New Roman"/>
          <w:noProof/>
          <w:sz w:val="24"/>
          <w:szCs w:val="24"/>
        </w:rPr>
        <w:t xml:space="preserve"> </w:t>
      </w:r>
      <w:r w:rsidR="00446DA6">
        <w:rPr>
          <w:rFonts w:ascii="Times New Roman" w:hAnsi="Times New Roman"/>
          <w:noProof/>
          <w:sz w:val="24"/>
          <w:szCs w:val="24"/>
        </w:rPr>
        <w:t xml:space="preserve">Member States will remain free </w:t>
      </w:r>
      <w:r w:rsidR="00446DA6" w:rsidRPr="000A08E8">
        <w:rPr>
          <w:rFonts w:ascii="Times New Roman" w:hAnsi="Times New Roman"/>
          <w:b/>
          <w:noProof/>
          <w:sz w:val="24"/>
          <w:szCs w:val="24"/>
        </w:rPr>
        <w:t xml:space="preserve">not </w:t>
      </w:r>
      <w:r w:rsidR="00446DA6">
        <w:rPr>
          <w:rFonts w:ascii="Times New Roman" w:hAnsi="Times New Roman"/>
          <w:noProof/>
          <w:sz w:val="24"/>
          <w:szCs w:val="24"/>
        </w:rPr>
        <w:t>to put Europol in copy of their exchanges via SIENA even when concerning offences falling into the agency' mandate.</w:t>
      </w:r>
    </w:p>
    <w:p w14:paraId="5ECAC211" w14:textId="77777777" w:rsidR="00C76702" w:rsidRDefault="00C76702" w:rsidP="00C76702">
      <w:pPr>
        <w:spacing w:after="120" w:line="240" w:lineRule="auto"/>
        <w:jc w:val="both"/>
        <w:rPr>
          <w:rFonts w:ascii="Times New Roman" w:hAnsi="Times New Roman" w:cs="Times New Roman"/>
          <w:noProof/>
          <w:sz w:val="24"/>
          <w:szCs w:val="24"/>
        </w:rPr>
      </w:pPr>
      <w:r w:rsidRPr="0096305E">
        <w:rPr>
          <w:rFonts w:ascii="Times New Roman" w:hAnsi="Times New Roman" w:cs="Times New Roman"/>
          <w:noProof/>
          <w:sz w:val="24"/>
          <w:szCs w:val="24"/>
        </w:rPr>
        <w:t xml:space="preserve">Under </w:t>
      </w:r>
      <w:r>
        <w:rPr>
          <w:rFonts w:ascii="Times New Roman" w:hAnsi="Times New Roman" w:cs="Times New Roman"/>
          <w:b/>
          <w:noProof/>
          <w:sz w:val="24"/>
          <w:szCs w:val="24"/>
        </w:rPr>
        <w:t xml:space="preserve">policy option </w:t>
      </w:r>
      <w:r w:rsidR="00155F5A">
        <w:rPr>
          <w:rFonts w:ascii="Times New Roman" w:hAnsi="Times New Roman" w:cs="Times New Roman"/>
          <w:b/>
          <w:noProof/>
          <w:sz w:val="24"/>
          <w:szCs w:val="24"/>
        </w:rPr>
        <w:t>3.1</w:t>
      </w:r>
      <w:r w:rsidRPr="00704502">
        <w:rPr>
          <w:rFonts w:ascii="Times New Roman" w:hAnsi="Times New Roman" w:cs="Times New Roman"/>
          <w:noProof/>
          <w:sz w:val="24"/>
          <w:szCs w:val="24"/>
        </w:rPr>
        <w:t>,</w:t>
      </w:r>
      <w:r>
        <w:rPr>
          <w:rFonts w:ascii="Times New Roman" w:hAnsi="Times New Roman" w:cs="Times New Roman"/>
          <w:b/>
          <w:noProof/>
          <w:sz w:val="24"/>
          <w:szCs w:val="24"/>
        </w:rPr>
        <w:t xml:space="preserve"> </w:t>
      </w:r>
      <w:r w:rsidRPr="00F1198C">
        <w:rPr>
          <w:rFonts w:ascii="Times New Roman" w:hAnsi="Times New Roman" w:cs="Times New Roman"/>
          <w:noProof/>
          <w:sz w:val="24"/>
          <w:szCs w:val="24"/>
        </w:rPr>
        <w:t xml:space="preserve">the identified uncertainties and inefficiencies in the intra-EU law enforcement cooperation, including the current </w:t>
      </w:r>
      <w:r>
        <w:rPr>
          <w:rFonts w:ascii="Times New Roman" w:hAnsi="Times New Roman" w:cs="Times New Roman"/>
          <w:noProof/>
          <w:sz w:val="24"/>
          <w:szCs w:val="24"/>
        </w:rPr>
        <w:t>duplication of requests in various communication channels</w:t>
      </w:r>
      <w:r w:rsidRPr="00F1198C">
        <w:rPr>
          <w:rFonts w:ascii="Times New Roman" w:hAnsi="Times New Roman" w:cs="Times New Roman"/>
          <w:noProof/>
          <w:sz w:val="24"/>
          <w:szCs w:val="24"/>
        </w:rPr>
        <w:t xml:space="preserve"> both at the EU level and between the Member States are expected to rem</w:t>
      </w:r>
      <w:r>
        <w:rPr>
          <w:rFonts w:ascii="Times New Roman" w:hAnsi="Times New Roman" w:cs="Times New Roman"/>
          <w:noProof/>
          <w:sz w:val="24"/>
          <w:szCs w:val="24"/>
        </w:rPr>
        <w:t>ain and eventually to increase,</w:t>
      </w:r>
      <w:r w:rsidRPr="00AC379B">
        <w:rPr>
          <w:rFonts w:ascii="Times New Roman" w:hAnsi="Times New Roman" w:cs="Times New Roman"/>
          <w:noProof/>
          <w:sz w:val="24"/>
          <w:szCs w:val="24"/>
        </w:rPr>
        <w:t xml:space="preserve"> </w:t>
      </w:r>
      <w:r w:rsidRPr="003438EE">
        <w:rPr>
          <w:rFonts w:ascii="Times New Roman" w:hAnsi="Times New Roman" w:cs="Times New Roman"/>
          <w:noProof/>
          <w:sz w:val="24"/>
          <w:szCs w:val="24"/>
        </w:rPr>
        <w:t xml:space="preserve">causing </w:t>
      </w:r>
      <w:r>
        <w:rPr>
          <w:rFonts w:ascii="Times New Roman" w:hAnsi="Times New Roman" w:cs="Times New Roman"/>
          <w:noProof/>
          <w:sz w:val="24"/>
          <w:szCs w:val="24"/>
        </w:rPr>
        <w:t>undue delays and additional workload</w:t>
      </w:r>
      <w:r w:rsidRPr="003438EE">
        <w:rPr>
          <w:rFonts w:ascii="Times New Roman" w:hAnsi="Times New Roman" w:cs="Times New Roman"/>
          <w:noProof/>
          <w:sz w:val="24"/>
          <w:szCs w:val="24"/>
        </w:rPr>
        <w:t>.</w:t>
      </w:r>
    </w:p>
    <w:p w14:paraId="2383E4E3" w14:textId="77777777" w:rsidR="00C76702" w:rsidRDefault="00C76702" w:rsidP="00187EA9">
      <w:pPr>
        <w:pStyle w:val="Body"/>
        <w:spacing w:after="120"/>
        <w:jc w:val="both"/>
        <w:rPr>
          <w:rFonts w:ascii="Times New Roman" w:hAnsi="Times New Roman"/>
          <w:noProof/>
          <w:sz w:val="24"/>
          <w:szCs w:val="24"/>
        </w:rPr>
      </w:pPr>
      <w:r w:rsidRPr="003438EE">
        <w:rPr>
          <w:rFonts w:ascii="Times New Roman" w:hAnsi="Times New Roman"/>
          <w:noProof/>
          <w:sz w:val="24"/>
          <w:szCs w:val="24"/>
        </w:rPr>
        <w:t>For example, the practice o</w:t>
      </w:r>
      <w:r>
        <w:rPr>
          <w:rFonts w:ascii="Times New Roman" w:hAnsi="Times New Roman"/>
          <w:noProof/>
          <w:sz w:val="24"/>
          <w:szCs w:val="24"/>
        </w:rPr>
        <w:t>f '</w:t>
      </w:r>
      <w:r w:rsidRPr="003438EE">
        <w:rPr>
          <w:rFonts w:ascii="Times New Roman" w:hAnsi="Times New Roman"/>
          <w:noProof/>
          <w:sz w:val="24"/>
          <w:szCs w:val="24"/>
        </w:rPr>
        <w:t>fishing</w:t>
      </w:r>
      <w:r>
        <w:rPr>
          <w:rFonts w:ascii="Times New Roman" w:hAnsi="Times New Roman"/>
          <w:noProof/>
          <w:sz w:val="24"/>
          <w:szCs w:val="24"/>
        </w:rPr>
        <w:t>'</w:t>
      </w:r>
      <w:r w:rsidRPr="003438EE">
        <w:rPr>
          <w:rFonts w:ascii="Times New Roman" w:hAnsi="Times New Roman"/>
          <w:noProof/>
          <w:sz w:val="24"/>
          <w:szCs w:val="24"/>
        </w:rPr>
        <w:t xml:space="preserve"> is likely to remain, meaning that </w:t>
      </w:r>
      <w:r>
        <w:rPr>
          <w:rFonts w:ascii="Times New Roman" w:hAnsi="Times New Roman"/>
          <w:noProof/>
          <w:sz w:val="24"/>
          <w:szCs w:val="24"/>
        </w:rPr>
        <w:t xml:space="preserve">a number of </w:t>
      </w:r>
      <w:r w:rsidRPr="003438EE">
        <w:rPr>
          <w:rFonts w:ascii="Times New Roman" w:hAnsi="Times New Roman"/>
          <w:noProof/>
          <w:sz w:val="24"/>
          <w:szCs w:val="24"/>
        </w:rPr>
        <w:t xml:space="preserve">Member States </w:t>
      </w:r>
      <w:r w:rsidR="002B2BE7">
        <w:rPr>
          <w:rFonts w:ascii="Times New Roman" w:hAnsi="Times New Roman"/>
          <w:noProof/>
          <w:sz w:val="24"/>
          <w:szCs w:val="24"/>
        </w:rPr>
        <w:t xml:space="preserve">or national LEAs </w:t>
      </w:r>
      <w:r w:rsidRPr="003438EE">
        <w:rPr>
          <w:rFonts w:ascii="Times New Roman" w:hAnsi="Times New Roman"/>
          <w:noProof/>
          <w:sz w:val="24"/>
          <w:szCs w:val="24"/>
        </w:rPr>
        <w:t>may receive the same information request without any clear link to a specific case, thus leading to duplication of work.</w:t>
      </w:r>
      <w:r>
        <w:rPr>
          <w:noProof/>
        </w:rPr>
        <w:t xml:space="preserve"> </w:t>
      </w:r>
      <w:r w:rsidRPr="00E70FBF">
        <w:rPr>
          <w:rFonts w:ascii="Times New Roman" w:hAnsi="Times New Roman"/>
          <w:noProof/>
          <w:sz w:val="24"/>
          <w:szCs w:val="24"/>
        </w:rPr>
        <w:t>Therefore, it is expected that the efficiency of future law enforcement cooperation will conside</w:t>
      </w:r>
      <w:r>
        <w:rPr>
          <w:rFonts w:ascii="Times New Roman" w:hAnsi="Times New Roman"/>
          <w:noProof/>
          <w:sz w:val="24"/>
          <w:szCs w:val="24"/>
        </w:rPr>
        <w:t>rably lag behind its potential.</w:t>
      </w:r>
    </w:p>
    <w:p w14:paraId="15F0A2B9" w14:textId="77777777" w:rsidR="00C76702" w:rsidRDefault="00C76702" w:rsidP="00C76702">
      <w:pPr>
        <w:spacing w:after="120" w:line="240" w:lineRule="auto"/>
        <w:jc w:val="both"/>
        <w:rPr>
          <w:rFonts w:ascii="Times New Roman" w:hAnsi="Times New Roman" w:cs="Times New Roman"/>
          <w:noProof/>
          <w:sz w:val="24"/>
          <w:szCs w:val="24"/>
        </w:rPr>
      </w:pPr>
      <w:r w:rsidRPr="00DF562D">
        <w:rPr>
          <w:rFonts w:ascii="Times New Roman" w:hAnsi="Times New Roman" w:cs="Times New Roman"/>
          <w:b/>
          <w:noProof/>
          <w:sz w:val="24"/>
        </w:rPr>
        <w:t>Political feasibility.</w:t>
      </w:r>
      <w:r>
        <w:rPr>
          <w:rFonts w:ascii="Times New Roman" w:hAnsi="Times New Roman" w:cs="Times New Roman"/>
          <w:noProof/>
          <w:sz w:val="24"/>
        </w:rPr>
        <w:t xml:space="preserve"> A number of </w:t>
      </w:r>
      <w:r w:rsidRPr="006529DA">
        <w:rPr>
          <w:rFonts w:ascii="Times New Roman" w:hAnsi="Times New Roman" w:cs="Times New Roman"/>
          <w:noProof/>
          <w:sz w:val="24"/>
        </w:rPr>
        <w:t xml:space="preserve">Member States </w:t>
      </w:r>
      <w:r w:rsidR="00935663" w:rsidRPr="006529DA">
        <w:rPr>
          <w:rFonts w:ascii="Times New Roman" w:hAnsi="Times New Roman" w:cs="Times New Roman"/>
          <w:noProof/>
          <w:sz w:val="24"/>
        </w:rPr>
        <w:t>favo</w:t>
      </w:r>
      <w:r w:rsidR="00AE2A87">
        <w:rPr>
          <w:rFonts w:ascii="Times New Roman" w:hAnsi="Times New Roman" w:cs="Times New Roman"/>
          <w:noProof/>
          <w:sz w:val="24"/>
        </w:rPr>
        <w:t>u</w:t>
      </w:r>
      <w:r w:rsidR="00935663" w:rsidRPr="006529DA">
        <w:rPr>
          <w:rFonts w:ascii="Times New Roman" w:hAnsi="Times New Roman" w:cs="Times New Roman"/>
          <w:noProof/>
          <w:sz w:val="24"/>
        </w:rPr>
        <w:t>rs</w:t>
      </w:r>
      <w:r w:rsidRPr="006529DA">
        <w:rPr>
          <w:rFonts w:ascii="Times New Roman" w:hAnsi="Times New Roman" w:cs="Times New Roman"/>
          <w:noProof/>
          <w:sz w:val="24"/>
        </w:rPr>
        <w:t xml:space="preserve"> an approach that leaves wide flexibility to use different channels.</w:t>
      </w:r>
      <w:r>
        <w:rPr>
          <w:rFonts w:ascii="Times New Roman" w:hAnsi="Times New Roman" w:cs="Times New Roman"/>
          <w:noProof/>
          <w:sz w:val="24"/>
        </w:rPr>
        <w:t xml:space="preserve"> </w:t>
      </w:r>
      <w:r w:rsidR="00171FEA">
        <w:rPr>
          <w:rFonts w:ascii="Times New Roman" w:hAnsi="Times New Roman" w:cs="Times New Roman"/>
          <w:noProof/>
          <w:sz w:val="24"/>
        </w:rPr>
        <w:t>While considered political</w:t>
      </w:r>
      <w:r w:rsidR="009C16A9">
        <w:rPr>
          <w:rFonts w:ascii="Times New Roman" w:hAnsi="Times New Roman" w:cs="Times New Roman"/>
          <w:noProof/>
          <w:sz w:val="24"/>
        </w:rPr>
        <w:t>ly</w:t>
      </w:r>
      <w:r w:rsidR="00171FEA">
        <w:rPr>
          <w:rFonts w:ascii="Times New Roman" w:hAnsi="Times New Roman" w:cs="Times New Roman"/>
          <w:noProof/>
          <w:sz w:val="24"/>
        </w:rPr>
        <w:t xml:space="preserve"> feasible</w:t>
      </w:r>
      <w:r w:rsidR="00171FEA">
        <w:rPr>
          <w:rStyle w:val="FootnoteReference"/>
          <w:rFonts w:ascii="Times New Roman" w:hAnsi="Times New Roman" w:cs="Times New Roman"/>
          <w:noProof/>
          <w:sz w:val="24"/>
        </w:rPr>
        <w:footnoteReference w:id="105"/>
      </w:r>
      <w:r w:rsidR="00171FEA">
        <w:rPr>
          <w:rFonts w:ascii="Times New Roman" w:hAnsi="Times New Roman" w:cs="Times New Roman"/>
          <w:noProof/>
          <w:sz w:val="24"/>
        </w:rPr>
        <w:t>, t</w:t>
      </w:r>
      <w:r>
        <w:rPr>
          <w:rFonts w:ascii="Times New Roman" w:hAnsi="Times New Roman" w:cs="Times New Roman"/>
          <w:noProof/>
          <w:sz w:val="24"/>
        </w:rPr>
        <w:t xml:space="preserve">he </w:t>
      </w:r>
      <w:r w:rsidRPr="00AC379B">
        <w:rPr>
          <w:rFonts w:ascii="Times New Roman" w:hAnsi="Times New Roman" w:cs="Times New Roman"/>
          <w:b/>
          <w:noProof/>
          <w:sz w:val="24"/>
        </w:rPr>
        <w:t>policy</w:t>
      </w:r>
      <w:r>
        <w:rPr>
          <w:rFonts w:ascii="Times New Roman" w:hAnsi="Times New Roman" w:cs="Times New Roman"/>
          <w:noProof/>
          <w:sz w:val="24"/>
        </w:rPr>
        <w:t xml:space="preserve"> </w:t>
      </w:r>
      <w:r w:rsidRPr="00AC379B">
        <w:rPr>
          <w:rFonts w:ascii="Times New Roman" w:hAnsi="Times New Roman" w:cs="Times New Roman"/>
          <w:b/>
          <w:noProof/>
          <w:sz w:val="24"/>
        </w:rPr>
        <w:t xml:space="preserve">option </w:t>
      </w:r>
      <w:r w:rsidR="00155F5A">
        <w:rPr>
          <w:rFonts w:ascii="Times New Roman" w:hAnsi="Times New Roman" w:cs="Times New Roman"/>
          <w:b/>
          <w:noProof/>
          <w:sz w:val="24"/>
        </w:rPr>
        <w:t>3.3</w:t>
      </w:r>
      <w:r>
        <w:rPr>
          <w:rFonts w:ascii="Times New Roman" w:hAnsi="Times New Roman" w:cs="Times New Roman"/>
          <w:noProof/>
          <w:sz w:val="24"/>
        </w:rPr>
        <w:t xml:space="preserve"> </w:t>
      </w:r>
      <w:r w:rsidR="00171FEA">
        <w:rPr>
          <w:rFonts w:ascii="Times New Roman" w:hAnsi="Times New Roman" w:cs="Times New Roman"/>
          <w:noProof/>
          <w:sz w:val="24"/>
        </w:rPr>
        <w:t xml:space="preserve">is likely to be </w:t>
      </w:r>
      <w:r>
        <w:rPr>
          <w:rFonts w:ascii="Times New Roman" w:hAnsi="Times New Roman" w:cs="Times New Roman"/>
          <w:noProof/>
          <w:sz w:val="24"/>
        </w:rPr>
        <w:t>closely analysed by the Member States.</w:t>
      </w:r>
    </w:p>
    <w:p w14:paraId="387018DC" w14:textId="77777777" w:rsidR="00935663" w:rsidRDefault="00C76702" w:rsidP="00C76702">
      <w:pPr>
        <w:spacing w:after="120" w:line="240" w:lineRule="auto"/>
        <w:jc w:val="both"/>
        <w:rPr>
          <w:rFonts w:ascii="Times New Roman" w:hAnsi="Times New Roman" w:cs="Times New Roman"/>
          <w:noProof/>
          <w:sz w:val="24"/>
          <w:szCs w:val="24"/>
        </w:rPr>
      </w:pPr>
      <w:r w:rsidRPr="00EB07A9">
        <w:rPr>
          <w:rFonts w:ascii="Times New Roman" w:hAnsi="Times New Roman" w:cs="Times New Roman"/>
          <w:b/>
          <w:noProof/>
          <w:sz w:val="24"/>
          <w:szCs w:val="24"/>
        </w:rPr>
        <w:t>Coherence and proportionality.</w:t>
      </w:r>
      <w:r>
        <w:rPr>
          <w:rFonts w:ascii="Times New Roman" w:hAnsi="Times New Roman" w:cs="Times New Roman"/>
          <w:noProof/>
          <w:sz w:val="24"/>
          <w:szCs w:val="24"/>
        </w:rPr>
        <w:t xml:space="preserve"> While </w:t>
      </w:r>
      <w:r w:rsidR="00171FEA">
        <w:rPr>
          <w:rFonts w:ascii="Times New Roman" w:hAnsi="Times New Roman" w:cs="Times New Roman"/>
          <w:noProof/>
          <w:sz w:val="24"/>
          <w:szCs w:val="24"/>
        </w:rPr>
        <w:t xml:space="preserve">possibly </w:t>
      </w:r>
      <w:r>
        <w:rPr>
          <w:rFonts w:ascii="Times New Roman" w:hAnsi="Times New Roman" w:cs="Times New Roman"/>
          <w:noProof/>
          <w:sz w:val="24"/>
          <w:szCs w:val="24"/>
        </w:rPr>
        <w:t xml:space="preserve">more readily acceptable by a number of Member States, the </w:t>
      </w:r>
      <w:r w:rsidRPr="006529DA">
        <w:rPr>
          <w:rFonts w:ascii="Times New Roman" w:hAnsi="Times New Roman" w:cs="Times New Roman"/>
          <w:b/>
          <w:noProof/>
          <w:sz w:val="24"/>
          <w:szCs w:val="24"/>
        </w:rPr>
        <w:t xml:space="preserve">policy option </w:t>
      </w:r>
      <w:r w:rsidR="00155F5A">
        <w:rPr>
          <w:rFonts w:ascii="Times New Roman" w:hAnsi="Times New Roman" w:cs="Times New Roman"/>
          <w:b/>
          <w:noProof/>
          <w:sz w:val="24"/>
          <w:szCs w:val="24"/>
        </w:rPr>
        <w:t>3.2</w:t>
      </w:r>
      <w:r>
        <w:rPr>
          <w:rFonts w:ascii="Times New Roman" w:hAnsi="Times New Roman" w:cs="Times New Roman"/>
          <w:noProof/>
          <w:sz w:val="24"/>
          <w:szCs w:val="24"/>
        </w:rPr>
        <w:t xml:space="preserve"> is considered to be only partially </w:t>
      </w:r>
      <w:r w:rsidRPr="00EB07A9">
        <w:rPr>
          <w:rFonts w:ascii="Times New Roman" w:hAnsi="Times New Roman" w:cs="Times New Roman"/>
          <w:b/>
          <w:noProof/>
          <w:sz w:val="24"/>
          <w:szCs w:val="24"/>
        </w:rPr>
        <w:t>coherent</w:t>
      </w:r>
      <w:r>
        <w:rPr>
          <w:rFonts w:ascii="Times New Roman" w:hAnsi="Times New Roman" w:cs="Times New Roman"/>
          <w:noProof/>
          <w:sz w:val="24"/>
          <w:szCs w:val="24"/>
        </w:rPr>
        <w:t xml:space="preserve"> with other EU measures, notably the Europol Regulation and </w:t>
      </w:r>
      <w:r w:rsidRPr="00E2696C">
        <w:rPr>
          <w:rFonts w:ascii="Times New Roman" w:hAnsi="Times New Roman" w:cs="Times New Roman"/>
          <w:b/>
          <w:noProof/>
          <w:sz w:val="24"/>
        </w:rPr>
        <w:t>Council Document 5503/21</w:t>
      </w:r>
      <w:r w:rsidRPr="0068597C">
        <w:rPr>
          <w:rFonts w:ascii="Times New Roman" w:hAnsi="Times New Roman" w:cs="Times New Roman"/>
          <w:noProof/>
          <w:sz w:val="24"/>
          <w:vertAlign w:val="superscript"/>
        </w:rPr>
        <w:footnoteReference w:id="106"/>
      </w:r>
      <w:r w:rsidRPr="0068597C">
        <w:rPr>
          <w:rFonts w:ascii="Times New Roman" w:hAnsi="Times New Roman" w:cs="Times New Roman"/>
          <w:noProof/>
          <w:sz w:val="24"/>
        </w:rPr>
        <w:t xml:space="preserve"> on the use of SIENA as a primary communication channel.</w:t>
      </w:r>
      <w:r w:rsidRPr="0068597C">
        <w:rPr>
          <w:rFonts w:ascii="Times New Roman" w:hAnsi="Times New Roman" w:cs="Times New Roman"/>
          <w:noProof/>
          <w:sz w:val="28"/>
          <w:szCs w:val="24"/>
        </w:rPr>
        <w:t xml:space="preserve"> </w:t>
      </w:r>
      <w:r>
        <w:rPr>
          <w:rFonts w:ascii="Times New Roman" w:hAnsi="Times New Roman" w:cs="Times New Roman"/>
          <w:noProof/>
          <w:sz w:val="24"/>
          <w:szCs w:val="24"/>
        </w:rPr>
        <w:t xml:space="preserve">Because the policy option </w:t>
      </w:r>
      <w:r w:rsidR="00AE2A87">
        <w:rPr>
          <w:rFonts w:ascii="Times New Roman" w:hAnsi="Times New Roman" w:cs="Times New Roman"/>
          <w:noProof/>
          <w:sz w:val="24"/>
          <w:szCs w:val="24"/>
        </w:rPr>
        <w:t>3.2</w:t>
      </w:r>
      <w:r>
        <w:rPr>
          <w:rFonts w:ascii="Times New Roman" w:hAnsi="Times New Roman" w:cs="Times New Roman"/>
          <w:noProof/>
          <w:sz w:val="24"/>
          <w:szCs w:val="24"/>
        </w:rPr>
        <w:t xml:space="preserve"> will leave Member States more leeway, it is considered to falling short of the necessity requirement, while </w:t>
      </w:r>
      <w:r w:rsidRPr="00F3267D">
        <w:rPr>
          <w:rFonts w:ascii="Times New Roman" w:hAnsi="Times New Roman" w:cs="Times New Roman"/>
          <w:b/>
          <w:noProof/>
          <w:sz w:val="24"/>
          <w:szCs w:val="24"/>
        </w:rPr>
        <w:t xml:space="preserve">policy option </w:t>
      </w:r>
      <w:r w:rsidR="00155F5A">
        <w:rPr>
          <w:rFonts w:ascii="Times New Roman" w:hAnsi="Times New Roman" w:cs="Times New Roman"/>
          <w:b/>
          <w:noProof/>
          <w:sz w:val="24"/>
          <w:szCs w:val="24"/>
        </w:rPr>
        <w:t>3.3</w:t>
      </w:r>
      <w:r>
        <w:rPr>
          <w:rFonts w:ascii="Times New Roman" w:hAnsi="Times New Roman" w:cs="Times New Roman"/>
          <w:noProof/>
          <w:sz w:val="24"/>
          <w:szCs w:val="24"/>
        </w:rPr>
        <w:t xml:space="preserve"> is considered </w:t>
      </w:r>
      <w:r w:rsidRPr="00EC27BF">
        <w:rPr>
          <w:rFonts w:ascii="Times New Roman" w:hAnsi="Times New Roman" w:cs="Times New Roman"/>
          <w:b/>
          <w:noProof/>
          <w:sz w:val="24"/>
        </w:rPr>
        <w:t xml:space="preserve">proportionate </w:t>
      </w:r>
      <w:r w:rsidRPr="00EC27BF">
        <w:rPr>
          <w:rFonts w:ascii="Times New Roman" w:hAnsi="Times New Roman" w:cs="Times New Roman"/>
          <w:noProof/>
          <w:sz w:val="24"/>
        </w:rPr>
        <w:t>to the identified problem and do not go beyond what is necessary to achieve the specific objective</w:t>
      </w:r>
      <w:r>
        <w:rPr>
          <w:rFonts w:ascii="Times New Roman" w:hAnsi="Times New Roman" w:cs="Times New Roman"/>
          <w:noProof/>
          <w:sz w:val="24"/>
          <w:szCs w:val="24"/>
        </w:rPr>
        <w:t xml:space="preserve">. </w:t>
      </w:r>
      <w:r w:rsidR="00935663">
        <w:rPr>
          <w:rFonts w:ascii="Times New Roman" w:hAnsi="Times New Roman" w:cs="Times New Roman"/>
          <w:noProof/>
          <w:sz w:val="24"/>
          <w:szCs w:val="24"/>
        </w:rPr>
        <w:t xml:space="preserve"> </w:t>
      </w:r>
    </w:p>
    <w:p w14:paraId="3FA445A0" w14:textId="77777777" w:rsidR="00C76702" w:rsidRDefault="00C76702" w:rsidP="00C76702">
      <w:pPr>
        <w:spacing w:after="120" w:line="240" w:lineRule="auto"/>
        <w:jc w:val="both"/>
        <w:rPr>
          <w:rFonts w:ascii="Times New Roman" w:hAnsi="Times New Roman" w:cs="Times New Roman"/>
          <w:noProof/>
          <w:sz w:val="24"/>
          <w:szCs w:val="24"/>
        </w:rPr>
      </w:pPr>
      <w:r w:rsidRPr="00DF562D">
        <w:rPr>
          <w:rFonts w:ascii="Times New Roman" w:hAnsi="Times New Roman" w:cs="Times New Roman"/>
          <w:b/>
          <w:noProof/>
          <w:sz w:val="24"/>
          <w:szCs w:val="24"/>
        </w:rPr>
        <w:t xml:space="preserve">Policy option </w:t>
      </w:r>
      <w:r w:rsidR="00155F5A">
        <w:rPr>
          <w:rFonts w:ascii="Times New Roman" w:hAnsi="Times New Roman" w:cs="Times New Roman"/>
          <w:b/>
          <w:noProof/>
          <w:sz w:val="24"/>
          <w:szCs w:val="24"/>
        </w:rPr>
        <w:t>3.3</w:t>
      </w:r>
      <w:r>
        <w:rPr>
          <w:rFonts w:ascii="Times New Roman" w:hAnsi="Times New Roman" w:cs="Times New Roman"/>
          <w:noProof/>
          <w:sz w:val="24"/>
          <w:szCs w:val="24"/>
        </w:rPr>
        <w:t xml:space="preserve"> is fully in line with a decade-long </w:t>
      </w:r>
      <w:r w:rsidRPr="006529DA">
        <w:rPr>
          <w:rFonts w:ascii="Times New Roman" w:hAnsi="Times New Roman" w:cs="Times New Roman"/>
          <w:noProof/>
          <w:sz w:val="24"/>
          <w:szCs w:val="24"/>
        </w:rPr>
        <w:t>political commitment to make of Europol the "</w:t>
      </w:r>
      <w:r w:rsidRPr="00DF562D">
        <w:rPr>
          <w:rFonts w:ascii="Times New Roman" w:hAnsi="Times New Roman" w:cs="Times New Roman"/>
          <w:i/>
          <w:noProof/>
          <w:sz w:val="24"/>
          <w:szCs w:val="24"/>
        </w:rPr>
        <w:t>hub for information exchange between the law enforcement authorities of the Member States, a service provider and a platform for law enforcement services</w:t>
      </w:r>
      <w:r w:rsidRPr="006529DA">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07"/>
      </w:r>
      <w:r w:rsidRPr="006529DA">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2ADDB1BD" w14:textId="77777777" w:rsidR="00C76702" w:rsidRDefault="00C76702" w:rsidP="00C7670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coherence with this 2009 European Council strategic guidance, a 2021 Council Presidency Document also states: "</w:t>
      </w:r>
      <w:r w:rsidRPr="006D6FC7">
        <w:rPr>
          <w:rFonts w:ascii="Times New Roman" w:hAnsi="Times New Roman" w:cs="Times New Roman"/>
          <w:i/>
          <w:noProof/>
          <w:sz w:val="24"/>
          <w:szCs w:val="24"/>
        </w:rPr>
        <w:t>applying SIENA as the default communication channel would add to the streamlining of law enforcement information exchange, and increase the level of security in the context of police cooperation in the Union. By the same token, it would enable that efforts be focused on the development of a single instead of numerous solutions, thus fostering the objective of reaching enhanced EU internal security</w:t>
      </w:r>
      <w:r w:rsidRPr="006D6FC7">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08"/>
      </w:r>
      <w:r w:rsidRPr="006D6FC7">
        <w:rPr>
          <w:rFonts w:ascii="Times New Roman" w:hAnsi="Times New Roman" w:cs="Times New Roman"/>
          <w:noProof/>
          <w:sz w:val="24"/>
          <w:szCs w:val="24"/>
        </w:rPr>
        <w:t>.</w:t>
      </w:r>
    </w:p>
    <w:p w14:paraId="74800187" w14:textId="68947786" w:rsidR="00C76702" w:rsidRPr="00144E3C" w:rsidRDefault="00173E60" w:rsidP="00173E60">
      <w:pPr>
        <w:pStyle w:val="Heading1"/>
        <w:rPr>
          <w:noProof/>
        </w:rPr>
      </w:pPr>
      <w:bookmarkStart w:id="114" w:name="_Toc48897644"/>
      <w:bookmarkStart w:id="115" w:name="_Toc74838185"/>
      <w:bookmarkStart w:id="116" w:name="_Toc83801047"/>
      <w:r w:rsidRPr="00173E60">
        <w:t>8.</w:t>
      </w:r>
      <w:r w:rsidRPr="00173E60">
        <w:tab/>
      </w:r>
      <w:r w:rsidR="00C76702" w:rsidRPr="00144E3C">
        <w:rPr>
          <w:noProof/>
        </w:rPr>
        <w:t xml:space="preserve">Preferred </w:t>
      </w:r>
      <w:r w:rsidR="00EE0D13">
        <w:rPr>
          <w:noProof/>
        </w:rPr>
        <w:t xml:space="preserve">policy </w:t>
      </w:r>
      <w:r w:rsidR="00C76702" w:rsidRPr="00144E3C">
        <w:rPr>
          <w:noProof/>
        </w:rPr>
        <w:t>option</w:t>
      </w:r>
      <w:bookmarkEnd w:id="114"/>
      <w:bookmarkEnd w:id="115"/>
      <w:r w:rsidR="007174F3">
        <w:rPr>
          <w:noProof/>
        </w:rPr>
        <w:t>: a game changer for law enforcement cooperation</w:t>
      </w:r>
      <w:bookmarkEnd w:id="116"/>
    </w:p>
    <w:p w14:paraId="6DC791E0" w14:textId="77777777" w:rsidR="00C76702" w:rsidRDefault="00C76702" w:rsidP="00C76702">
      <w:pPr>
        <w:pStyle w:val="Text2"/>
        <w:spacing w:after="120"/>
        <w:ind w:left="0"/>
        <w:rPr>
          <w:noProof/>
        </w:rPr>
      </w:pPr>
      <w:r>
        <w:rPr>
          <w:b/>
          <w:noProof/>
        </w:rPr>
        <w:t>O</w:t>
      </w:r>
      <w:r w:rsidRPr="00522C56">
        <w:rPr>
          <w:b/>
          <w:noProof/>
        </w:rPr>
        <w:t xml:space="preserve">ptions </w:t>
      </w:r>
      <w:r w:rsidR="00155F5A">
        <w:rPr>
          <w:b/>
          <w:noProof/>
        </w:rPr>
        <w:t>1.</w:t>
      </w:r>
      <w:r w:rsidRPr="00522C56">
        <w:rPr>
          <w:b/>
          <w:noProof/>
        </w:rPr>
        <w:t xml:space="preserve">3, </w:t>
      </w:r>
      <w:r w:rsidR="00155F5A">
        <w:rPr>
          <w:b/>
          <w:noProof/>
        </w:rPr>
        <w:t>2.2</w:t>
      </w:r>
      <w:r w:rsidRPr="00522C56">
        <w:rPr>
          <w:b/>
          <w:noProof/>
        </w:rPr>
        <w:t xml:space="preserve"> and </w:t>
      </w:r>
      <w:r w:rsidR="00155F5A">
        <w:rPr>
          <w:b/>
          <w:noProof/>
        </w:rPr>
        <w:t>3.3</w:t>
      </w:r>
      <w:r w:rsidRPr="00522C56">
        <w:rPr>
          <w:b/>
          <w:noProof/>
        </w:rPr>
        <w:t xml:space="preserve"> form the preferred option</w:t>
      </w:r>
      <w:r>
        <w:rPr>
          <w:noProof/>
        </w:rPr>
        <w:t xml:space="preserve">. </w:t>
      </w:r>
    </w:p>
    <w:p w14:paraId="1C3425B4" w14:textId="77777777" w:rsidR="00EE0D13" w:rsidRDefault="00EE0D13" w:rsidP="00B53EE5">
      <w:pPr>
        <w:pStyle w:val="Text2"/>
        <w:spacing w:after="120"/>
        <w:ind w:left="0"/>
        <w:rPr>
          <w:noProof/>
        </w:rPr>
      </w:pPr>
      <w:r w:rsidRPr="007174F3">
        <w:rPr>
          <w:b/>
          <w:noProof/>
        </w:rPr>
        <w:t>Taken together,</w:t>
      </w:r>
      <w:r>
        <w:rPr>
          <w:noProof/>
        </w:rPr>
        <w:t xml:space="preserve"> the preferred policy option will streamline, clarify, develop and modernise cross-border law enforcement cooperation</w:t>
      </w:r>
      <w:r w:rsidR="00544876" w:rsidRPr="00544876">
        <w:rPr>
          <w:noProof/>
        </w:rPr>
        <w:t xml:space="preserve"> </w:t>
      </w:r>
      <w:r w:rsidR="00544876">
        <w:rPr>
          <w:noProof/>
        </w:rPr>
        <w:t>while better safeguarding Fundamental Rights</w:t>
      </w:r>
      <w:r>
        <w:rPr>
          <w:noProof/>
        </w:rPr>
        <w:t xml:space="preserve">. It will also step up Europol support to Member States in countering </w:t>
      </w:r>
      <w:r w:rsidR="00F31D89">
        <w:rPr>
          <w:noProof/>
        </w:rPr>
        <w:t xml:space="preserve">evolving </w:t>
      </w:r>
      <w:r>
        <w:rPr>
          <w:noProof/>
        </w:rPr>
        <w:t xml:space="preserve">threats. The preferred policy option, </w:t>
      </w:r>
      <w:r w:rsidR="004241C5">
        <w:rPr>
          <w:noProof/>
        </w:rPr>
        <w:t xml:space="preserve">a game changer, </w:t>
      </w:r>
      <w:r>
        <w:rPr>
          <w:noProof/>
        </w:rPr>
        <w:t xml:space="preserve">will ensure a strong convergence of national practices </w:t>
      </w:r>
      <w:r w:rsidR="007F36CB">
        <w:rPr>
          <w:noProof/>
        </w:rPr>
        <w:t xml:space="preserve">regarding the effective and efficient functionning of SPOC, </w:t>
      </w:r>
      <w:r>
        <w:rPr>
          <w:noProof/>
        </w:rPr>
        <w:t>through common minimum standards.</w:t>
      </w:r>
    </w:p>
    <w:p w14:paraId="3359AA25" w14:textId="53F9AEEE" w:rsidR="00B47345" w:rsidRDefault="002F09B2" w:rsidP="00B53EE5">
      <w:pPr>
        <w:pStyle w:val="Text2"/>
        <w:spacing w:after="120"/>
        <w:ind w:left="0"/>
        <w:rPr>
          <w:noProof/>
        </w:rPr>
      </w:pPr>
      <w:r>
        <w:rPr>
          <w:noProof/>
        </w:rPr>
        <w:t xml:space="preserve">This choice reflects the best cumulative score of these options as regards to relevance, added value, effectiveness, efficiency, coherence and proportionality. It draws the lessons from the past and, at the same time, is sufficiently ambitious. </w:t>
      </w:r>
      <w:r w:rsidR="00B47345">
        <w:rPr>
          <w:noProof/>
          <w:szCs w:val="24"/>
        </w:rPr>
        <w:t>T</w:t>
      </w:r>
      <w:r w:rsidR="00B47345" w:rsidRPr="00CF2C97">
        <w:rPr>
          <w:noProof/>
          <w:szCs w:val="24"/>
        </w:rPr>
        <w:t xml:space="preserve">he approximation of common minimum (ambitious) standards will ensure a sufficient degree of convergence of national practices and ultimately deliver effective and efficient information flows. </w:t>
      </w:r>
      <w:r>
        <w:rPr>
          <w:noProof/>
        </w:rPr>
        <w:t xml:space="preserve">It respects the views of the Member States concerning the role of information exchange in addressing </w:t>
      </w:r>
      <w:r w:rsidRPr="007217B2">
        <w:rPr>
          <w:noProof/>
          <w:szCs w:val="16"/>
        </w:rPr>
        <w:t>criminal offences</w:t>
      </w:r>
      <w:r w:rsidRPr="007217B2">
        <w:rPr>
          <w:noProof/>
          <w:sz w:val="40"/>
        </w:rPr>
        <w:t xml:space="preserve"> </w:t>
      </w:r>
      <w:r>
        <w:rPr>
          <w:noProof/>
        </w:rPr>
        <w:t>while at the same time respecting also the legitimate expectations of the EU citizens and businesses as to contribute to the effective and efficient safeguard of the Schengen area as one of the main enablers of the freedom of movement of persons and goods</w:t>
      </w:r>
      <w:r>
        <w:rPr>
          <w:rStyle w:val="FootnoteReference"/>
          <w:noProof/>
        </w:rPr>
        <w:footnoteReference w:id="109"/>
      </w:r>
      <w:r>
        <w:rPr>
          <w:noProof/>
        </w:rPr>
        <w:t>.</w:t>
      </w:r>
    </w:p>
    <w:p w14:paraId="5F607B10" w14:textId="77777777" w:rsidR="003725AB" w:rsidRPr="003725AB" w:rsidRDefault="003725AB" w:rsidP="003725AB">
      <w:pPr>
        <w:pStyle w:val="ListParagraph"/>
        <w:numPr>
          <w:ilvl w:val="0"/>
          <w:numId w:val="77"/>
        </w:numPr>
        <w:spacing w:after="120" w:line="240" w:lineRule="auto"/>
        <w:contextualSpacing w:val="0"/>
        <w:jc w:val="both"/>
        <w:outlineLvl w:val="1"/>
        <w:rPr>
          <w:rFonts w:ascii="Times New Roman" w:eastAsia="Times New Roman" w:hAnsi="Times New Roman" w:cs="Times New Roman"/>
          <w:b/>
          <w:noProof/>
          <w:vanish/>
          <w:sz w:val="24"/>
          <w:szCs w:val="24"/>
          <w:shd w:val="clear" w:color="auto" w:fill="FFFFFF"/>
        </w:rPr>
      </w:pPr>
    </w:p>
    <w:p w14:paraId="135DF33A" w14:textId="77777777" w:rsidR="005C6FC2" w:rsidRDefault="003725AB" w:rsidP="00094199">
      <w:pPr>
        <w:pStyle w:val="Heading2"/>
        <w:rPr>
          <w:noProof/>
        </w:rPr>
      </w:pPr>
      <w:r>
        <w:rPr>
          <w:noProof/>
        </w:rPr>
        <w:t xml:space="preserve">  </w:t>
      </w:r>
      <w:bookmarkStart w:id="117" w:name="_Toc83801048"/>
      <w:r w:rsidR="00C26F75" w:rsidRPr="00222DD7">
        <w:rPr>
          <w:noProof/>
        </w:rPr>
        <w:t xml:space="preserve">Overview of </w:t>
      </w:r>
      <w:r w:rsidR="00544876">
        <w:rPr>
          <w:noProof/>
        </w:rPr>
        <w:t xml:space="preserve">the </w:t>
      </w:r>
      <w:r w:rsidR="00C26F75" w:rsidRPr="00222DD7">
        <w:rPr>
          <w:noProof/>
        </w:rPr>
        <w:t>preferred policy option</w:t>
      </w:r>
      <w:bookmarkEnd w:id="117"/>
    </w:p>
    <w:tbl>
      <w:tblPr>
        <w:tblStyle w:val="TableGrid"/>
        <w:tblW w:w="9781" w:type="dxa"/>
        <w:tblInd w:w="-34" w:type="dxa"/>
        <w:tblLook w:val="04A0" w:firstRow="1" w:lastRow="0" w:firstColumn="1" w:lastColumn="0" w:noHBand="0" w:noVBand="1"/>
      </w:tblPr>
      <w:tblGrid>
        <w:gridCol w:w="3970"/>
        <w:gridCol w:w="5811"/>
      </w:tblGrid>
      <w:tr w:rsidR="00C76702" w14:paraId="6A49793A" w14:textId="77777777" w:rsidTr="00704502">
        <w:tc>
          <w:tcPr>
            <w:tcW w:w="3970" w:type="dxa"/>
            <w:tcBorders>
              <w:top w:val="single" w:sz="4" w:space="0" w:color="auto"/>
            </w:tcBorders>
            <w:shd w:val="clear" w:color="auto" w:fill="A8D08D" w:themeFill="accent6" w:themeFillTint="99"/>
          </w:tcPr>
          <w:p w14:paraId="1648A674" w14:textId="77777777" w:rsidR="00C76702" w:rsidRPr="00676900" w:rsidRDefault="00C76702" w:rsidP="00704502">
            <w:pPr>
              <w:spacing w:before="60" w:after="60" w:line="240" w:lineRule="auto"/>
              <w:jc w:val="center"/>
              <w:rPr>
                <w:rFonts w:ascii="Verdana" w:hAnsi="Verdana"/>
                <w:b/>
                <w:noProof/>
                <w:sz w:val="16"/>
                <w:szCs w:val="16"/>
              </w:rPr>
            </w:pPr>
            <w:r w:rsidRPr="00704502">
              <w:rPr>
                <w:rFonts w:ascii="Verdana" w:hAnsi="Verdana"/>
                <w:b/>
                <w:noProof/>
                <w:sz w:val="16"/>
                <w:szCs w:val="16"/>
              </w:rPr>
              <w:t>specific objectives</w:t>
            </w:r>
          </w:p>
        </w:tc>
        <w:tc>
          <w:tcPr>
            <w:tcW w:w="5811" w:type="dxa"/>
            <w:tcBorders>
              <w:top w:val="single" w:sz="4" w:space="0" w:color="auto"/>
            </w:tcBorders>
            <w:shd w:val="clear" w:color="auto" w:fill="8EAADB" w:themeFill="accent5" w:themeFillTint="99"/>
          </w:tcPr>
          <w:p w14:paraId="7C267452" w14:textId="77777777" w:rsidR="00C76702" w:rsidRPr="00676900" w:rsidRDefault="00C76702" w:rsidP="00704502">
            <w:pPr>
              <w:spacing w:before="60" w:after="60" w:line="240" w:lineRule="auto"/>
              <w:jc w:val="center"/>
              <w:rPr>
                <w:rFonts w:ascii="Verdana" w:hAnsi="Verdana"/>
                <w:b/>
                <w:noProof/>
                <w:sz w:val="16"/>
                <w:szCs w:val="16"/>
              </w:rPr>
            </w:pPr>
            <w:r w:rsidRPr="00704502">
              <w:rPr>
                <w:rFonts w:ascii="Verdana" w:hAnsi="Verdana"/>
                <w:b/>
                <w:noProof/>
                <w:sz w:val="16"/>
                <w:szCs w:val="16"/>
              </w:rPr>
              <w:t>preferred policy options</w:t>
            </w:r>
          </w:p>
        </w:tc>
      </w:tr>
      <w:tr w:rsidR="00C76702" w14:paraId="34E239DE" w14:textId="77777777" w:rsidTr="00704502">
        <w:tc>
          <w:tcPr>
            <w:tcW w:w="3970" w:type="dxa"/>
            <w:shd w:val="clear" w:color="auto" w:fill="C5E0B3" w:themeFill="accent6" w:themeFillTint="66"/>
          </w:tcPr>
          <w:p w14:paraId="1FBCA7A0" w14:textId="77777777" w:rsidR="006B4770" w:rsidRPr="006B4770" w:rsidRDefault="006B4770">
            <w:pPr>
              <w:spacing w:after="120" w:line="240" w:lineRule="auto"/>
              <w:jc w:val="both"/>
              <w:rPr>
                <w:noProof/>
              </w:rPr>
            </w:pPr>
            <w:bookmarkStart w:id="118" w:name="_Toc74838186"/>
            <w:r w:rsidRPr="006B4770">
              <w:rPr>
                <w:rFonts w:ascii="Verdana" w:hAnsi="Verdana"/>
                <w:b/>
                <w:noProof/>
                <w:sz w:val="16"/>
                <w:szCs w:val="16"/>
              </w:rPr>
              <w:t>Objective I:</w:t>
            </w:r>
            <w:r w:rsidRPr="006B4770">
              <w:rPr>
                <w:rFonts w:ascii="Verdana" w:hAnsi="Verdana"/>
                <w:noProof/>
                <w:sz w:val="16"/>
                <w:szCs w:val="16"/>
              </w:rPr>
              <w:t xml:space="preserve"> Facilitate equivalent access for law enforcement authorities to information held in another Member State, while complying with fundamental rights and data protection requirements</w:t>
            </w:r>
            <w:bookmarkEnd w:id="118"/>
          </w:p>
        </w:tc>
        <w:tc>
          <w:tcPr>
            <w:tcW w:w="5811" w:type="dxa"/>
            <w:shd w:val="clear" w:color="auto" w:fill="B4C6E7" w:themeFill="accent5" w:themeFillTint="66"/>
          </w:tcPr>
          <w:p w14:paraId="23775AC7" w14:textId="77777777" w:rsidR="00C76702" w:rsidRPr="00666E2A" w:rsidRDefault="00C76702" w:rsidP="00704502">
            <w:pPr>
              <w:widowControl w:val="0"/>
              <w:adjustRightInd w:val="0"/>
              <w:spacing w:before="60" w:after="60" w:line="240" w:lineRule="auto"/>
              <w:jc w:val="both"/>
              <w:textAlignment w:val="baseline"/>
              <w:rPr>
                <w:rFonts w:ascii="Verdana" w:hAnsi="Verdana"/>
                <w:noProof/>
                <w:sz w:val="16"/>
                <w:szCs w:val="16"/>
              </w:rPr>
            </w:pPr>
            <w:r w:rsidRPr="00666E2A">
              <w:rPr>
                <w:rFonts w:ascii="Verdana" w:hAnsi="Verdana"/>
                <w:b/>
                <w:i/>
                <w:noProof/>
                <w:sz w:val="16"/>
                <w:szCs w:val="16"/>
              </w:rPr>
              <w:t xml:space="preserve">Policy option </w:t>
            </w:r>
            <w:r w:rsidR="00155F5A">
              <w:rPr>
                <w:rFonts w:ascii="Verdana" w:hAnsi="Verdana"/>
                <w:b/>
                <w:i/>
                <w:noProof/>
                <w:sz w:val="16"/>
                <w:szCs w:val="16"/>
              </w:rPr>
              <w:t>1.</w:t>
            </w:r>
            <w:r w:rsidRPr="00666E2A">
              <w:rPr>
                <w:rFonts w:ascii="Verdana" w:hAnsi="Verdana"/>
                <w:b/>
                <w:i/>
                <w:noProof/>
                <w:sz w:val="16"/>
                <w:szCs w:val="16"/>
              </w:rPr>
              <w:t>3</w:t>
            </w:r>
            <w:r w:rsidRPr="00AB2CE1">
              <w:rPr>
                <w:rFonts w:ascii="Verdana" w:hAnsi="Verdana"/>
                <w:b/>
                <w:i/>
                <w:noProof/>
                <w:sz w:val="16"/>
                <w:szCs w:val="16"/>
              </w:rPr>
              <w:t>:</w:t>
            </w:r>
            <w:r w:rsidRPr="00666E2A">
              <w:rPr>
                <w:rFonts w:ascii="Verdana" w:hAnsi="Verdana"/>
                <w:noProof/>
                <w:sz w:val="16"/>
                <w:szCs w:val="16"/>
              </w:rPr>
              <w:t xml:space="preserve"> Option </w:t>
            </w:r>
            <w:r w:rsidR="00155F5A">
              <w:rPr>
                <w:rFonts w:ascii="Verdana" w:hAnsi="Verdana"/>
                <w:noProof/>
                <w:sz w:val="16"/>
                <w:szCs w:val="16"/>
              </w:rPr>
              <w:t>1.</w:t>
            </w:r>
            <w:r w:rsidRPr="00666E2A">
              <w:rPr>
                <w:rFonts w:ascii="Verdana" w:hAnsi="Verdana"/>
                <w:noProof/>
                <w:sz w:val="16"/>
                <w:szCs w:val="16"/>
              </w:rPr>
              <w:t>2 +</w:t>
            </w:r>
            <w:r w:rsidRPr="00666E2A">
              <w:rPr>
                <w:rFonts w:ascii="Verdana" w:hAnsi="Verdana"/>
                <w:b/>
                <w:noProof/>
                <w:sz w:val="16"/>
                <w:szCs w:val="16"/>
              </w:rPr>
              <w:t xml:space="preserve"> </w:t>
            </w:r>
            <w:r w:rsidRPr="00666E2A">
              <w:rPr>
                <w:rFonts w:ascii="Verdana" w:hAnsi="Verdana"/>
                <w:noProof/>
                <w:sz w:val="16"/>
                <w:szCs w:val="16"/>
              </w:rPr>
              <w:t>provisions ensuring compliance</w:t>
            </w:r>
            <w:r w:rsidRPr="00666E2A">
              <w:rPr>
                <w:rFonts w:ascii="Verdana" w:hAnsi="Verdana"/>
                <w:b/>
                <w:noProof/>
                <w:sz w:val="16"/>
                <w:szCs w:val="16"/>
              </w:rPr>
              <w:t xml:space="preserve"> </w:t>
            </w:r>
            <w:r w:rsidRPr="00666E2A">
              <w:rPr>
                <w:rFonts w:ascii="Verdana" w:hAnsi="Verdana"/>
                <w:noProof/>
                <w:sz w:val="16"/>
                <w:szCs w:val="16"/>
              </w:rPr>
              <w:t>with</w:t>
            </w:r>
            <w:r w:rsidRPr="00666E2A">
              <w:rPr>
                <w:rFonts w:ascii="Verdana" w:hAnsi="Verdana"/>
                <w:b/>
                <w:noProof/>
                <w:sz w:val="16"/>
                <w:szCs w:val="16"/>
              </w:rPr>
              <w:t xml:space="preserve"> deadlines requirements </w:t>
            </w:r>
            <w:r w:rsidRPr="00666E2A">
              <w:rPr>
                <w:rFonts w:ascii="Verdana" w:hAnsi="Verdana"/>
                <w:noProof/>
                <w:sz w:val="16"/>
                <w:szCs w:val="16"/>
              </w:rPr>
              <w:t>by which data is to be made available to another Member State</w:t>
            </w:r>
            <w:r w:rsidRPr="00666E2A">
              <w:rPr>
                <w:rFonts w:ascii="Verdana" w:hAnsi="Verdana"/>
                <w:b/>
                <w:noProof/>
                <w:sz w:val="16"/>
                <w:szCs w:val="16"/>
              </w:rPr>
              <w:t xml:space="preserve"> (including when a judicial authorisation is required)</w:t>
            </w:r>
          </w:p>
        </w:tc>
      </w:tr>
      <w:tr w:rsidR="00C76702" w14:paraId="29E20020" w14:textId="77777777" w:rsidTr="00704502">
        <w:tc>
          <w:tcPr>
            <w:tcW w:w="3970" w:type="dxa"/>
            <w:shd w:val="clear" w:color="auto" w:fill="C5E0B3" w:themeFill="accent6" w:themeFillTint="66"/>
          </w:tcPr>
          <w:p w14:paraId="65D2CE9D" w14:textId="77777777" w:rsidR="006B4770" w:rsidRPr="006B4770" w:rsidRDefault="006B4770">
            <w:pPr>
              <w:spacing w:after="120" w:line="240" w:lineRule="auto"/>
              <w:jc w:val="both"/>
              <w:rPr>
                <w:noProof/>
              </w:rPr>
            </w:pPr>
            <w:bookmarkStart w:id="119" w:name="_Toc74838187"/>
            <w:r w:rsidRPr="006B4770">
              <w:rPr>
                <w:rFonts w:ascii="Verdana" w:hAnsi="Verdana"/>
                <w:b/>
                <w:noProof/>
                <w:sz w:val="16"/>
                <w:szCs w:val="16"/>
              </w:rPr>
              <w:t>Objective II:</w:t>
            </w:r>
            <w:r w:rsidRPr="006B4770">
              <w:rPr>
                <w:rFonts w:ascii="Verdana" w:hAnsi="Verdana"/>
                <w:noProof/>
                <w:sz w:val="16"/>
                <w:szCs w:val="16"/>
              </w:rPr>
              <w:t xml:space="preserve"> Ensure that all Member States have an effective functioning Single Point of Contact (SPOC), including when a judicial authorisation is required to provide the data upon request of another Member State, and ensuring its effective cooperation with Police and Customs Cooperation Centres (PCCCs)</w:t>
            </w:r>
            <w:bookmarkEnd w:id="119"/>
          </w:p>
        </w:tc>
        <w:tc>
          <w:tcPr>
            <w:tcW w:w="5811" w:type="dxa"/>
            <w:shd w:val="clear" w:color="auto" w:fill="B4C6E7" w:themeFill="accent5" w:themeFillTint="66"/>
          </w:tcPr>
          <w:p w14:paraId="634D5C7D" w14:textId="1AEA32E7" w:rsidR="00C76702" w:rsidRPr="00666E2A" w:rsidRDefault="00C76702" w:rsidP="00704502">
            <w:pPr>
              <w:widowControl w:val="0"/>
              <w:adjustRightInd w:val="0"/>
              <w:spacing w:before="60" w:after="60" w:line="240" w:lineRule="auto"/>
              <w:jc w:val="both"/>
              <w:textAlignment w:val="baseline"/>
              <w:rPr>
                <w:rFonts w:ascii="Verdana" w:hAnsi="Verdana"/>
                <w:noProof/>
                <w:sz w:val="16"/>
                <w:szCs w:val="16"/>
              </w:rPr>
            </w:pPr>
            <w:r w:rsidRPr="00666E2A">
              <w:rPr>
                <w:rFonts w:ascii="Verdana" w:hAnsi="Verdana"/>
                <w:b/>
                <w:i/>
                <w:noProof/>
                <w:sz w:val="16"/>
                <w:szCs w:val="16"/>
              </w:rPr>
              <w:t xml:space="preserve">Policy option </w:t>
            </w:r>
            <w:r w:rsidR="00155F5A">
              <w:rPr>
                <w:rFonts w:ascii="Verdana" w:hAnsi="Verdana"/>
                <w:b/>
                <w:i/>
                <w:noProof/>
                <w:sz w:val="16"/>
                <w:szCs w:val="16"/>
              </w:rPr>
              <w:t>2.2</w:t>
            </w:r>
            <w:r w:rsidRPr="00666E2A">
              <w:rPr>
                <w:rFonts w:ascii="Verdana" w:hAnsi="Verdana"/>
                <w:b/>
                <w:i/>
                <w:noProof/>
                <w:sz w:val="16"/>
                <w:szCs w:val="16"/>
              </w:rPr>
              <w:t>:</w:t>
            </w:r>
            <w:r w:rsidRPr="00666E2A">
              <w:rPr>
                <w:rFonts w:ascii="Verdana" w:hAnsi="Verdana"/>
                <w:noProof/>
                <w:sz w:val="16"/>
                <w:szCs w:val="16"/>
              </w:rPr>
              <w:t xml:space="preserve"> </w:t>
            </w:r>
            <w:r w:rsidRPr="00666E2A">
              <w:rPr>
                <w:rFonts w:ascii="Verdana" w:hAnsi="Verdana"/>
                <w:b/>
                <w:i/>
                <w:noProof/>
                <w:sz w:val="16"/>
                <w:szCs w:val="16"/>
              </w:rPr>
              <w:t>Approximation of minimum standards</w:t>
            </w:r>
            <w:r w:rsidRPr="00666E2A">
              <w:rPr>
                <w:rFonts w:ascii="Verdana" w:hAnsi="Verdana"/>
                <w:noProof/>
                <w:sz w:val="16"/>
                <w:szCs w:val="16"/>
              </w:rPr>
              <w:t xml:space="preserve"> </w:t>
            </w:r>
            <w:r w:rsidRPr="00666E2A">
              <w:rPr>
                <w:rFonts w:ascii="Verdana" w:hAnsi="Verdana"/>
                <w:b/>
                <w:noProof/>
                <w:sz w:val="16"/>
                <w:szCs w:val="16"/>
              </w:rPr>
              <w:t>on</w:t>
            </w:r>
            <w:r w:rsidRPr="00666E2A">
              <w:rPr>
                <w:rFonts w:ascii="Verdana" w:hAnsi="Verdana"/>
                <w:noProof/>
                <w:sz w:val="16"/>
                <w:szCs w:val="16"/>
              </w:rPr>
              <w:t xml:space="preserve"> the composition of </w:t>
            </w:r>
            <w:r w:rsidRPr="00666E2A">
              <w:rPr>
                <w:rFonts w:ascii="Verdana" w:hAnsi="Verdana"/>
                <w:b/>
                <w:noProof/>
                <w:sz w:val="16"/>
                <w:szCs w:val="16"/>
              </w:rPr>
              <w:t xml:space="preserve">the Single Points of Contact </w:t>
            </w:r>
            <w:r w:rsidRPr="00666E2A">
              <w:rPr>
                <w:rFonts w:ascii="Verdana" w:hAnsi="Verdana"/>
                <w:noProof/>
                <w:sz w:val="16"/>
                <w:szCs w:val="16"/>
              </w:rPr>
              <w:t xml:space="preserve">(including </w:t>
            </w:r>
            <w:r w:rsidR="00FE0E3B" w:rsidRPr="00FE0E3B">
              <w:rPr>
                <w:rFonts w:ascii="Verdana" w:hAnsi="Verdana"/>
                <w:noProof/>
                <w:sz w:val="16"/>
                <w:szCs w:val="16"/>
              </w:rPr>
              <w:t>when a jud</w:t>
            </w:r>
            <w:r w:rsidR="00FE0E3B">
              <w:rPr>
                <w:rFonts w:ascii="Verdana" w:hAnsi="Verdana"/>
                <w:noProof/>
                <w:sz w:val="16"/>
                <w:szCs w:val="16"/>
              </w:rPr>
              <w:t>icial authorisation is required</w:t>
            </w:r>
            <w:r w:rsidRPr="00666E2A">
              <w:rPr>
                <w:rFonts w:ascii="Verdana" w:hAnsi="Verdana"/>
                <w:noProof/>
                <w:sz w:val="16"/>
                <w:szCs w:val="16"/>
              </w:rPr>
              <w:t xml:space="preserve">), its functions, staffing and IT systems, and its cooperation with </w:t>
            </w:r>
            <w:r w:rsidR="00AB2CE1">
              <w:rPr>
                <w:rFonts w:ascii="Verdana" w:hAnsi="Verdana"/>
                <w:noProof/>
                <w:sz w:val="16"/>
                <w:szCs w:val="16"/>
              </w:rPr>
              <w:t xml:space="preserve">regional </w:t>
            </w:r>
            <w:r w:rsidRPr="00666E2A">
              <w:rPr>
                <w:rFonts w:ascii="Verdana" w:hAnsi="Verdana"/>
                <w:noProof/>
                <w:sz w:val="16"/>
                <w:szCs w:val="16"/>
              </w:rPr>
              <w:t>structures such as</w:t>
            </w:r>
            <w:r w:rsidRPr="00666E2A">
              <w:rPr>
                <w:rFonts w:ascii="Verdana" w:hAnsi="Verdana"/>
                <w:b/>
                <w:noProof/>
                <w:sz w:val="16"/>
                <w:szCs w:val="16"/>
              </w:rPr>
              <w:t xml:space="preserve"> Police and Customs Cooperation Centres + </w:t>
            </w:r>
            <w:r w:rsidR="00A84246" w:rsidRPr="00380EEA">
              <w:rPr>
                <w:rFonts w:ascii="Verdana" w:hAnsi="Verdana"/>
                <w:noProof/>
                <w:sz w:val="16"/>
                <w:szCs w:val="16"/>
              </w:rPr>
              <w:t>new</w:t>
            </w:r>
            <w:r w:rsidR="00A84246">
              <w:rPr>
                <w:rFonts w:ascii="Verdana" w:hAnsi="Verdana"/>
                <w:b/>
                <w:noProof/>
                <w:sz w:val="16"/>
                <w:szCs w:val="16"/>
              </w:rPr>
              <w:t xml:space="preserve"> </w:t>
            </w:r>
            <w:r w:rsidRPr="00666E2A">
              <w:rPr>
                <w:rFonts w:ascii="Verdana" w:hAnsi="Verdana"/>
                <w:iCs/>
                <w:noProof/>
                <w:sz w:val="16"/>
                <w:szCs w:val="16"/>
              </w:rPr>
              <w:t xml:space="preserve">flanking soft measures (training, financial support, </w:t>
            </w:r>
            <w:r w:rsidR="00A84246">
              <w:rPr>
                <w:rFonts w:ascii="Verdana" w:hAnsi="Verdana"/>
                <w:iCs/>
                <w:noProof/>
                <w:sz w:val="16"/>
                <w:szCs w:val="16"/>
              </w:rPr>
              <w:t xml:space="preserve">Commission </w:t>
            </w:r>
            <w:r w:rsidRPr="00666E2A">
              <w:rPr>
                <w:rFonts w:ascii="Verdana" w:hAnsi="Verdana"/>
                <w:iCs/>
                <w:noProof/>
                <w:sz w:val="16"/>
                <w:szCs w:val="16"/>
              </w:rPr>
              <w:t>guidance)</w:t>
            </w:r>
          </w:p>
        </w:tc>
      </w:tr>
      <w:tr w:rsidR="00C76702" w14:paraId="0ED88ED0" w14:textId="77777777" w:rsidTr="00704502">
        <w:tc>
          <w:tcPr>
            <w:tcW w:w="3970" w:type="dxa"/>
            <w:shd w:val="clear" w:color="auto" w:fill="C5E0B3" w:themeFill="accent6" w:themeFillTint="66"/>
          </w:tcPr>
          <w:p w14:paraId="5E2BA7DC" w14:textId="7D97F70E" w:rsidR="006B4770" w:rsidRPr="006B4770" w:rsidRDefault="006B4770" w:rsidP="00C112C2">
            <w:pPr>
              <w:spacing w:line="240" w:lineRule="auto"/>
              <w:jc w:val="both"/>
              <w:rPr>
                <w:noProof/>
              </w:rPr>
            </w:pPr>
            <w:bookmarkStart w:id="120" w:name="_Toc74838188"/>
            <w:r w:rsidRPr="006B4770">
              <w:rPr>
                <w:rFonts w:ascii="Verdana" w:hAnsi="Verdana"/>
                <w:b/>
                <w:noProof/>
                <w:sz w:val="16"/>
                <w:szCs w:val="16"/>
              </w:rPr>
              <w:t>Objective III:</w:t>
            </w:r>
            <w:r w:rsidRPr="006B4770">
              <w:rPr>
                <w:rFonts w:ascii="Verdana" w:hAnsi="Verdana"/>
                <w:noProof/>
                <w:sz w:val="16"/>
                <w:szCs w:val="16"/>
              </w:rPr>
              <w:t xml:space="preserve"> To </w:t>
            </w:r>
            <w:r w:rsidR="00C112C2" w:rsidRPr="002F6386">
              <w:rPr>
                <w:rFonts w:ascii="Verdana" w:hAnsi="Verdana" w:cs="Tahoma"/>
                <w:noProof/>
                <w:sz w:val="16"/>
                <w:szCs w:val="24"/>
              </w:rPr>
              <w:t>remedy the</w:t>
            </w:r>
            <w:r w:rsidR="00C112C2" w:rsidRPr="002F6386">
              <w:rPr>
                <w:rFonts w:ascii="Verdana" w:hAnsi="Verdana" w:cs="Tahoma"/>
                <w:noProof/>
                <w:sz w:val="8"/>
                <w:szCs w:val="16"/>
              </w:rPr>
              <w:t xml:space="preserve"> </w:t>
            </w:r>
            <w:r w:rsidR="00C112C2" w:rsidRPr="002F6386">
              <w:rPr>
                <w:rFonts w:ascii="Verdana" w:hAnsi="Verdana" w:cs="Tahoma"/>
                <w:noProof/>
                <w:sz w:val="16"/>
                <w:szCs w:val="24"/>
              </w:rPr>
              <w:t>proliferation of communication channels used for law enforcement information exchange between Member States while empowering Europol as the EU criminal information hub for offences falling within its mandate (unless otherwise regulated by EU law)</w:t>
            </w:r>
            <w:r w:rsidR="00C112C2" w:rsidRPr="002F6386">
              <w:rPr>
                <w:noProof/>
                <w:sz w:val="16"/>
                <w:szCs w:val="24"/>
              </w:rPr>
              <w:t xml:space="preserve"> </w:t>
            </w:r>
            <w:bookmarkEnd w:id="120"/>
          </w:p>
        </w:tc>
        <w:tc>
          <w:tcPr>
            <w:tcW w:w="5811" w:type="dxa"/>
            <w:shd w:val="clear" w:color="auto" w:fill="B4C6E7" w:themeFill="accent5" w:themeFillTint="66"/>
          </w:tcPr>
          <w:p w14:paraId="4BD393C3" w14:textId="40F02453" w:rsidR="00294183" w:rsidRPr="00666E2A" w:rsidRDefault="00C76702" w:rsidP="00423F47">
            <w:pPr>
              <w:widowControl w:val="0"/>
              <w:adjustRightInd w:val="0"/>
              <w:spacing w:before="60" w:after="60" w:line="240" w:lineRule="auto"/>
              <w:jc w:val="both"/>
              <w:textAlignment w:val="baseline"/>
              <w:rPr>
                <w:rFonts w:ascii="Verdana" w:hAnsi="Verdana"/>
                <w:noProof/>
                <w:sz w:val="16"/>
                <w:szCs w:val="16"/>
              </w:rPr>
            </w:pPr>
            <w:r w:rsidRPr="00666E2A">
              <w:rPr>
                <w:rFonts w:ascii="Verdana" w:hAnsi="Verdana"/>
                <w:b/>
                <w:i/>
                <w:noProof/>
                <w:sz w:val="16"/>
                <w:szCs w:val="16"/>
              </w:rPr>
              <w:t xml:space="preserve">Policy option </w:t>
            </w:r>
            <w:r w:rsidR="00155F5A">
              <w:rPr>
                <w:rFonts w:ascii="Verdana" w:hAnsi="Verdana"/>
                <w:b/>
                <w:i/>
                <w:noProof/>
                <w:sz w:val="16"/>
                <w:szCs w:val="16"/>
              </w:rPr>
              <w:t>3.3</w:t>
            </w:r>
            <w:r w:rsidRPr="00666E2A">
              <w:rPr>
                <w:rFonts w:ascii="Verdana" w:hAnsi="Verdana"/>
                <w:b/>
                <w:i/>
                <w:noProof/>
                <w:sz w:val="16"/>
                <w:szCs w:val="16"/>
              </w:rPr>
              <w:t>:</w:t>
            </w:r>
            <w:r w:rsidRPr="00666E2A">
              <w:rPr>
                <w:rFonts w:ascii="Verdana" w:hAnsi="Verdana"/>
                <w:noProof/>
                <w:sz w:val="16"/>
                <w:szCs w:val="16"/>
              </w:rPr>
              <w:t xml:space="preserve"> </w:t>
            </w:r>
            <w:r w:rsidRPr="00666E2A">
              <w:rPr>
                <w:rFonts w:ascii="Verdana" w:hAnsi="Verdana"/>
                <w:b/>
                <w:noProof/>
                <w:sz w:val="16"/>
                <w:szCs w:val="16"/>
              </w:rPr>
              <w:t xml:space="preserve">obligation to use SIENA by default </w:t>
            </w:r>
            <w:r w:rsidRPr="00666E2A">
              <w:rPr>
                <w:rFonts w:ascii="Verdana" w:hAnsi="Verdana"/>
                <w:noProof/>
                <w:sz w:val="16"/>
                <w:szCs w:val="16"/>
              </w:rPr>
              <w:t>for all bilateral information exchange (unless otherwise regulated by EU law)</w:t>
            </w:r>
            <w:r w:rsidRPr="00666E2A">
              <w:rPr>
                <w:rFonts w:ascii="Verdana" w:hAnsi="Verdana"/>
                <w:b/>
                <w:noProof/>
                <w:sz w:val="16"/>
                <w:szCs w:val="16"/>
              </w:rPr>
              <w:t xml:space="preserve"> + obligation to put Europol in copy </w:t>
            </w:r>
            <w:r w:rsidRPr="00666E2A">
              <w:rPr>
                <w:rFonts w:ascii="Verdana" w:hAnsi="Verdana"/>
                <w:noProof/>
                <w:sz w:val="16"/>
                <w:szCs w:val="16"/>
              </w:rPr>
              <w:t>when in cases within Europol's mandate,</w:t>
            </w:r>
            <w:r w:rsidRPr="00666E2A">
              <w:rPr>
                <w:rFonts w:ascii="Verdana" w:hAnsi="Verdana"/>
                <w:b/>
                <w:noProof/>
                <w:sz w:val="16"/>
                <w:szCs w:val="16"/>
              </w:rPr>
              <w:t xml:space="preserve"> </w:t>
            </w:r>
            <w:r w:rsidRPr="00666E2A">
              <w:rPr>
                <w:rFonts w:ascii="Verdana" w:hAnsi="Verdana"/>
                <w:noProof/>
                <w:sz w:val="16"/>
                <w:szCs w:val="16"/>
              </w:rPr>
              <w:t>both after the end of a</w:t>
            </w:r>
            <w:r w:rsidRPr="00666E2A">
              <w:rPr>
                <w:rFonts w:ascii="Verdana" w:hAnsi="Verdana"/>
                <w:b/>
                <w:noProof/>
                <w:sz w:val="16"/>
                <w:szCs w:val="16"/>
              </w:rPr>
              <w:t xml:space="preserve"> transition period and with Internal Security Fund support </w:t>
            </w:r>
            <w:r w:rsidRPr="00666E2A">
              <w:rPr>
                <w:rFonts w:ascii="Verdana" w:hAnsi="Verdana"/>
                <w:noProof/>
                <w:sz w:val="16"/>
                <w:szCs w:val="16"/>
              </w:rPr>
              <w:t>for the SIENA roll-out</w:t>
            </w:r>
            <w:r w:rsidR="00294183">
              <w:rPr>
                <w:rFonts w:ascii="Verdana" w:hAnsi="Verdana"/>
                <w:noProof/>
                <w:sz w:val="16"/>
                <w:szCs w:val="16"/>
              </w:rPr>
              <w:t xml:space="preserve">+ </w:t>
            </w:r>
            <w:r w:rsidR="00A84246">
              <w:rPr>
                <w:rFonts w:ascii="Verdana" w:hAnsi="Verdana"/>
                <w:noProof/>
                <w:sz w:val="16"/>
                <w:szCs w:val="16"/>
              </w:rPr>
              <w:t>new f</w:t>
            </w:r>
            <w:r w:rsidR="00294183" w:rsidRPr="00CC24EC">
              <w:rPr>
                <w:rFonts w:ascii="Verdana" w:hAnsi="Verdana"/>
                <w:noProof/>
                <w:sz w:val="16"/>
                <w:szCs w:val="16"/>
              </w:rPr>
              <w:t>lanking soft measures (</w:t>
            </w:r>
            <w:r w:rsidR="00423F47">
              <w:rPr>
                <w:rFonts w:ascii="Verdana" w:hAnsi="Verdana"/>
                <w:noProof/>
                <w:sz w:val="16"/>
                <w:szCs w:val="16"/>
              </w:rPr>
              <w:t>training, financial support</w:t>
            </w:r>
            <w:r w:rsidR="00294183">
              <w:rPr>
                <w:rFonts w:ascii="Verdana" w:hAnsi="Verdana"/>
                <w:noProof/>
                <w:sz w:val="16"/>
                <w:szCs w:val="16"/>
              </w:rPr>
              <w:t>)</w:t>
            </w:r>
          </w:p>
        </w:tc>
      </w:tr>
    </w:tbl>
    <w:p w14:paraId="24EB756A" w14:textId="77777777" w:rsidR="00C76702" w:rsidRPr="00492A70" w:rsidRDefault="00C76702" w:rsidP="00F31D89">
      <w:pPr>
        <w:pStyle w:val="Body"/>
        <w:spacing w:before="120" w:after="60"/>
        <w:jc w:val="both"/>
        <w:rPr>
          <w:rFonts w:ascii="Times New Roman" w:hAnsi="Times New Roman"/>
          <w:bCs/>
          <w:noProof/>
          <w:sz w:val="24"/>
          <w:szCs w:val="24"/>
        </w:rPr>
      </w:pPr>
      <w:r>
        <w:rPr>
          <w:rFonts w:ascii="Times New Roman" w:hAnsi="Times New Roman"/>
          <w:bCs/>
          <w:noProof/>
          <w:sz w:val="24"/>
          <w:szCs w:val="24"/>
        </w:rPr>
        <w:t>The most p</w:t>
      </w:r>
      <w:r w:rsidRPr="00492A70">
        <w:rPr>
          <w:rFonts w:ascii="Times New Roman" w:hAnsi="Times New Roman"/>
          <w:bCs/>
          <w:noProof/>
          <w:sz w:val="24"/>
          <w:szCs w:val="24"/>
        </w:rPr>
        <w:t>ositive</w:t>
      </w:r>
      <w:r w:rsidR="00EE0D13">
        <w:rPr>
          <w:rFonts w:ascii="Times New Roman" w:hAnsi="Times New Roman"/>
          <w:bCs/>
          <w:noProof/>
          <w:sz w:val="24"/>
          <w:szCs w:val="24"/>
        </w:rPr>
        <w:t xml:space="preserve"> </w:t>
      </w:r>
      <w:r w:rsidR="00EE0D13" w:rsidRPr="00EE0D13">
        <w:rPr>
          <w:rFonts w:ascii="Times New Roman" w:hAnsi="Times New Roman"/>
          <w:b/>
          <w:bCs/>
          <w:noProof/>
          <w:sz w:val="24"/>
          <w:szCs w:val="24"/>
        </w:rPr>
        <w:t>cumulated</w:t>
      </w:r>
      <w:r w:rsidRPr="00492A70">
        <w:rPr>
          <w:rFonts w:ascii="Times New Roman" w:hAnsi="Times New Roman"/>
          <w:bCs/>
          <w:noProof/>
          <w:sz w:val="24"/>
          <w:szCs w:val="24"/>
        </w:rPr>
        <w:t xml:space="preserve"> impacts of </w:t>
      </w:r>
      <w:r>
        <w:rPr>
          <w:rFonts w:ascii="Times New Roman" w:hAnsi="Times New Roman"/>
          <w:bCs/>
          <w:noProof/>
          <w:sz w:val="24"/>
          <w:szCs w:val="24"/>
        </w:rPr>
        <w:t xml:space="preserve">the preferred policy option </w:t>
      </w:r>
      <w:r w:rsidRPr="00492A70">
        <w:rPr>
          <w:rFonts w:ascii="Times New Roman" w:hAnsi="Times New Roman"/>
          <w:bCs/>
          <w:noProof/>
          <w:sz w:val="24"/>
          <w:szCs w:val="24"/>
        </w:rPr>
        <w:t xml:space="preserve">are expected to stem from establishing the SPOC as a </w:t>
      </w:r>
      <w:r>
        <w:rPr>
          <w:rFonts w:ascii="Times New Roman" w:hAnsi="Times New Roman"/>
          <w:bCs/>
          <w:noProof/>
          <w:sz w:val="24"/>
          <w:szCs w:val="24"/>
        </w:rPr>
        <w:t>"</w:t>
      </w:r>
      <w:r w:rsidRPr="00492A70">
        <w:rPr>
          <w:rFonts w:ascii="Times New Roman" w:hAnsi="Times New Roman"/>
          <w:bCs/>
          <w:noProof/>
          <w:sz w:val="24"/>
          <w:szCs w:val="24"/>
        </w:rPr>
        <w:t>one stop shop</w:t>
      </w:r>
      <w:r>
        <w:rPr>
          <w:rFonts w:ascii="Times New Roman" w:hAnsi="Times New Roman"/>
          <w:bCs/>
          <w:noProof/>
          <w:sz w:val="24"/>
          <w:szCs w:val="24"/>
        </w:rPr>
        <w:t>"</w:t>
      </w:r>
      <w:r w:rsidRPr="00492A70">
        <w:rPr>
          <w:rFonts w:ascii="Times New Roman" w:hAnsi="Times New Roman"/>
          <w:bCs/>
          <w:noProof/>
          <w:sz w:val="24"/>
          <w:szCs w:val="24"/>
        </w:rPr>
        <w:t xml:space="preserve"> for </w:t>
      </w:r>
      <w:r>
        <w:rPr>
          <w:rFonts w:ascii="Times New Roman" w:hAnsi="Times New Roman"/>
          <w:bCs/>
          <w:noProof/>
          <w:sz w:val="24"/>
          <w:szCs w:val="24"/>
        </w:rPr>
        <w:t xml:space="preserve">law enforcement </w:t>
      </w:r>
      <w:r w:rsidRPr="00492A70">
        <w:rPr>
          <w:rFonts w:ascii="Times New Roman" w:hAnsi="Times New Roman"/>
          <w:bCs/>
          <w:noProof/>
          <w:sz w:val="24"/>
          <w:szCs w:val="24"/>
        </w:rPr>
        <w:t xml:space="preserve">cooperation in all Member States. </w:t>
      </w:r>
      <w:r w:rsidR="00323482">
        <w:rPr>
          <w:rFonts w:ascii="Times New Roman" w:hAnsi="Times New Roman"/>
          <w:bCs/>
          <w:noProof/>
          <w:sz w:val="24"/>
          <w:szCs w:val="24"/>
        </w:rPr>
        <w:t>Additionally</w:t>
      </w:r>
      <w:r w:rsidRPr="00492A70">
        <w:rPr>
          <w:rFonts w:ascii="Times New Roman" w:hAnsi="Times New Roman"/>
          <w:bCs/>
          <w:noProof/>
          <w:sz w:val="24"/>
          <w:szCs w:val="24"/>
        </w:rPr>
        <w:t>:</w:t>
      </w:r>
    </w:p>
    <w:p w14:paraId="780431A8" w14:textId="77777777" w:rsidR="00C76702" w:rsidRPr="00492A70" w:rsidRDefault="00C76702" w:rsidP="00B53EE5">
      <w:pPr>
        <w:pStyle w:val="Body"/>
        <w:numPr>
          <w:ilvl w:val="0"/>
          <w:numId w:val="8"/>
        </w:numPr>
        <w:spacing w:after="60"/>
        <w:ind w:left="714" w:hanging="357"/>
        <w:jc w:val="both"/>
        <w:rPr>
          <w:rFonts w:ascii="Times New Roman" w:hAnsi="Times New Roman"/>
          <w:bCs/>
          <w:noProof/>
          <w:sz w:val="24"/>
          <w:szCs w:val="24"/>
        </w:rPr>
      </w:pPr>
      <w:r w:rsidRPr="00492A70">
        <w:rPr>
          <w:rFonts w:ascii="Times New Roman" w:hAnsi="Times New Roman"/>
          <w:bCs/>
          <w:noProof/>
          <w:sz w:val="24"/>
          <w:szCs w:val="24"/>
        </w:rPr>
        <w:t xml:space="preserve">The requirement to have full access to EU and international law enforcement databases (e.g. by involving staff in the SPOC who have full access) will constitute a key step forward, as the current uneven access to relevant databases </w:t>
      </w:r>
      <w:r w:rsidR="009C16A9">
        <w:rPr>
          <w:rFonts w:ascii="Times New Roman" w:hAnsi="Times New Roman"/>
          <w:bCs/>
          <w:noProof/>
          <w:sz w:val="24"/>
          <w:szCs w:val="24"/>
        </w:rPr>
        <w:t>by</w:t>
      </w:r>
      <w:r w:rsidRPr="00492A70">
        <w:rPr>
          <w:rFonts w:ascii="Times New Roman" w:hAnsi="Times New Roman"/>
          <w:bCs/>
          <w:noProof/>
          <w:sz w:val="24"/>
          <w:szCs w:val="24"/>
        </w:rPr>
        <w:t xml:space="preserve"> the SPOCs have a negative impact on the speed </w:t>
      </w:r>
      <w:r w:rsidR="009C16A9">
        <w:rPr>
          <w:rFonts w:ascii="Times New Roman" w:hAnsi="Times New Roman"/>
          <w:bCs/>
          <w:noProof/>
          <w:sz w:val="24"/>
          <w:szCs w:val="24"/>
        </w:rPr>
        <w:t xml:space="preserve">to </w:t>
      </w:r>
      <w:r w:rsidRPr="00492A70">
        <w:rPr>
          <w:rFonts w:ascii="Times New Roman" w:hAnsi="Times New Roman"/>
          <w:bCs/>
          <w:noProof/>
          <w:sz w:val="24"/>
          <w:szCs w:val="24"/>
        </w:rPr>
        <w:t>which information can be exchanged.</w:t>
      </w:r>
    </w:p>
    <w:p w14:paraId="53F1E52E" w14:textId="18ED8542" w:rsidR="00C76702" w:rsidRPr="00492A70" w:rsidRDefault="00C76702" w:rsidP="00B53EE5">
      <w:pPr>
        <w:pStyle w:val="Body"/>
        <w:numPr>
          <w:ilvl w:val="0"/>
          <w:numId w:val="8"/>
        </w:numPr>
        <w:spacing w:after="60"/>
        <w:ind w:left="714" w:hanging="357"/>
        <w:jc w:val="both"/>
        <w:rPr>
          <w:rFonts w:ascii="Times New Roman" w:hAnsi="Times New Roman"/>
          <w:bCs/>
          <w:noProof/>
          <w:sz w:val="24"/>
          <w:szCs w:val="24"/>
        </w:rPr>
      </w:pPr>
      <w:r w:rsidRPr="00492A70">
        <w:rPr>
          <w:rFonts w:ascii="Times New Roman" w:hAnsi="Times New Roman"/>
          <w:bCs/>
          <w:noProof/>
          <w:sz w:val="24"/>
          <w:szCs w:val="24"/>
        </w:rPr>
        <w:t>The requirement to have a jud</w:t>
      </w:r>
      <w:r>
        <w:rPr>
          <w:rFonts w:ascii="Times New Roman" w:hAnsi="Times New Roman"/>
          <w:bCs/>
          <w:noProof/>
          <w:sz w:val="24"/>
          <w:szCs w:val="24"/>
        </w:rPr>
        <w:t xml:space="preserve">icial authority </w:t>
      </w:r>
      <w:r w:rsidR="00515FB3">
        <w:rPr>
          <w:rFonts w:ascii="Times New Roman" w:hAnsi="Times New Roman"/>
          <w:bCs/>
          <w:noProof/>
          <w:sz w:val="24"/>
          <w:szCs w:val="24"/>
        </w:rPr>
        <w:t xml:space="preserve">functionally </w:t>
      </w:r>
      <w:r>
        <w:rPr>
          <w:rFonts w:ascii="Times New Roman" w:hAnsi="Times New Roman"/>
          <w:bCs/>
          <w:noProof/>
          <w:sz w:val="24"/>
          <w:szCs w:val="24"/>
        </w:rPr>
        <w:t xml:space="preserve">available </w:t>
      </w:r>
      <w:r w:rsidRPr="00492A70">
        <w:rPr>
          <w:rFonts w:ascii="Times New Roman" w:hAnsi="Times New Roman"/>
          <w:bCs/>
          <w:noProof/>
          <w:sz w:val="24"/>
          <w:szCs w:val="24"/>
        </w:rPr>
        <w:t xml:space="preserve">will imply that those cases where a judicial authorisation is required can be handled more swiftly than what is currently the case, meaning that deadlines can be </w:t>
      </w:r>
      <w:r w:rsidR="002B2BE7">
        <w:rPr>
          <w:rFonts w:ascii="Times New Roman" w:hAnsi="Times New Roman"/>
          <w:bCs/>
          <w:noProof/>
          <w:sz w:val="24"/>
          <w:szCs w:val="24"/>
        </w:rPr>
        <w:t xml:space="preserve">more readily </w:t>
      </w:r>
      <w:r w:rsidRPr="00492A70">
        <w:rPr>
          <w:rFonts w:ascii="Times New Roman" w:hAnsi="Times New Roman"/>
          <w:bCs/>
          <w:noProof/>
          <w:sz w:val="24"/>
          <w:szCs w:val="24"/>
        </w:rPr>
        <w:t>met also in these cases. At present, deadlines are almost always exceeded whe</w:t>
      </w:r>
      <w:r w:rsidR="009C16A9">
        <w:rPr>
          <w:rFonts w:ascii="Times New Roman" w:hAnsi="Times New Roman"/>
          <w:bCs/>
          <w:noProof/>
          <w:sz w:val="24"/>
          <w:szCs w:val="24"/>
        </w:rPr>
        <w:t>n</w:t>
      </w:r>
      <w:r w:rsidRPr="00492A70">
        <w:rPr>
          <w:rFonts w:ascii="Times New Roman" w:hAnsi="Times New Roman"/>
          <w:bCs/>
          <w:noProof/>
          <w:sz w:val="24"/>
          <w:szCs w:val="24"/>
        </w:rPr>
        <w:t xml:space="preserve"> a judicial authorisation is required.</w:t>
      </w:r>
    </w:p>
    <w:p w14:paraId="01F1E5F7" w14:textId="77777777" w:rsidR="00C76702" w:rsidRDefault="00C76702" w:rsidP="00B53EE5">
      <w:pPr>
        <w:pStyle w:val="Body"/>
        <w:numPr>
          <w:ilvl w:val="0"/>
          <w:numId w:val="8"/>
        </w:numPr>
        <w:spacing w:after="60"/>
        <w:ind w:left="714" w:hanging="357"/>
        <w:jc w:val="both"/>
        <w:rPr>
          <w:rFonts w:ascii="Times New Roman" w:hAnsi="Times New Roman"/>
          <w:bCs/>
          <w:noProof/>
          <w:sz w:val="24"/>
          <w:szCs w:val="24"/>
        </w:rPr>
      </w:pPr>
      <w:r w:rsidRPr="00492A70">
        <w:rPr>
          <w:rFonts w:ascii="Times New Roman" w:hAnsi="Times New Roman"/>
          <w:bCs/>
          <w:noProof/>
          <w:sz w:val="24"/>
          <w:szCs w:val="24"/>
        </w:rPr>
        <w:t>The requirement for the SPOC to be, at the minimum, informed about all international law enforcement cooperation requests dealt with at national level will lead to better (statistical) information concerning the information exchanges and thus constitute an important basis for better i</w:t>
      </w:r>
      <w:r>
        <w:rPr>
          <w:rFonts w:ascii="Times New Roman" w:hAnsi="Times New Roman"/>
          <w:bCs/>
          <w:noProof/>
          <w:sz w:val="24"/>
          <w:szCs w:val="24"/>
        </w:rPr>
        <w:t xml:space="preserve">nformed future action. It will </w:t>
      </w:r>
      <w:r w:rsidRPr="00492A70">
        <w:rPr>
          <w:rFonts w:ascii="Times New Roman" w:hAnsi="Times New Roman"/>
          <w:bCs/>
          <w:noProof/>
          <w:sz w:val="24"/>
          <w:szCs w:val="24"/>
        </w:rPr>
        <w:t>also mean that the SPOC will have better possibilities to assist with information exchanges.</w:t>
      </w:r>
    </w:p>
    <w:p w14:paraId="380FD673" w14:textId="5C518CB4" w:rsidR="00C76702" w:rsidRPr="002739CB" w:rsidRDefault="00C76702" w:rsidP="00B53EE5">
      <w:pPr>
        <w:pStyle w:val="Body"/>
        <w:numPr>
          <w:ilvl w:val="0"/>
          <w:numId w:val="8"/>
        </w:numPr>
        <w:spacing w:after="60"/>
        <w:ind w:left="714" w:hanging="357"/>
        <w:jc w:val="both"/>
        <w:rPr>
          <w:rFonts w:ascii="Times New Roman" w:hAnsi="Times New Roman"/>
          <w:noProof/>
          <w:sz w:val="24"/>
        </w:rPr>
      </w:pPr>
      <w:r>
        <w:rPr>
          <w:rFonts w:ascii="Times New Roman" w:hAnsi="Times New Roman"/>
          <w:bCs/>
          <w:noProof/>
          <w:sz w:val="24"/>
          <w:szCs w:val="24"/>
        </w:rPr>
        <w:t>The requirement to set up a Case Management System (CMS) with common minimum features at SPOC and ensure its interconnection with the PCCCs</w:t>
      </w:r>
      <w:r w:rsidR="00D7101D">
        <w:rPr>
          <w:rFonts w:ascii="Times New Roman" w:hAnsi="Times New Roman"/>
          <w:bCs/>
          <w:noProof/>
          <w:sz w:val="24"/>
          <w:szCs w:val="24"/>
        </w:rPr>
        <w:t>’</w:t>
      </w:r>
      <w:r>
        <w:rPr>
          <w:rFonts w:ascii="Times New Roman" w:hAnsi="Times New Roman"/>
          <w:bCs/>
          <w:noProof/>
          <w:sz w:val="24"/>
          <w:szCs w:val="24"/>
        </w:rPr>
        <w:t xml:space="preserve"> CMSs, will significantly improve both the efficiency and effectiveness of national</w:t>
      </w:r>
      <w:r w:rsidR="00323482">
        <w:rPr>
          <w:rFonts w:ascii="Times New Roman" w:hAnsi="Times New Roman"/>
          <w:bCs/>
          <w:noProof/>
          <w:sz w:val="24"/>
          <w:szCs w:val="24"/>
        </w:rPr>
        <w:t>, regional</w:t>
      </w:r>
      <w:r>
        <w:rPr>
          <w:rFonts w:ascii="Times New Roman" w:hAnsi="Times New Roman"/>
          <w:bCs/>
          <w:noProof/>
          <w:sz w:val="24"/>
          <w:szCs w:val="24"/>
        </w:rPr>
        <w:t xml:space="preserve"> and EU level inter-agency cooperation.</w:t>
      </w:r>
    </w:p>
    <w:p w14:paraId="52A2C994" w14:textId="77777777" w:rsidR="00C76702" w:rsidRPr="00AE44F2" w:rsidRDefault="00C76702" w:rsidP="00B53EE5">
      <w:pPr>
        <w:pStyle w:val="Body"/>
        <w:numPr>
          <w:ilvl w:val="0"/>
          <w:numId w:val="8"/>
        </w:numPr>
        <w:spacing w:after="60"/>
        <w:ind w:left="714" w:hanging="357"/>
        <w:jc w:val="both"/>
        <w:rPr>
          <w:rFonts w:ascii="Times New Roman" w:hAnsi="Times New Roman"/>
          <w:bCs/>
          <w:noProof/>
          <w:sz w:val="24"/>
          <w:szCs w:val="24"/>
        </w:rPr>
      </w:pPr>
      <w:r w:rsidRPr="002739CB">
        <w:rPr>
          <w:rFonts w:ascii="Times New Roman" w:hAnsi="Times New Roman"/>
          <w:noProof/>
          <w:sz w:val="24"/>
        </w:rPr>
        <w:t xml:space="preserve">The establishment of </w:t>
      </w:r>
      <w:r w:rsidR="00515FB3">
        <w:rPr>
          <w:rFonts w:ascii="Times New Roman" w:hAnsi="Times New Roman"/>
          <w:noProof/>
          <w:sz w:val="24"/>
        </w:rPr>
        <w:t xml:space="preserve">Europol </w:t>
      </w:r>
      <w:r w:rsidRPr="002739CB">
        <w:rPr>
          <w:rFonts w:ascii="Times New Roman" w:hAnsi="Times New Roman"/>
          <w:noProof/>
          <w:sz w:val="24"/>
        </w:rPr>
        <w:t>SIENA as the default (rather than the preferred) channel of com</w:t>
      </w:r>
      <w:r>
        <w:rPr>
          <w:rFonts w:ascii="Times New Roman" w:hAnsi="Times New Roman"/>
          <w:noProof/>
          <w:sz w:val="24"/>
        </w:rPr>
        <w:t xml:space="preserve">munication </w:t>
      </w:r>
      <w:r>
        <w:rPr>
          <w:rFonts w:ascii="Times New Roman" w:hAnsi="Times New Roman"/>
          <w:noProof/>
          <w:sz w:val="24"/>
          <w:szCs w:val="24"/>
        </w:rPr>
        <w:t>will</w:t>
      </w:r>
      <w:r w:rsidRPr="00AE44F2">
        <w:rPr>
          <w:rFonts w:ascii="Times New Roman" w:hAnsi="Times New Roman"/>
          <w:noProof/>
          <w:sz w:val="24"/>
          <w:szCs w:val="24"/>
        </w:rPr>
        <w:t xml:space="preserve"> add to the streamlining of law enforcement information exchange</w:t>
      </w:r>
      <w:r w:rsidR="00323482">
        <w:rPr>
          <w:rFonts w:ascii="Times New Roman" w:hAnsi="Times New Roman"/>
          <w:noProof/>
          <w:sz w:val="24"/>
          <w:szCs w:val="24"/>
        </w:rPr>
        <w:t>.</w:t>
      </w:r>
    </w:p>
    <w:p w14:paraId="4A1C0E67" w14:textId="77777777" w:rsidR="00C76702" w:rsidRDefault="00C76702" w:rsidP="00952D65">
      <w:pPr>
        <w:pStyle w:val="Body"/>
        <w:numPr>
          <w:ilvl w:val="0"/>
          <w:numId w:val="8"/>
        </w:numPr>
        <w:spacing w:after="120"/>
        <w:ind w:left="714" w:hanging="357"/>
        <w:jc w:val="both"/>
        <w:rPr>
          <w:rFonts w:ascii="Times New Roman" w:hAnsi="Times New Roman"/>
          <w:bCs/>
          <w:noProof/>
          <w:sz w:val="24"/>
        </w:rPr>
      </w:pPr>
      <w:r w:rsidRPr="00447610">
        <w:rPr>
          <w:rFonts w:ascii="Times New Roman" w:hAnsi="Times New Roman"/>
          <w:bCs/>
          <w:noProof/>
          <w:sz w:val="24"/>
        </w:rPr>
        <w:t>A key enabler to achieve the specific objectives is the establishment of appropriate training and financial support.</w:t>
      </w:r>
    </w:p>
    <w:p w14:paraId="10D3D8C2" w14:textId="477523E8" w:rsidR="00A34E4C" w:rsidRDefault="00B47345" w:rsidP="00A34E4C">
      <w:pPr>
        <w:pStyle w:val="Body"/>
        <w:spacing w:after="120"/>
        <w:jc w:val="both"/>
        <w:rPr>
          <w:rFonts w:ascii="Times New Roman" w:hAnsi="Times New Roman"/>
          <w:noProof/>
          <w:sz w:val="24"/>
          <w:szCs w:val="24"/>
        </w:rPr>
      </w:pPr>
      <w:r>
        <w:rPr>
          <w:rFonts w:ascii="Times New Roman" w:hAnsi="Times New Roman"/>
          <w:noProof/>
          <w:sz w:val="24"/>
          <w:szCs w:val="24"/>
        </w:rPr>
        <w:t>T</w:t>
      </w:r>
      <w:r w:rsidRPr="00212DDD">
        <w:rPr>
          <w:rFonts w:ascii="Times New Roman" w:hAnsi="Times New Roman"/>
          <w:noProof/>
          <w:sz w:val="24"/>
          <w:szCs w:val="24"/>
        </w:rPr>
        <w:t>he consultation process reveal</w:t>
      </w:r>
      <w:r>
        <w:rPr>
          <w:rFonts w:ascii="Times New Roman" w:hAnsi="Times New Roman"/>
          <w:noProof/>
          <w:sz w:val="24"/>
          <w:szCs w:val="24"/>
        </w:rPr>
        <w:t>ed</w:t>
      </w:r>
      <w:r w:rsidRPr="00212DDD">
        <w:rPr>
          <w:rFonts w:ascii="Times New Roman" w:hAnsi="Times New Roman"/>
          <w:noProof/>
          <w:sz w:val="24"/>
          <w:szCs w:val="24"/>
        </w:rPr>
        <w:t xml:space="preserve"> some political red lines</w:t>
      </w:r>
      <w:r>
        <w:rPr>
          <w:rFonts w:ascii="Times New Roman" w:hAnsi="Times New Roman"/>
          <w:noProof/>
          <w:sz w:val="24"/>
          <w:szCs w:val="24"/>
        </w:rPr>
        <w:t xml:space="preserve"> for Member States</w:t>
      </w:r>
      <w:r w:rsidRPr="00212DDD">
        <w:rPr>
          <w:rFonts w:ascii="Times New Roman" w:hAnsi="Times New Roman"/>
          <w:noProof/>
          <w:sz w:val="24"/>
          <w:szCs w:val="24"/>
        </w:rPr>
        <w:t>. If the preferred options took note of them, the main reason for excluding a full harmonisation of the functioning of the SPOC by means of a Regulation stems, first and foremost, from the wide divergence of practices, legal traditions and existing set up in place at national level. The policy options</w:t>
      </w:r>
      <w:r>
        <w:rPr>
          <w:rFonts w:ascii="Times New Roman" w:hAnsi="Times New Roman"/>
          <w:noProof/>
          <w:sz w:val="24"/>
          <w:szCs w:val="24"/>
        </w:rPr>
        <w:t xml:space="preserve"> would have therefore remained the same </w:t>
      </w:r>
      <w:r w:rsidRPr="00212DDD">
        <w:rPr>
          <w:rFonts w:ascii="Times New Roman" w:hAnsi="Times New Roman"/>
          <w:noProof/>
          <w:sz w:val="24"/>
          <w:szCs w:val="24"/>
        </w:rPr>
        <w:t xml:space="preserve">irrespective of their </w:t>
      </w:r>
      <w:r w:rsidRPr="00B47345">
        <w:rPr>
          <w:rFonts w:ascii="Times New Roman" w:hAnsi="Times New Roman"/>
          <w:b/>
          <w:noProof/>
          <w:sz w:val="24"/>
          <w:szCs w:val="24"/>
        </w:rPr>
        <w:t>political feasibility</w:t>
      </w:r>
      <w:r>
        <w:rPr>
          <w:rFonts w:ascii="Times New Roman" w:hAnsi="Times New Roman"/>
          <w:noProof/>
          <w:sz w:val="24"/>
          <w:szCs w:val="24"/>
        </w:rPr>
        <w:t>.</w:t>
      </w:r>
      <w:r w:rsidR="00A34E4C">
        <w:rPr>
          <w:rFonts w:ascii="Times New Roman" w:hAnsi="Times New Roman"/>
          <w:noProof/>
          <w:sz w:val="24"/>
          <w:szCs w:val="24"/>
        </w:rPr>
        <w:t xml:space="preserve"> </w:t>
      </w:r>
    </w:p>
    <w:p w14:paraId="2A2F4CF1" w14:textId="3D350A4C" w:rsidR="00A34E4C" w:rsidRPr="00B47345" w:rsidRDefault="00A34E4C" w:rsidP="00A34E4C">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Ensuring the harmonisation of </w:t>
      </w:r>
      <w:r w:rsidR="00A50E43">
        <w:rPr>
          <w:rFonts w:ascii="Times New Roman" w:hAnsi="Times New Roman"/>
          <w:noProof/>
          <w:sz w:val="24"/>
          <w:szCs w:val="24"/>
        </w:rPr>
        <w:t xml:space="preserve">rules (Regulation) through a detailed check list of necessary features </w:t>
      </w:r>
      <w:r>
        <w:rPr>
          <w:rFonts w:ascii="Times New Roman" w:hAnsi="Times New Roman"/>
          <w:noProof/>
          <w:sz w:val="24"/>
          <w:szCs w:val="24"/>
        </w:rPr>
        <w:t>(option 2.3) on issues not covered by EU provisions so far will not be supported by Member States given their far-reaching structural and financial implications. Such harmonisation may also be considered going beyond would be strictly necessary to achieve the main goal of this initiative</w:t>
      </w:r>
      <w:r w:rsidR="003C0CFA">
        <w:rPr>
          <w:rFonts w:ascii="Times New Roman" w:hAnsi="Times New Roman"/>
          <w:noProof/>
          <w:sz w:val="24"/>
          <w:szCs w:val="24"/>
        </w:rPr>
        <w:t>. It would thus not pass the p</w:t>
      </w:r>
      <w:r>
        <w:rPr>
          <w:rFonts w:ascii="Times New Roman" w:hAnsi="Times New Roman"/>
          <w:noProof/>
          <w:sz w:val="24"/>
          <w:szCs w:val="24"/>
        </w:rPr>
        <w:t xml:space="preserve">roportionality, </w:t>
      </w:r>
      <w:r w:rsidR="003C0CFA">
        <w:rPr>
          <w:rFonts w:ascii="Times New Roman" w:hAnsi="Times New Roman"/>
          <w:noProof/>
          <w:sz w:val="24"/>
          <w:szCs w:val="24"/>
        </w:rPr>
        <w:t xml:space="preserve">necessity and </w:t>
      </w:r>
      <w:r>
        <w:rPr>
          <w:rFonts w:ascii="Times New Roman" w:hAnsi="Times New Roman"/>
          <w:noProof/>
          <w:sz w:val="24"/>
          <w:szCs w:val="24"/>
        </w:rPr>
        <w:t xml:space="preserve">subsidiarity </w:t>
      </w:r>
      <w:r w:rsidR="003C0CFA">
        <w:rPr>
          <w:rFonts w:ascii="Times New Roman" w:hAnsi="Times New Roman"/>
          <w:noProof/>
          <w:sz w:val="24"/>
          <w:szCs w:val="24"/>
        </w:rPr>
        <w:t>tests.</w:t>
      </w:r>
    </w:p>
    <w:p w14:paraId="316164E1" w14:textId="77777777" w:rsidR="00A249EF" w:rsidRPr="00A249EF" w:rsidRDefault="00952D65" w:rsidP="00B47345">
      <w:pPr>
        <w:widowControl w:val="0"/>
        <w:adjustRightInd w:val="0"/>
        <w:spacing w:before="60" w:after="60" w:line="240" w:lineRule="auto"/>
        <w:jc w:val="both"/>
        <w:textAlignment w:val="baseline"/>
        <w:rPr>
          <w:rFonts w:ascii="Times New Roman" w:hAnsi="Times New Roman" w:cs="Times New Roman"/>
          <w:noProof/>
          <w:sz w:val="24"/>
          <w:szCs w:val="24"/>
        </w:rPr>
      </w:pPr>
      <w:r w:rsidRPr="00A249EF">
        <w:rPr>
          <w:rFonts w:ascii="Times New Roman" w:hAnsi="Times New Roman" w:cs="Times New Roman"/>
          <w:noProof/>
          <w:sz w:val="24"/>
          <w:szCs w:val="24"/>
          <w:lang w:val="en-GB"/>
        </w:rPr>
        <w:t xml:space="preserve">Even though the </w:t>
      </w:r>
      <w:r w:rsidRPr="00B47345">
        <w:rPr>
          <w:rFonts w:ascii="Times New Roman" w:hAnsi="Times New Roman" w:cs="Times New Roman"/>
          <w:noProof/>
          <w:sz w:val="24"/>
          <w:szCs w:val="24"/>
          <w:lang w:val="en-GB"/>
        </w:rPr>
        <w:t>political feasibility</w:t>
      </w:r>
      <w:r w:rsidRPr="00A249EF">
        <w:rPr>
          <w:rFonts w:ascii="Times New Roman" w:hAnsi="Times New Roman" w:cs="Times New Roman"/>
          <w:noProof/>
          <w:sz w:val="24"/>
          <w:szCs w:val="24"/>
          <w:lang w:val="en-GB"/>
        </w:rPr>
        <w:t xml:space="preserve"> of new measures in the area of law enforcement cooperation is generally challenging, the preferred policy responds to calls for actions from the co-legislators</w:t>
      </w:r>
      <w:r w:rsidR="00A249EF" w:rsidRPr="00A249EF">
        <w:rPr>
          <w:rFonts w:ascii="Times New Roman" w:hAnsi="Times New Roman" w:cs="Times New Roman"/>
          <w:noProof/>
          <w:sz w:val="24"/>
          <w:szCs w:val="24"/>
          <w:lang w:val="en-GB"/>
        </w:rPr>
        <w:t>.</w:t>
      </w:r>
      <w:r w:rsidR="00A249EF" w:rsidRPr="00A249EF">
        <w:rPr>
          <w:rFonts w:ascii="Times New Roman" w:hAnsi="Times New Roman" w:cs="Times New Roman"/>
          <w:noProof/>
          <w:sz w:val="32"/>
          <w:szCs w:val="24"/>
          <w:lang w:val="en-GB"/>
        </w:rPr>
        <w:t xml:space="preserve"> </w:t>
      </w:r>
      <w:r w:rsidR="00A249EF" w:rsidRPr="00A249EF">
        <w:rPr>
          <w:rFonts w:ascii="Times New Roman" w:hAnsi="Times New Roman" w:cs="Times New Roman"/>
          <w:noProof/>
          <w:sz w:val="24"/>
          <w:szCs w:val="24"/>
          <w:lang w:val="en-GB"/>
        </w:rPr>
        <w:t xml:space="preserve">It will notably </w:t>
      </w:r>
      <w:r w:rsidR="00A249EF" w:rsidRPr="00A249EF">
        <w:rPr>
          <w:rFonts w:ascii="Times New Roman" w:hAnsi="Times New Roman" w:cs="Times New Roman"/>
          <w:noProof/>
          <w:sz w:val="24"/>
          <w:szCs w:val="24"/>
        </w:rPr>
        <w:t>meet the objectives of the Council Conclusions of November 2020</w:t>
      </w:r>
      <w:r w:rsidR="006938E6">
        <w:rPr>
          <w:rStyle w:val="FootnoteReference"/>
          <w:rFonts w:ascii="Times New Roman" w:hAnsi="Times New Roman" w:cs="Times New Roman"/>
          <w:noProof/>
          <w:sz w:val="24"/>
          <w:szCs w:val="24"/>
        </w:rPr>
        <w:footnoteReference w:id="110"/>
      </w:r>
      <w:r w:rsidR="00A249EF" w:rsidRPr="00A249EF">
        <w:rPr>
          <w:rFonts w:ascii="Times New Roman" w:hAnsi="Times New Roman" w:cs="Times New Roman"/>
          <w:noProof/>
          <w:sz w:val="24"/>
          <w:szCs w:val="24"/>
        </w:rPr>
        <w:t xml:space="preserve"> calling on:</w:t>
      </w:r>
    </w:p>
    <w:p w14:paraId="297B177F" w14:textId="77777777" w:rsidR="00A249EF" w:rsidRPr="00A249EF" w:rsidRDefault="00A249EF" w:rsidP="00900BC7">
      <w:pPr>
        <w:pStyle w:val="ListParagraph"/>
        <w:widowControl w:val="0"/>
        <w:numPr>
          <w:ilvl w:val="0"/>
          <w:numId w:val="142"/>
        </w:numPr>
        <w:adjustRightInd w:val="0"/>
        <w:spacing w:before="60" w:after="60" w:line="240" w:lineRule="auto"/>
        <w:contextualSpacing w:val="0"/>
        <w:jc w:val="both"/>
        <w:textAlignment w:val="baseline"/>
        <w:rPr>
          <w:rFonts w:ascii="Times New Roman" w:hAnsi="Times New Roman" w:cs="Times New Roman"/>
          <w:noProof/>
          <w:sz w:val="24"/>
          <w:szCs w:val="24"/>
        </w:rPr>
      </w:pPr>
      <w:r w:rsidRPr="00A249EF">
        <w:rPr>
          <w:rFonts w:ascii="Times New Roman" w:hAnsi="Times New Roman" w:cs="Times New Roman"/>
          <w:noProof/>
          <w:sz w:val="24"/>
          <w:szCs w:val="24"/>
        </w:rPr>
        <w:t>the Member States to: "</w:t>
      </w:r>
      <w:r w:rsidRPr="00A249EF">
        <w:rPr>
          <w:rFonts w:ascii="Times New Roman" w:hAnsi="Times New Roman" w:cs="Times New Roman"/>
          <w:i/>
          <w:noProof/>
          <w:sz w:val="24"/>
          <w:szCs w:val="24"/>
        </w:rPr>
        <w:t>take all necessary steps to further strengthen operational cross-border law enforcement cooperation by effectively implementing existing instruments and, where appropriate and necessary, by consolidating, simplifying and extending the legal foundations [and] swiftly improve means for regular or ad hoc exchange of information</w:t>
      </w:r>
      <w:r w:rsidRPr="00A249EF">
        <w:rPr>
          <w:rFonts w:ascii="Times New Roman" w:hAnsi="Times New Roman" w:cs="Times New Roman"/>
          <w:noProof/>
          <w:sz w:val="24"/>
          <w:szCs w:val="24"/>
        </w:rPr>
        <w:t>".</w:t>
      </w:r>
    </w:p>
    <w:p w14:paraId="72412718" w14:textId="1C81C559" w:rsidR="00A249EF" w:rsidRDefault="00A249EF" w:rsidP="00900BC7">
      <w:pPr>
        <w:pStyle w:val="ListParagraph"/>
        <w:widowControl w:val="0"/>
        <w:numPr>
          <w:ilvl w:val="0"/>
          <w:numId w:val="142"/>
        </w:numPr>
        <w:adjustRightInd w:val="0"/>
        <w:spacing w:before="60" w:after="60" w:line="240" w:lineRule="auto"/>
        <w:contextualSpacing w:val="0"/>
        <w:jc w:val="both"/>
        <w:textAlignment w:val="baseline"/>
        <w:rPr>
          <w:rFonts w:ascii="Times New Roman" w:hAnsi="Times New Roman" w:cs="Times New Roman"/>
          <w:noProof/>
          <w:sz w:val="24"/>
          <w:szCs w:val="24"/>
        </w:rPr>
      </w:pPr>
      <w:r w:rsidRPr="00A249EF">
        <w:rPr>
          <w:rFonts w:ascii="Times New Roman" w:hAnsi="Times New Roman" w:cs="Times New Roman"/>
          <w:noProof/>
          <w:sz w:val="24"/>
          <w:szCs w:val="24"/>
        </w:rPr>
        <w:t>The Commission to support: "</w:t>
      </w:r>
      <w:r w:rsidRPr="00A249EF">
        <w:rPr>
          <w:rFonts w:ascii="Times New Roman" w:hAnsi="Times New Roman" w:cs="Times New Roman"/>
          <w:i/>
          <w:noProof/>
          <w:sz w:val="24"/>
          <w:szCs w:val="24"/>
        </w:rPr>
        <w:t>the development of smooth and swift information exchange, further development of relevant structures and platforms; to consider consolidating the EU legal framework to further strengthen cross-border law enforcement cooperation</w:t>
      </w:r>
      <w:r w:rsidRPr="00A249EF">
        <w:rPr>
          <w:rFonts w:ascii="Times New Roman" w:hAnsi="Times New Roman" w:cs="Times New Roman"/>
          <w:noProof/>
          <w:sz w:val="24"/>
          <w:szCs w:val="24"/>
        </w:rPr>
        <w:t>" [and]</w:t>
      </w:r>
    </w:p>
    <w:p w14:paraId="397CA573" w14:textId="1EFF9A8C" w:rsidR="00BC1843" w:rsidRPr="00BC1843" w:rsidRDefault="00BC1843" w:rsidP="00BC1843">
      <w:pPr>
        <w:pStyle w:val="ListParagraph"/>
        <w:widowControl w:val="0"/>
        <w:numPr>
          <w:ilvl w:val="0"/>
          <w:numId w:val="142"/>
        </w:numPr>
        <w:adjustRightInd w:val="0"/>
        <w:spacing w:before="60" w:after="120" w:line="240" w:lineRule="auto"/>
        <w:ind w:left="714" w:hanging="357"/>
        <w:contextualSpacing w:val="0"/>
        <w:jc w:val="both"/>
        <w:textAlignment w:val="baseline"/>
        <w:rPr>
          <w:rFonts w:ascii="Times New Roman" w:hAnsi="Times New Roman" w:cs="Times New Roman"/>
          <w:noProof/>
          <w:sz w:val="32"/>
          <w:szCs w:val="24"/>
        </w:rPr>
      </w:pPr>
      <w:r w:rsidRPr="00BC1843">
        <w:rPr>
          <w:rFonts w:ascii="Times New Roman" w:hAnsi="Times New Roman" w:cs="Times New Roman"/>
          <w:noProof/>
          <w:sz w:val="24"/>
        </w:rPr>
        <w:t>"</w:t>
      </w:r>
      <w:r w:rsidRPr="00BC1843">
        <w:rPr>
          <w:rFonts w:ascii="Times New Roman" w:hAnsi="Times New Roman" w:cs="Times New Roman"/>
          <w:i/>
          <w:noProof/>
          <w:sz w:val="24"/>
        </w:rPr>
        <w:t>to duly take into account – when assessing options for a proposal for a European Police Cooperation Code and while upholding the principle of national sovereignty, the existing standards for the protection of fundamental rights, existing legal systems in Member States and the decisive role of the host state – the value and success of local, regional, bi- and multilateral law enforcement cooperation between Member States".</w:t>
      </w:r>
    </w:p>
    <w:p w14:paraId="4F6F1E68" w14:textId="398523E3" w:rsidR="002A7A17" w:rsidRPr="00BC1843" w:rsidRDefault="00BC1843" w:rsidP="00BC1843">
      <w:pPr>
        <w:pStyle w:val="ListParagraph"/>
        <w:spacing w:before="120" w:after="120" w:line="240" w:lineRule="auto"/>
        <w:contextualSpacing w:val="0"/>
        <w:jc w:val="center"/>
        <w:rPr>
          <w:rFonts w:ascii="Verdana" w:hAnsi="Verdana"/>
          <w:b/>
          <w:noProof/>
          <w:sz w:val="18"/>
          <w:szCs w:val="16"/>
          <w:lang w:val="en-GB"/>
        </w:rPr>
      </w:pPr>
      <w:r w:rsidRPr="00BC1843" w:rsidDel="00BC1843">
        <w:rPr>
          <w:rFonts w:cs="Times New Roman"/>
          <w:i/>
          <w:noProof/>
        </w:rPr>
        <w:t xml:space="preserve">  </w:t>
      </w:r>
      <w:r w:rsidR="002A7A17" w:rsidRPr="00BC1843">
        <w:rPr>
          <w:rFonts w:ascii="Verdana" w:hAnsi="Verdana"/>
          <w:b/>
          <w:noProof/>
          <w:sz w:val="18"/>
          <w:szCs w:val="16"/>
          <w:lang w:val="en-GB"/>
        </w:rPr>
        <w:t>Stakeholders' high-level support for the policy options</w:t>
      </w:r>
    </w:p>
    <w:tbl>
      <w:tblPr>
        <w:tblW w:w="10705" w:type="dxa"/>
        <w:tblInd w:w="-431" w:type="dxa"/>
        <w:tblLook w:val="04A0" w:firstRow="1" w:lastRow="0" w:firstColumn="1" w:lastColumn="0" w:noHBand="0" w:noVBand="1"/>
      </w:tblPr>
      <w:tblGrid>
        <w:gridCol w:w="4491"/>
        <w:gridCol w:w="1346"/>
        <w:gridCol w:w="1005"/>
        <w:gridCol w:w="914"/>
        <w:gridCol w:w="959"/>
        <w:gridCol w:w="1066"/>
        <w:gridCol w:w="932"/>
      </w:tblGrid>
      <w:tr w:rsidR="002A7A17" w:rsidRPr="00AC24E2" w14:paraId="31EAAC48" w14:textId="77777777" w:rsidTr="00704502">
        <w:trPr>
          <w:trHeight w:val="62"/>
          <w:tblHeader/>
        </w:trPr>
        <w:tc>
          <w:tcPr>
            <w:tcW w:w="4491" w:type="dxa"/>
            <w:vMerge w:val="restart"/>
            <w:tcBorders>
              <w:top w:val="single" w:sz="4" w:space="0" w:color="auto"/>
              <w:left w:val="single" w:sz="4" w:space="0" w:color="auto"/>
              <w:right w:val="single" w:sz="4" w:space="0" w:color="FFFFFF" w:themeColor="background1"/>
            </w:tcBorders>
            <w:shd w:val="clear" w:color="000000" w:fill="000000"/>
            <w:noWrap/>
            <w:vAlign w:val="center"/>
            <w:hideMark/>
          </w:tcPr>
          <w:p w14:paraId="74EE6C05" w14:textId="77777777" w:rsidR="002A7A17" w:rsidRPr="00AC24E2" w:rsidRDefault="002A7A17" w:rsidP="00704502">
            <w:pPr>
              <w:spacing w:before="40" w:after="40" w:line="240" w:lineRule="auto"/>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Stakeholders in the Member States</w:t>
            </w:r>
          </w:p>
        </w:tc>
        <w:tc>
          <w:tcPr>
            <w:tcW w:w="5280"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00000"/>
            <w:noWrap/>
            <w:vAlign w:val="center"/>
            <w:hideMark/>
          </w:tcPr>
          <w:p w14:paraId="79B2FFC3" w14:textId="77777777" w:rsidR="002A7A17" w:rsidRPr="00AC24E2" w:rsidRDefault="002A7A17" w:rsidP="00704502">
            <w:pPr>
              <w:spacing w:before="40" w:after="40" w:line="240" w:lineRule="auto"/>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Public authorities</w:t>
            </w:r>
          </w:p>
        </w:tc>
        <w:tc>
          <w:tcPr>
            <w:tcW w:w="932" w:type="dxa"/>
            <w:vMerge w:val="restart"/>
            <w:tcBorders>
              <w:top w:val="single" w:sz="4" w:space="0" w:color="auto"/>
              <w:left w:val="single" w:sz="4" w:space="0" w:color="FFFFFF" w:themeColor="background1"/>
              <w:right w:val="single" w:sz="4" w:space="0" w:color="auto"/>
            </w:tcBorders>
            <w:shd w:val="clear" w:color="000000" w:fill="000000"/>
            <w:noWrap/>
            <w:vAlign w:val="center"/>
            <w:hideMark/>
          </w:tcPr>
          <w:p w14:paraId="630AD718" w14:textId="77777777" w:rsidR="002A7A17" w:rsidRPr="00AC24E2" w:rsidRDefault="002A7A17" w:rsidP="00704502">
            <w:pPr>
              <w:spacing w:before="40" w:after="40" w:line="240" w:lineRule="auto"/>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NGOs &amp; civil society</w:t>
            </w:r>
          </w:p>
        </w:tc>
      </w:tr>
      <w:tr w:rsidR="002A7A17" w:rsidRPr="00AC24E2" w14:paraId="3D45CA8A" w14:textId="77777777" w:rsidTr="00704502">
        <w:trPr>
          <w:trHeight w:val="62"/>
          <w:tblHeader/>
        </w:trPr>
        <w:tc>
          <w:tcPr>
            <w:tcW w:w="4491" w:type="dxa"/>
            <w:vMerge/>
            <w:tcBorders>
              <w:left w:val="single" w:sz="4" w:space="0" w:color="auto"/>
              <w:bottom w:val="single" w:sz="4" w:space="0" w:color="000000"/>
              <w:right w:val="single" w:sz="4" w:space="0" w:color="FFFFFF" w:themeColor="background1"/>
            </w:tcBorders>
            <w:vAlign w:val="center"/>
            <w:hideMark/>
          </w:tcPr>
          <w:p w14:paraId="12E0039A"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p>
        </w:tc>
        <w:tc>
          <w:tcPr>
            <w:tcW w:w="3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noWrap/>
            <w:vAlign w:val="center"/>
            <w:hideMark/>
          </w:tcPr>
          <w:p w14:paraId="36F6DC53" w14:textId="77777777" w:rsidR="002A7A17" w:rsidRPr="00AC24E2" w:rsidRDefault="002A7A17" w:rsidP="00704502">
            <w:pPr>
              <w:spacing w:before="40" w:after="40" w:line="240" w:lineRule="auto"/>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Law Enforcement Authorities</w:t>
            </w:r>
          </w:p>
        </w:tc>
        <w:tc>
          <w:tcPr>
            <w:tcW w:w="94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76F2A87"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Judicial Authorit</w:t>
            </w:r>
          </w:p>
        </w:tc>
        <w:tc>
          <w:tcPr>
            <w:tcW w:w="1066"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EBF56BC" w14:textId="77777777" w:rsidR="002A7A17" w:rsidRPr="00AC24E2" w:rsidRDefault="002A7A17" w:rsidP="00704502">
            <w:pPr>
              <w:spacing w:before="40" w:after="40" w:line="240" w:lineRule="auto"/>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Data Protect. Authorit</w:t>
            </w:r>
          </w:p>
        </w:tc>
        <w:tc>
          <w:tcPr>
            <w:tcW w:w="932" w:type="dxa"/>
            <w:vMerge/>
            <w:tcBorders>
              <w:left w:val="single" w:sz="4" w:space="0" w:color="FFFFFF" w:themeColor="background1"/>
              <w:right w:val="single" w:sz="4" w:space="0" w:color="auto"/>
            </w:tcBorders>
            <w:shd w:val="clear" w:color="auto" w:fill="000000" w:themeFill="text1"/>
            <w:vAlign w:val="center"/>
            <w:hideMark/>
          </w:tcPr>
          <w:p w14:paraId="4D6F2E08"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p>
        </w:tc>
      </w:tr>
      <w:tr w:rsidR="002A7A17" w:rsidRPr="00AC24E2" w14:paraId="0E5FC186" w14:textId="77777777" w:rsidTr="00704502">
        <w:trPr>
          <w:trHeight w:val="62"/>
          <w:tblHeader/>
        </w:trPr>
        <w:tc>
          <w:tcPr>
            <w:tcW w:w="449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000000" w:fill="000000"/>
            <w:noWrap/>
            <w:vAlign w:val="center"/>
            <w:hideMark/>
          </w:tcPr>
          <w:p w14:paraId="3977DD9C"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Topics</w:t>
            </w:r>
          </w:p>
        </w:tc>
        <w:tc>
          <w:tcPr>
            <w:tcW w:w="1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noWrap/>
            <w:vAlign w:val="center"/>
            <w:hideMark/>
          </w:tcPr>
          <w:p w14:paraId="467D7C78" w14:textId="77777777" w:rsidR="002A7A17" w:rsidRPr="00AC24E2" w:rsidRDefault="002A7A17" w:rsidP="00704502">
            <w:pPr>
              <w:spacing w:before="40" w:after="40" w:line="240" w:lineRule="auto"/>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SPOCs</w:t>
            </w:r>
          </w:p>
        </w:tc>
        <w:tc>
          <w:tcPr>
            <w:tcW w:w="1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14:paraId="571CD66B" w14:textId="77777777" w:rsidR="002A7A17" w:rsidRPr="00AC24E2" w:rsidRDefault="002A7A17" w:rsidP="00704502">
            <w:pPr>
              <w:spacing w:before="40" w:after="40" w:line="240" w:lineRule="auto"/>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PCCCs</w:t>
            </w:r>
          </w:p>
        </w:tc>
        <w:tc>
          <w:tcPr>
            <w:tcW w:w="9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14:paraId="085AA403" w14:textId="77777777" w:rsidR="002A7A17" w:rsidRPr="00AC24E2" w:rsidRDefault="002A7A17" w:rsidP="00704502">
            <w:pPr>
              <w:spacing w:before="40" w:after="40" w:line="240" w:lineRule="auto"/>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Other</w:t>
            </w:r>
          </w:p>
        </w:tc>
        <w:tc>
          <w:tcPr>
            <w:tcW w:w="949" w:type="dxa"/>
            <w:vMerge/>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14:paraId="1852B21A"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p>
        </w:tc>
        <w:tc>
          <w:tcPr>
            <w:tcW w:w="1066" w:type="dxa"/>
            <w:vMerge/>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14:paraId="37874CF6"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p>
        </w:tc>
        <w:tc>
          <w:tcPr>
            <w:tcW w:w="932" w:type="dxa"/>
            <w:vMerge/>
            <w:tcBorders>
              <w:left w:val="single" w:sz="4" w:space="0" w:color="FFFFFF" w:themeColor="background1"/>
              <w:bottom w:val="single" w:sz="4" w:space="0" w:color="FFFFFF" w:themeColor="background1"/>
              <w:right w:val="single" w:sz="4" w:space="0" w:color="auto"/>
            </w:tcBorders>
            <w:shd w:val="clear" w:color="auto" w:fill="000000" w:themeFill="text1"/>
            <w:vAlign w:val="center"/>
            <w:hideMark/>
          </w:tcPr>
          <w:p w14:paraId="5CA05813"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p>
        </w:tc>
      </w:tr>
      <w:tr w:rsidR="002A7A17" w:rsidRPr="00AC24E2" w14:paraId="4D5FA0D1" w14:textId="77777777" w:rsidTr="00704502">
        <w:trPr>
          <w:trHeight w:val="62"/>
        </w:trPr>
        <w:tc>
          <w:tcPr>
            <w:tcW w:w="10705" w:type="dxa"/>
            <w:gridSpan w:val="7"/>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A8FE562"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Overarching topics</w:t>
            </w:r>
          </w:p>
        </w:tc>
      </w:tr>
      <w:tr w:rsidR="002A7A17" w:rsidRPr="00AC24E2" w14:paraId="50BF3E94"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A93EF3"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Access to and exchange of information</w:t>
            </w:r>
          </w:p>
        </w:tc>
        <w:tc>
          <w:tcPr>
            <w:tcW w:w="1346"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3FE0E5FD"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1E40276"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133F43C2"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7D17299D"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7CA45874"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47E2540C"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03F1D82E" w14:textId="77777777" w:rsidTr="00704502">
        <w:trPr>
          <w:trHeight w:val="62"/>
        </w:trPr>
        <w:tc>
          <w:tcPr>
            <w:tcW w:w="10705" w:type="dxa"/>
            <w:gridSpan w:val="7"/>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3D09506" w14:textId="77777777" w:rsidR="002A7A17" w:rsidRPr="00AC24E2" w:rsidRDefault="002A7A17" w:rsidP="00704502">
            <w:pPr>
              <w:spacing w:before="40" w:after="40" w:line="240" w:lineRule="auto"/>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Specific topics</w:t>
            </w:r>
          </w:p>
        </w:tc>
      </w:tr>
      <w:tr w:rsidR="002A7A17" w:rsidRPr="00AC24E2" w14:paraId="29251BB4" w14:textId="77777777" w:rsidTr="00704502">
        <w:trPr>
          <w:trHeight w:val="62"/>
        </w:trPr>
        <w:tc>
          <w:tcPr>
            <w:tcW w:w="10705"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FFF1DBF" w14:textId="77777777" w:rsidR="002A7A17" w:rsidRPr="00AC24E2" w:rsidRDefault="002A7A17" w:rsidP="00704502">
            <w:pPr>
              <w:spacing w:before="40" w:after="40" w:line="240" w:lineRule="auto"/>
              <w:rPr>
                <w:rFonts w:ascii="Verdana" w:hAnsi="Verdana" w:cs="Calibri"/>
                <w:b/>
                <w:bCs/>
                <w:noProof/>
                <w:color w:val="000000"/>
                <w:sz w:val="16"/>
                <w:szCs w:val="16"/>
                <w:lang w:val="en-GB" w:eastAsia="en-GB"/>
              </w:rPr>
            </w:pPr>
            <w:r w:rsidRPr="00AC24E2">
              <w:rPr>
                <w:rFonts w:ascii="Verdana" w:hAnsi="Verdana" w:cs="Calibri"/>
                <w:b/>
                <w:bCs/>
                <w:noProof/>
                <w:color w:val="000000"/>
                <w:sz w:val="16"/>
                <w:szCs w:val="16"/>
                <w:lang w:val="en-GB" w:eastAsia="en-GB"/>
              </w:rPr>
              <w:t>Legislative improvements</w:t>
            </w:r>
          </w:p>
        </w:tc>
      </w:tr>
      <w:tr w:rsidR="002A7A17" w:rsidRPr="00AC24E2" w14:paraId="7ACCFB15"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FA490D9"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Provision of clarifications</w:t>
            </w:r>
          </w:p>
        </w:tc>
        <w:tc>
          <w:tcPr>
            <w:tcW w:w="1346"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3755A11C"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6B128590"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409ACFB6"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0E1F5043"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256D754"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88FAC2D"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204100A5"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4C9526F"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Introduction of new requirements</w:t>
            </w:r>
          </w:p>
        </w:tc>
        <w:tc>
          <w:tcPr>
            <w:tcW w:w="134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5A6C4543"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06AA0C7C"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44ADAF2A"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625A7FC"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7DAA648E"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0CE09F03"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56897CFE"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C28983"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Streamlining of existing requirements</w:t>
            </w:r>
          </w:p>
        </w:tc>
        <w:tc>
          <w:tcPr>
            <w:tcW w:w="1346"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5A22630B"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743E91F5"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1F72529A"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7FD79550"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0C88272F"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5E53F922"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50C0D9D0"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38D0ED6"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Alignment of different legal instruments</w:t>
            </w:r>
          </w:p>
        </w:tc>
        <w:tc>
          <w:tcPr>
            <w:tcW w:w="134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057F1D89"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89CB28F"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E7B1515"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42E4874B"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542718B8"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7AEC27D4"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3434D389" w14:textId="77777777" w:rsidTr="00704502">
        <w:trPr>
          <w:trHeight w:val="62"/>
        </w:trPr>
        <w:tc>
          <w:tcPr>
            <w:tcW w:w="10705"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170ECB0" w14:textId="77777777" w:rsidR="002A7A17" w:rsidRPr="00AC24E2" w:rsidRDefault="002A7A17" w:rsidP="00704502">
            <w:pPr>
              <w:spacing w:before="40" w:after="40" w:line="240" w:lineRule="auto"/>
              <w:rPr>
                <w:rFonts w:ascii="Verdana" w:hAnsi="Verdana" w:cs="Calibri"/>
                <w:b/>
                <w:bCs/>
                <w:noProof/>
                <w:color w:val="000000"/>
                <w:sz w:val="16"/>
                <w:szCs w:val="16"/>
                <w:lang w:val="en-GB" w:eastAsia="en-GB"/>
              </w:rPr>
            </w:pPr>
            <w:r w:rsidRPr="00AC24E2">
              <w:rPr>
                <w:rFonts w:ascii="Verdana" w:hAnsi="Verdana" w:cs="Calibri"/>
                <w:b/>
                <w:bCs/>
                <w:noProof/>
                <w:color w:val="000000"/>
                <w:sz w:val="16"/>
                <w:szCs w:val="16"/>
                <w:lang w:val="en-GB" w:eastAsia="en-GB"/>
              </w:rPr>
              <w:t>Technical improvements</w:t>
            </w:r>
          </w:p>
        </w:tc>
      </w:tr>
      <w:tr w:rsidR="002A7A17" w:rsidRPr="00AC24E2" w14:paraId="6E5B4EBA"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9A40011"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Definition of technical requirements &amp; functionalities</w:t>
            </w:r>
          </w:p>
        </w:tc>
        <w:tc>
          <w:tcPr>
            <w:tcW w:w="134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3A36916"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3F0353D3"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38F87"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6C9631FD"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908B22A"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DA7EDD1"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1EF2871C"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E833AD"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Establishment of quality control mechanisms</w:t>
            </w:r>
          </w:p>
        </w:tc>
        <w:tc>
          <w:tcPr>
            <w:tcW w:w="134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A13424C"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5FE33E44"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D89CAF"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2FFFA138"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CD8AB4B"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1F30672A"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054F82A1" w14:textId="77777777" w:rsidTr="00704502">
        <w:trPr>
          <w:trHeight w:val="62"/>
        </w:trPr>
        <w:tc>
          <w:tcPr>
            <w:tcW w:w="10705"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935F046" w14:textId="77777777" w:rsidR="002A7A17" w:rsidRPr="00AC24E2" w:rsidRDefault="002A7A17" w:rsidP="00704502">
            <w:pPr>
              <w:spacing w:before="40" w:after="40" w:line="240" w:lineRule="auto"/>
              <w:rPr>
                <w:rFonts w:ascii="Verdana" w:hAnsi="Verdana" w:cs="Calibri"/>
                <w:b/>
                <w:bCs/>
                <w:noProof/>
                <w:color w:val="000000"/>
                <w:sz w:val="16"/>
                <w:szCs w:val="16"/>
                <w:lang w:val="en-GB" w:eastAsia="en-GB"/>
              </w:rPr>
            </w:pPr>
            <w:r w:rsidRPr="00AC24E2">
              <w:rPr>
                <w:rFonts w:ascii="Verdana" w:hAnsi="Verdana" w:cs="Calibri"/>
                <w:b/>
                <w:bCs/>
                <w:noProof/>
                <w:color w:val="000000"/>
                <w:sz w:val="16"/>
                <w:szCs w:val="16"/>
                <w:lang w:val="en-GB" w:eastAsia="en-GB"/>
              </w:rPr>
              <w:t>Structural improvements</w:t>
            </w:r>
          </w:p>
        </w:tc>
      </w:tr>
      <w:tr w:rsidR="002A7A17" w:rsidRPr="00AC24E2" w14:paraId="5DFAB78E"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52FBC1"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Establishment of organisational requirements</w:t>
            </w:r>
          </w:p>
        </w:tc>
        <w:tc>
          <w:tcPr>
            <w:tcW w:w="134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48910DD4"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FCC5B5F"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5DDA5827"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1C74A7C3"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254A447"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442F19B9"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20633B7E"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60AB42"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Establishment of governance requirements</w:t>
            </w:r>
          </w:p>
        </w:tc>
        <w:tc>
          <w:tcPr>
            <w:tcW w:w="134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7596F9A9"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BF4BDCF"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auto" w:fill="C6E0B4"/>
            <w:noWrap/>
            <w:vAlign w:val="center"/>
          </w:tcPr>
          <w:p w14:paraId="372279F4"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40AD519E"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420FB48"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1054CDAE"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5EAF542F" w14:textId="77777777" w:rsidTr="00704502">
        <w:trPr>
          <w:trHeight w:val="62"/>
        </w:trPr>
        <w:tc>
          <w:tcPr>
            <w:tcW w:w="10705"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9EE1BDB" w14:textId="77777777" w:rsidR="002A7A17" w:rsidRPr="00AC24E2" w:rsidRDefault="002A7A17" w:rsidP="00704502">
            <w:pPr>
              <w:keepNext/>
              <w:spacing w:before="40" w:after="40" w:line="240" w:lineRule="auto"/>
              <w:rPr>
                <w:rFonts w:ascii="Verdana" w:hAnsi="Verdana" w:cs="Calibri"/>
                <w:b/>
                <w:bCs/>
                <w:noProof/>
                <w:color w:val="000000"/>
                <w:sz w:val="16"/>
                <w:szCs w:val="16"/>
                <w:lang w:val="en-GB" w:eastAsia="en-GB"/>
              </w:rPr>
            </w:pPr>
            <w:r w:rsidRPr="00AC24E2">
              <w:rPr>
                <w:rFonts w:ascii="Verdana" w:hAnsi="Verdana" w:cs="Calibri"/>
                <w:b/>
                <w:bCs/>
                <w:noProof/>
                <w:color w:val="000000"/>
                <w:sz w:val="16"/>
                <w:szCs w:val="16"/>
                <w:lang w:val="en-GB" w:eastAsia="en-GB"/>
              </w:rPr>
              <w:t>Other improvements</w:t>
            </w:r>
          </w:p>
        </w:tc>
      </w:tr>
      <w:tr w:rsidR="002A7A17" w:rsidRPr="00AC24E2" w14:paraId="681101AE"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73D6EB0"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Provision of training</w:t>
            </w:r>
          </w:p>
        </w:tc>
        <w:tc>
          <w:tcPr>
            <w:tcW w:w="1346"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5ACC00B8"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F44882E"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632937C8"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F4DE326"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2A100D6F"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4E032FE"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308FF3B6"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7A4E05"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Provision of awareness raising</w:t>
            </w:r>
          </w:p>
        </w:tc>
        <w:tc>
          <w:tcPr>
            <w:tcW w:w="1346"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420FFF8A"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ACB365C"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60F15078"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4A8FEE9"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0247F908"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1E2946DB"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r w:rsidR="002A7A17" w:rsidRPr="00AC24E2" w14:paraId="61D3B432" w14:textId="77777777" w:rsidTr="00704502">
        <w:trPr>
          <w:trHeight w:val="62"/>
        </w:trPr>
        <w:tc>
          <w:tcPr>
            <w:tcW w:w="449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8567C8" w14:textId="77777777" w:rsidR="002A7A17" w:rsidRPr="00AC24E2" w:rsidRDefault="002A7A17" w:rsidP="00704502">
            <w:pPr>
              <w:spacing w:before="40" w:after="40" w:line="240" w:lineRule="auto"/>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Provision of funding</w:t>
            </w:r>
          </w:p>
        </w:tc>
        <w:tc>
          <w:tcPr>
            <w:tcW w:w="1346"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21EB3541"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05"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5766D109"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12"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1E6E189E"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4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00B330C8"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1066"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756311CA"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c>
          <w:tcPr>
            <w:tcW w:w="93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74AE67DE" w14:textId="77777777" w:rsidR="002A7A17" w:rsidRPr="00AC24E2" w:rsidRDefault="002A7A17" w:rsidP="00704502">
            <w:pPr>
              <w:spacing w:before="40" w:after="40" w:line="240" w:lineRule="auto"/>
              <w:jc w:val="center"/>
              <w:rPr>
                <w:rFonts w:ascii="Verdana" w:hAnsi="Verdana" w:cs="Calibri"/>
                <w:noProof/>
                <w:color w:val="000000"/>
                <w:sz w:val="16"/>
                <w:szCs w:val="16"/>
                <w:lang w:val="en-GB" w:eastAsia="en-GB"/>
              </w:rPr>
            </w:pPr>
          </w:p>
        </w:tc>
      </w:tr>
    </w:tbl>
    <w:p w14:paraId="11B4C872" w14:textId="77777777" w:rsidR="002A7A17" w:rsidRDefault="002A7A17" w:rsidP="00704502">
      <w:pPr>
        <w:pStyle w:val="Body"/>
        <w:spacing w:after="60"/>
        <w:jc w:val="center"/>
        <w:rPr>
          <w:i/>
          <w:noProof/>
          <w:color w:val="7F7F7F" w:themeColor="text1" w:themeTint="80"/>
          <w:sz w:val="16"/>
          <w:szCs w:val="16"/>
        </w:rPr>
      </w:pPr>
      <w:r w:rsidRPr="00AC24E2">
        <w:rPr>
          <w:i/>
          <w:noProof/>
          <w:color w:val="7F7F7F" w:themeColor="text1" w:themeTint="80"/>
          <w:sz w:val="16"/>
          <w:szCs w:val="16"/>
        </w:rPr>
        <w:t xml:space="preserve">Source: </w:t>
      </w:r>
      <w:r w:rsidR="00676900">
        <w:rPr>
          <w:i/>
          <w:noProof/>
          <w:color w:val="7F7F7F" w:themeColor="text1" w:themeTint="80"/>
          <w:sz w:val="16"/>
          <w:szCs w:val="16"/>
        </w:rPr>
        <w:t>EY/RAND Europe Study</w:t>
      </w:r>
      <w:r w:rsidRPr="00AC24E2">
        <w:rPr>
          <w:i/>
          <w:noProof/>
          <w:color w:val="7F7F7F" w:themeColor="text1" w:themeTint="80"/>
          <w:sz w:val="16"/>
          <w:szCs w:val="16"/>
        </w:rPr>
        <w:t>’s elaboration</w:t>
      </w:r>
    </w:p>
    <w:p w14:paraId="5F7A6E91" w14:textId="77777777" w:rsidR="002B2BE7" w:rsidRPr="00704502" w:rsidRDefault="002A7A17" w:rsidP="00704502">
      <w:pPr>
        <w:pStyle w:val="Body"/>
        <w:spacing w:after="120"/>
        <w:jc w:val="center"/>
        <w:rPr>
          <w:bCs/>
          <w:noProof/>
          <w:sz w:val="16"/>
          <w:szCs w:val="16"/>
        </w:rPr>
      </w:pPr>
      <w:r w:rsidRPr="00E619CD">
        <w:rPr>
          <w:noProof/>
          <w:sz w:val="16"/>
        </w:rPr>
        <w:t>Cells that are marked in darker green denote a stronger positive impact on the different types of stakeholders</w:t>
      </w:r>
      <w:r w:rsidR="00676900">
        <w:rPr>
          <w:noProof/>
          <w:sz w:val="16"/>
        </w:rPr>
        <w:t>.</w:t>
      </w:r>
      <w:r w:rsidR="002B2BE7">
        <w:rPr>
          <w:noProof/>
          <w:sz w:val="16"/>
        </w:rPr>
        <w:t xml:space="preserve"> </w:t>
      </w:r>
      <w:r w:rsidR="002B2BE7" w:rsidRPr="00704502">
        <w:rPr>
          <w:bCs/>
          <w:noProof/>
          <w:sz w:val="16"/>
          <w:szCs w:val="16"/>
        </w:rPr>
        <w:t>Th</w:t>
      </w:r>
      <w:r w:rsidR="00453711">
        <w:rPr>
          <w:bCs/>
          <w:noProof/>
          <w:sz w:val="16"/>
          <w:szCs w:val="16"/>
        </w:rPr>
        <w:t>is</w:t>
      </w:r>
      <w:r w:rsidR="002B2BE7" w:rsidRPr="00704502">
        <w:rPr>
          <w:bCs/>
          <w:noProof/>
          <w:sz w:val="16"/>
          <w:szCs w:val="16"/>
        </w:rPr>
        <w:t xml:space="preserve"> table is not based on official positions provided by the Member States.</w:t>
      </w:r>
    </w:p>
    <w:p w14:paraId="76F09082" w14:textId="77777777" w:rsidR="007F36CB" w:rsidRDefault="002A7A17" w:rsidP="00704502">
      <w:pPr>
        <w:pStyle w:val="Body"/>
        <w:spacing w:after="120"/>
        <w:jc w:val="both"/>
        <w:rPr>
          <w:rFonts w:ascii="Times New Roman" w:hAnsi="Times New Roman"/>
          <w:bCs/>
          <w:noProof/>
          <w:sz w:val="24"/>
          <w:szCs w:val="24"/>
        </w:rPr>
      </w:pPr>
      <w:r>
        <w:rPr>
          <w:rFonts w:ascii="Times New Roman" w:hAnsi="Times New Roman"/>
          <w:bCs/>
          <w:noProof/>
          <w:sz w:val="24"/>
          <w:szCs w:val="24"/>
        </w:rPr>
        <w:t>Based on the study' findings and initial feedback at political level</w:t>
      </w:r>
      <w:r>
        <w:rPr>
          <w:rStyle w:val="FootnoteReference"/>
          <w:rFonts w:ascii="Times New Roman" w:hAnsi="Times New Roman"/>
          <w:bCs/>
          <w:noProof/>
          <w:sz w:val="24"/>
          <w:szCs w:val="24"/>
        </w:rPr>
        <w:footnoteReference w:id="111"/>
      </w:r>
      <w:r w:rsidR="00676900">
        <w:rPr>
          <w:rFonts w:ascii="Times New Roman" w:hAnsi="Times New Roman"/>
          <w:bCs/>
          <w:noProof/>
          <w:sz w:val="24"/>
          <w:szCs w:val="24"/>
        </w:rPr>
        <w:t xml:space="preserve">, there is </w:t>
      </w:r>
      <w:r w:rsidRPr="00B40683">
        <w:rPr>
          <w:rFonts w:ascii="Times New Roman" w:hAnsi="Times New Roman"/>
          <w:bCs/>
          <w:noProof/>
          <w:sz w:val="24"/>
          <w:szCs w:val="24"/>
        </w:rPr>
        <w:t>a general trend towards high-level support among stakeholders. L</w:t>
      </w:r>
      <w:r w:rsidR="008E27F1">
        <w:rPr>
          <w:rFonts w:ascii="Times New Roman" w:hAnsi="Times New Roman"/>
          <w:bCs/>
          <w:noProof/>
          <w:sz w:val="24"/>
          <w:szCs w:val="24"/>
        </w:rPr>
        <w:t xml:space="preserve">aw </w:t>
      </w:r>
      <w:r w:rsidRPr="00B40683">
        <w:rPr>
          <w:rFonts w:ascii="Times New Roman" w:hAnsi="Times New Roman"/>
          <w:bCs/>
          <w:noProof/>
          <w:sz w:val="24"/>
          <w:szCs w:val="24"/>
        </w:rPr>
        <w:t>E</w:t>
      </w:r>
      <w:r w:rsidR="008E27F1">
        <w:rPr>
          <w:rFonts w:ascii="Times New Roman" w:hAnsi="Times New Roman"/>
          <w:bCs/>
          <w:noProof/>
          <w:sz w:val="24"/>
          <w:szCs w:val="24"/>
        </w:rPr>
        <w:t xml:space="preserve">nforcement </w:t>
      </w:r>
      <w:r w:rsidRPr="00B40683">
        <w:rPr>
          <w:rFonts w:ascii="Times New Roman" w:hAnsi="Times New Roman"/>
          <w:bCs/>
          <w:noProof/>
          <w:sz w:val="24"/>
          <w:szCs w:val="24"/>
        </w:rPr>
        <w:t>A</w:t>
      </w:r>
      <w:r w:rsidR="008E27F1">
        <w:rPr>
          <w:rFonts w:ascii="Times New Roman" w:hAnsi="Times New Roman"/>
          <w:bCs/>
          <w:noProof/>
          <w:sz w:val="24"/>
          <w:szCs w:val="24"/>
        </w:rPr>
        <w:t>uthorities (LEAs)</w:t>
      </w:r>
      <w:r w:rsidRPr="00B40683">
        <w:rPr>
          <w:rFonts w:ascii="Times New Roman" w:hAnsi="Times New Roman"/>
          <w:bCs/>
          <w:noProof/>
          <w:sz w:val="24"/>
          <w:szCs w:val="24"/>
        </w:rPr>
        <w:t xml:space="preserve"> seem to be more supportive of the elements of the policy options than judicial authorities. With specific regard to data protection authorities, it is crucial to note that the support is contingent on the extent to which the protection of personal data is safeguarded throughout all measures foreseen under the policy options. </w:t>
      </w:r>
    </w:p>
    <w:p w14:paraId="3171D9EB" w14:textId="77777777" w:rsidR="002A7A17" w:rsidRPr="00B40683" w:rsidRDefault="002A7A17" w:rsidP="00704502">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Generally spoken, N</w:t>
      </w:r>
      <w:r w:rsidR="008E27F1">
        <w:rPr>
          <w:rFonts w:ascii="Times New Roman" w:hAnsi="Times New Roman"/>
          <w:bCs/>
          <w:noProof/>
          <w:sz w:val="24"/>
          <w:szCs w:val="24"/>
        </w:rPr>
        <w:t>on-</w:t>
      </w:r>
      <w:r w:rsidR="008E27F1" w:rsidRPr="00B40683">
        <w:rPr>
          <w:rFonts w:ascii="Times New Roman" w:hAnsi="Times New Roman"/>
          <w:bCs/>
          <w:noProof/>
          <w:sz w:val="24"/>
          <w:szCs w:val="24"/>
        </w:rPr>
        <w:t>G</w:t>
      </w:r>
      <w:r w:rsidR="00515FB3">
        <w:rPr>
          <w:rFonts w:ascii="Times New Roman" w:hAnsi="Times New Roman"/>
          <w:bCs/>
          <w:noProof/>
          <w:sz w:val="24"/>
          <w:szCs w:val="24"/>
        </w:rPr>
        <w:t>overnmental O</w:t>
      </w:r>
      <w:r w:rsidR="008E27F1">
        <w:rPr>
          <w:rFonts w:ascii="Times New Roman" w:hAnsi="Times New Roman"/>
          <w:bCs/>
          <w:noProof/>
          <w:sz w:val="24"/>
          <w:szCs w:val="24"/>
        </w:rPr>
        <w:t>rganisations</w:t>
      </w:r>
      <w:r w:rsidRPr="00B40683">
        <w:rPr>
          <w:rFonts w:ascii="Times New Roman" w:hAnsi="Times New Roman"/>
          <w:bCs/>
          <w:noProof/>
          <w:sz w:val="24"/>
          <w:szCs w:val="24"/>
        </w:rPr>
        <w:t xml:space="preserve"> and civil society organisations are supportive of the policy options as long as fundamental rights are safeguarded, and LEAs do not come into the possession of excessive, unjustified amounts of information about citizens and businesses that do not concern actual criminal investigations and/or legal proceedings before </w:t>
      </w:r>
      <w:r w:rsidR="009C16A9">
        <w:rPr>
          <w:rFonts w:ascii="Times New Roman" w:hAnsi="Times New Roman"/>
          <w:bCs/>
          <w:noProof/>
          <w:sz w:val="24"/>
          <w:szCs w:val="24"/>
        </w:rPr>
        <w:t>C</w:t>
      </w:r>
      <w:r w:rsidRPr="00B40683">
        <w:rPr>
          <w:rFonts w:ascii="Times New Roman" w:hAnsi="Times New Roman"/>
          <w:bCs/>
          <w:noProof/>
          <w:sz w:val="24"/>
          <w:szCs w:val="24"/>
        </w:rPr>
        <w:t>ourt.</w:t>
      </w:r>
    </w:p>
    <w:p w14:paraId="77C1E023" w14:textId="77777777" w:rsidR="00F43AD9" w:rsidRDefault="00F43AD9" w:rsidP="00F43AD9">
      <w:pPr>
        <w:pStyle w:val="Text2"/>
        <w:spacing w:after="120"/>
        <w:ind w:left="0"/>
        <w:rPr>
          <w:noProof/>
        </w:rPr>
      </w:pPr>
      <w:r>
        <w:rPr>
          <w:noProof/>
        </w:rPr>
        <w:t xml:space="preserve">The preferred </w:t>
      </w:r>
      <w:r w:rsidR="00A249EF">
        <w:rPr>
          <w:noProof/>
        </w:rPr>
        <w:t xml:space="preserve">policy </w:t>
      </w:r>
      <w:r>
        <w:rPr>
          <w:noProof/>
        </w:rPr>
        <w:t>option is</w:t>
      </w:r>
      <w:r w:rsidR="00A249EF">
        <w:rPr>
          <w:noProof/>
        </w:rPr>
        <w:t xml:space="preserve"> also</w:t>
      </w:r>
      <w:r>
        <w:rPr>
          <w:noProof/>
        </w:rPr>
        <w:t xml:space="preserve"> </w:t>
      </w:r>
      <w:r w:rsidRPr="00381E42">
        <w:rPr>
          <w:noProof/>
        </w:rPr>
        <w:t>co</w:t>
      </w:r>
      <w:r>
        <w:rPr>
          <w:noProof/>
        </w:rPr>
        <w:t>herent with:</w:t>
      </w:r>
    </w:p>
    <w:p w14:paraId="63C0A1C3" w14:textId="77777777" w:rsidR="00F43AD9" w:rsidRDefault="00F43AD9" w:rsidP="00900BC7">
      <w:pPr>
        <w:pStyle w:val="Text2"/>
        <w:numPr>
          <w:ilvl w:val="0"/>
          <w:numId w:val="84"/>
        </w:numPr>
        <w:spacing w:after="0"/>
        <w:rPr>
          <w:noProof/>
        </w:rPr>
      </w:pPr>
      <w:r w:rsidRPr="00381E42">
        <w:rPr>
          <w:noProof/>
        </w:rPr>
        <w:t xml:space="preserve">the </w:t>
      </w:r>
      <w:r w:rsidRPr="00381E42">
        <w:rPr>
          <w:b/>
          <w:bCs/>
          <w:noProof/>
        </w:rPr>
        <w:t>EU Security Union Strat</w:t>
      </w:r>
      <w:r>
        <w:rPr>
          <w:b/>
          <w:bCs/>
          <w:noProof/>
        </w:rPr>
        <w:t>egy for the period 2020 to 2025</w:t>
      </w:r>
      <w:r w:rsidRPr="00381E42">
        <w:rPr>
          <w:noProof/>
          <w:vertAlign w:val="superscript"/>
        </w:rPr>
        <w:footnoteReference w:id="112"/>
      </w:r>
      <w:r w:rsidRPr="00914733">
        <w:rPr>
          <w:bCs/>
          <w:noProof/>
        </w:rPr>
        <w:t>,</w:t>
      </w:r>
      <w:r w:rsidRPr="00381E42">
        <w:rPr>
          <w:noProof/>
        </w:rPr>
        <w:t xml:space="preserve"> which points to the need to improve intra-EU operational law enforcement cooperation;</w:t>
      </w:r>
    </w:p>
    <w:p w14:paraId="64306A19" w14:textId="77777777" w:rsidR="00F43AD9" w:rsidRDefault="00F43AD9" w:rsidP="00900BC7">
      <w:pPr>
        <w:pStyle w:val="Text2"/>
        <w:numPr>
          <w:ilvl w:val="0"/>
          <w:numId w:val="84"/>
        </w:numPr>
        <w:spacing w:after="0"/>
        <w:rPr>
          <w:noProof/>
        </w:rPr>
      </w:pPr>
      <w:r w:rsidRPr="00381E42">
        <w:rPr>
          <w:noProof/>
        </w:rPr>
        <w:t xml:space="preserve">the </w:t>
      </w:r>
      <w:r w:rsidRPr="00381E42">
        <w:rPr>
          <w:b/>
          <w:bCs/>
          <w:noProof/>
        </w:rPr>
        <w:t>Counter-Terrorism Agenda</w:t>
      </w:r>
      <w:r w:rsidRPr="00381E42">
        <w:rPr>
          <w:noProof/>
          <w:vertAlign w:val="superscript"/>
        </w:rPr>
        <w:footnoteReference w:id="113"/>
      </w:r>
      <w:r w:rsidRPr="00914733">
        <w:rPr>
          <w:bCs/>
          <w:noProof/>
        </w:rPr>
        <w:t>,</w:t>
      </w:r>
      <w:r w:rsidRPr="00381E42">
        <w:rPr>
          <w:noProof/>
        </w:rPr>
        <w:t xml:space="preserve"> which calls for a more effective inter</w:t>
      </w:r>
      <w:r>
        <w:rPr>
          <w:noProof/>
        </w:rPr>
        <w:t>operability of EU information;</w:t>
      </w:r>
    </w:p>
    <w:p w14:paraId="6A92E1C7" w14:textId="77777777" w:rsidR="00F43AD9" w:rsidRDefault="00F43AD9" w:rsidP="00900BC7">
      <w:pPr>
        <w:pStyle w:val="Text2"/>
        <w:numPr>
          <w:ilvl w:val="0"/>
          <w:numId w:val="84"/>
        </w:numPr>
        <w:spacing w:after="0"/>
        <w:rPr>
          <w:noProof/>
        </w:rPr>
      </w:pPr>
      <w:r w:rsidRPr="00381E42">
        <w:rPr>
          <w:noProof/>
        </w:rPr>
        <w:t xml:space="preserve">the </w:t>
      </w:r>
      <w:r w:rsidRPr="00381E42">
        <w:rPr>
          <w:b/>
          <w:bCs/>
          <w:noProof/>
        </w:rPr>
        <w:t xml:space="preserve">EU Strategy to tackle </w:t>
      </w:r>
      <w:r>
        <w:rPr>
          <w:b/>
          <w:bCs/>
          <w:noProof/>
        </w:rPr>
        <w:t>organised</w:t>
      </w:r>
      <w:r w:rsidRPr="00381E42">
        <w:rPr>
          <w:b/>
          <w:bCs/>
          <w:noProof/>
        </w:rPr>
        <w:t xml:space="preserve"> Crime 2021-2025</w:t>
      </w:r>
      <w:r w:rsidRPr="00381E42">
        <w:rPr>
          <w:noProof/>
          <w:vertAlign w:val="superscript"/>
        </w:rPr>
        <w:footnoteReference w:id="114"/>
      </w:r>
      <w:r w:rsidRPr="00914733">
        <w:rPr>
          <w:bCs/>
          <w:noProof/>
        </w:rPr>
        <w:t>,</w:t>
      </w:r>
      <w:r w:rsidRPr="00381E42">
        <w:rPr>
          <w:noProof/>
        </w:rPr>
        <w:t xml:space="preserve"> </w:t>
      </w:r>
      <w:r>
        <w:rPr>
          <w:noProof/>
        </w:rPr>
        <w:t xml:space="preserve">which is </w:t>
      </w:r>
      <w:r w:rsidRPr="00381E42">
        <w:rPr>
          <w:noProof/>
        </w:rPr>
        <w:t>focused on boosting law enforcement and judicial cooperation;</w:t>
      </w:r>
    </w:p>
    <w:p w14:paraId="4C5345F8" w14:textId="77777777" w:rsidR="00F43AD9" w:rsidRDefault="00F43AD9" w:rsidP="00900BC7">
      <w:pPr>
        <w:pStyle w:val="Text2"/>
        <w:numPr>
          <w:ilvl w:val="0"/>
          <w:numId w:val="84"/>
        </w:numPr>
        <w:spacing w:after="0"/>
        <w:rPr>
          <w:noProof/>
        </w:rPr>
      </w:pPr>
      <w:r>
        <w:rPr>
          <w:noProof/>
        </w:rPr>
        <w:t xml:space="preserve">the new </w:t>
      </w:r>
      <w:r w:rsidRPr="00B920BB">
        <w:rPr>
          <w:b/>
          <w:noProof/>
        </w:rPr>
        <w:t>Schengen strategy</w:t>
      </w:r>
      <w:r w:rsidRPr="00914733">
        <w:rPr>
          <w:rStyle w:val="FootnoteReference"/>
          <w:noProof/>
        </w:rPr>
        <w:footnoteReference w:id="115"/>
      </w:r>
      <w:r>
        <w:rPr>
          <w:noProof/>
        </w:rPr>
        <w:t>, which points to the need for police officers to cooperate effectively and by default across Europe;</w:t>
      </w:r>
    </w:p>
    <w:p w14:paraId="4DD1C775" w14:textId="77777777" w:rsidR="00F43AD9" w:rsidRDefault="00F43AD9" w:rsidP="00900BC7">
      <w:pPr>
        <w:pStyle w:val="Text2"/>
        <w:numPr>
          <w:ilvl w:val="0"/>
          <w:numId w:val="84"/>
        </w:numPr>
        <w:spacing w:after="0"/>
        <w:rPr>
          <w:noProof/>
        </w:rPr>
      </w:pPr>
      <w:r>
        <w:rPr>
          <w:noProof/>
        </w:rPr>
        <w:t>the</w:t>
      </w:r>
      <w:r w:rsidRPr="00381E42">
        <w:rPr>
          <w:noProof/>
        </w:rPr>
        <w:t xml:space="preserve"> </w:t>
      </w:r>
      <w:r w:rsidR="009C16A9">
        <w:rPr>
          <w:noProof/>
        </w:rPr>
        <w:t xml:space="preserve">2020 </w:t>
      </w:r>
      <w:r>
        <w:rPr>
          <w:b/>
          <w:bCs/>
          <w:noProof/>
        </w:rPr>
        <w:t xml:space="preserve">Council </w:t>
      </w:r>
      <w:r w:rsidR="009C16A9">
        <w:rPr>
          <w:b/>
          <w:bCs/>
          <w:noProof/>
        </w:rPr>
        <w:t xml:space="preserve">Conclusions </w:t>
      </w:r>
      <w:r w:rsidR="009C16A9" w:rsidRPr="00704502">
        <w:rPr>
          <w:b/>
          <w:noProof/>
        </w:rPr>
        <w:t>on Internal Security and European Police Partnership</w:t>
      </w:r>
      <w:r w:rsidRPr="00381E42">
        <w:rPr>
          <w:noProof/>
          <w:vertAlign w:val="superscript"/>
        </w:rPr>
        <w:footnoteReference w:id="116"/>
      </w:r>
      <w:r w:rsidRPr="00914733">
        <w:rPr>
          <w:bCs/>
          <w:noProof/>
        </w:rPr>
        <w:t>,</w:t>
      </w:r>
      <w:r w:rsidRPr="00381E42">
        <w:rPr>
          <w:b/>
          <w:bCs/>
          <w:noProof/>
        </w:rPr>
        <w:t xml:space="preserve"> </w:t>
      </w:r>
      <w:r w:rsidRPr="00381E42">
        <w:rPr>
          <w:noProof/>
        </w:rPr>
        <w:t>which</w:t>
      </w:r>
      <w:r w:rsidRPr="00381E42">
        <w:rPr>
          <w:b/>
          <w:bCs/>
          <w:noProof/>
        </w:rPr>
        <w:t xml:space="preserve"> </w:t>
      </w:r>
      <w:r w:rsidRPr="00381E42">
        <w:rPr>
          <w:noProof/>
        </w:rPr>
        <w:t>calls for the consolidation and improvement of available law enforcement instruments;</w:t>
      </w:r>
    </w:p>
    <w:p w14:paraId="6B808CEE" w14:textId="77777777" w:rsidR="00F43AD9" w:rsidRDefault="00F43AD9" w:rsidP="00900BC7">
      <w:pPr>
        <w:pStyle w:val="Text2"/>
        <w:numPr>
          <w:ilvl w:val="0"/>
          <w:numId w:val="84"/>
        </w:numPr>
        <w:spacing w:after="0"/>
        <w:rPr>
          <w:noProof/>
        </w:rPr>
      </w:pPr>
      <w:r>
        <w:rPr>
          <w:noProof/>
        </w:rPr>
        <w:t xml:space="preserve">the </w:t>
      </w:r>
      <w:r w:rsidRPr="00381E42">
        <w:rPr>
          <w:b/>
          <w:bCs/>
          <w:noProof/>
        </w:rPr>
        <w:t>Commission Recommendation (EU) 2017/820</w:t>
      </w:r>
      <w:r w:rsidRPr="00381E42">
        <w:rPr>
          <w:noProof/>
          <w:vertAlign w:val="superscript"/>
        </w:rPr>
        <w:footnoteReference w:id="117"/>
      </w:r>
      <w:r w:rsidRPr="00914733">
        <w:rPr>
          <w:bCs/>
          <w:noProof/>
        </w:rPr>
        <w:t>,</w:t>
      </w:r>
      <w:r w:rsidRPr="00381E42">
        <w:rPr>
          <w:noProof/>
        </w:rPr>
        <w:t xml:space="preserve"> which invites Member States to strengthen cross-</w:t>
      </w:r>
      <w:r>
        <w:rPr>
          <w:noProof/>
        </w:rPr>
        <w:t>border police cooperation;</w:t>
      </w:r>
    </w:p>
    <w:p w14:paraId="760F93E2" w14:textId="77777777" w:rsidR="00F43AD9" w:rsidRDefault="00F43AD9" w:rsidP="00900BC7">
      <w:pPr>
        <w:pStyle w:val="Text2"/>
        <w:numPr>
          <w:ilvl w:val="0"/>
          <w:numId w:val="84"/>
        </w:numPr>
        <w:spacing w:after="0"/>
        <w:rPr>
          <w:noProof/>
        </w:rPr>
      </w:pPr>
      <w:r>
        <w:rPr>
          <w:noProof/>
        </w:rPr>
        <w:t xml:space="preserve">the </w:t>
      </w:r>
      <w:r w:rsidRPr="00381E42">
        <w:rPr>
          <w:b/>
          <w:bCs/>
          <w:noProof/>
        </w:rPr>
        <w:t>Commission Staff Working Document SWD/2020/327 final</w:t>
      </w:r>
      <w:r w:rsidRPr="00381E42">
        <w:rPr>
          <w:noProof/>
          <w:vertAlign w:val="superscript"/>
        </w:rPr>
        <w:footnoteReference w:id="118"/>
      </w:r>
      <w:r w:rsidRPr="00914733">
        <w:rPr>
          <w:bCs/>
          <w:noProof/>
        </w:rPr>
        <w:t>,</w:t>
      </w:r>
      <w:r w:rsidRPr="00381E42">
        <w:rPr>
          <w:noProof/>
        </w:rPr>
        <w:t xml:space="preserve"> which highlights the need to address the deficiencies and the recurrent issues affecting law</w:t>
      </w:r>
      <w:r>
        <w:rPr>
          <w:noProof/>
        </w:rPr>
        <w:t xml:space="preserve"> enforcement cooperation, and;</w:t>
      </w:r>
    </w:p>
    <w:p w14:paraId="4F502D99" w14:textId="77777777" w:rsidR="00F43AD9" w:rsidRDefault="00F43AD9" w:rsidP="00900BC7">
      <w:pPr>
        <w:pStyle w:val="Text2"/>
        <w:numPr>
          <w:ilvl w:val="0"/>
          <w:numId w:val="84"/>
        </w:numPr>
        <w:spacing w:after="120"/>
        <w:ind w:left="714" w:hanging="357"/>
        <w:rPr>
          <w:noProof/>
        </w:rPr>
      </w:pPr>
      <w:r>
        <w:rPr>
          <w:noProof/>
        </w:rPr>
        <w:t xml:space="preserve">the </w:t>
      </w:r>
      <w:r w:rsidRPr="00381E42">
        <w:rPr>
          <w:b/>
          <w:noProof/>
        </w:rPr>
        <w:t>Council Document 5503/21</w:t>
      </w:r>
      <w:r w:rsidRPr="00381E42">
        <w:rPr>
          <w:noProof/>
          <w:vertAlign w:val="superscript"/>
        </w:rPr>
        <w:footnoteReference w:id="119"/>
      </w:r>
      <w:r w:rsidRPr="00381E42">
        <w:rPr>
          <w:noProof/>
        </w:rPr>
        <w:t xml:space="preserve"> on the use of SIENA as a primary communication channel.</w:t>
      </w:r>
    </w:p>
    <w:p w14:paraId="4F48D2A0" w14:textId="77777777" w:rsidR="009C16A9" w:rsidRDefault="00F43AD9" w:rsidP="00F31D89">
      <w:pPr>
        <w:pStyle w:val="Text2"/>
        <w:spacing w:after="0"/>
        <w:ind w:left="0"/>
        <w:rPr>
          <w:rFonts w:cstheme="minorHAnsi"/>
          <w:noProof/>
        </w:rPr>
      </w:pPr>
      <w:r>
        <w:rPr>
          <w:rFonts w:cstheme="minorHAnsi"/>
          <w:noProof/>
        </w:rPr>
        <w:t>The high-level issues and core</w:t>
      </w:r>
      <w:r w:rsidRPr="00AC24E2">
        <w:rPr>
          <w:rFonts w:cstheme="minorHAnsi"/>
          <w:noProof/>
        </w:rPr>
        <w:t xml:space="preserve"> problems </w:t>
      </w:r>
      <w:r>
        <w:rPr>
          <w:rFonts w:cstheme="minorHAnsi"/>
          <w:noProof/>
        </w:rPr>
        <w:t xml:space="preserve">stemming from them </w:t>
      </w:r>
      <w:r w:rsidRPr="00AC24E2">
        <w:rPr>
          <w:rFonts w:cstheme="minorHAnsi"/>
          <w:noProof/>
        </w:rPr>
        <w:t>as well as their likely future development</w:t>
      </w:r>
      <w:r>
        <w:rPr>
          <w:rFonts w:cstheme="minorHAnsi"/>
          <w:noProof/>
        </w:rPr>
        <w:t xml:space="preserve"> are addressed by</w:t>
      </w:r>
      <w:r w:rsidRPr="00AC24E2">
        <w:rPr>
          <w:rFonts w:cstheme="minorHAnsi"/>
          <w:noProof/>
        </w:rPr>
        <w:t xml:space="preserve"> the preferred policy option in line with the </w:t>
      </w:r>
      <w:r w:rsidRPr="0002083C">
        <w:rPr>
          <w:rFonts w:cstheme="minorHAnsi"/>
          <w:b/>
          <w:noProof/>
        </w:rPr>
        <w:t>subsidiarity</w:t>
      </w:r>
      <w:r w:rsidRPr="00AC24E2">
        <w:rPr>
          <w:rFonts w:cstheme="minorHAnsi"/>
          <w:noProof/>
        </w:rPr>
        <w:t xml:space="preserve"> and </w:t>
      </w:r>
      <w:r w:rsidRPr="0002083C">
        <w:rPr>
          <w:rFonts w:cstheme="minorHAnsi"/>
          <w:b/>
          <w:noProof/>
        </w:rPr>
        <w:t>proportionality</w:t>
      </w:r>
      <w:r w:rsidRPr="00AC24E2">
        <w:rPr>
          <w:rFonts w:cstheme="minorHAnsi"/>
          <w:noProof/>
        </w:rPr>
        <w:t xml:space="preserve"> principles</w:t>
      </w:r>
      <w:r>
        <w:rPr>
          <w:rFonts w:cstheme="minorHAnsi"/>
          <w:noProof/>
        </w:rPr>
        <w:t>.</w:t>
      </w:r>
    </w:p>
    <w:p w14:paraId="41017ACF" w14:textId="77777777" w:rsidR="00713A1A" w:rsidRDefault="00713A1A" w:rsidP="00187EA9">
      <w:pPr>
        <w:pStyle w:val="Body"/>
        <w:spacing w:after="60"/>
        <w:jc w:val="center"/>
        <w:rPr>
          <w:b/>
          <w:noProof/>
          <w:sz w:val="18"/>
          <w:szCs w:val="16"/>
        </w:rPr>
      </w:pPr>
    </w:p>
    <w:p w14:paraId="70D11DA1" w14:textId="77777777" w:rsidR="00C76702" w:rsidRPr="00C26F75" w:rsidRDefault="003725AB" w:rsidP="00094199">
      <w:pPr>
        <w:pStyle w:val="Heading2"/>
        <w:rPr>
          <w:noProof/>
        </w:rPr>
      </w:pPr>
      <w:r>
        <w:rPr>
          <w:noProof/>
        </w:rPr>
        <w:t xml:space="preserve">  </w:t>
      </w:r>
      <w:bookmarkStart w:id="121" w:name="_Toc83801049"/>
      <w:r w:rsidR="00C76702" w:rsidRPr="00C26F75">
        <w:rPr>
          <w:noProof/>
        </w:rPr>
        <w:t xml:space="preserve">Preferred policy option </w:t>
      </w:r>
      <w:r w:rsidR="00544876">
        <w:rPr>
          <w:noProof/>
        </w:rPr>
        <w:t xml:space="preserve">cumulated </w:t>
      </w:r>
      <w:r w:rsidR="00C76702" w:rsidRPr="00C26F75">
        <w:rPr>
          <w:noProof/>
        </w:rPr>
        <w:t>advantages and disadvantages</w:t>
      </w:r>
      <w:bookmarkEnd w:id="121"/>
    </w:p>
    <w:tbl>
      <w:tblPr>
        <w:tblStyle w:val="TableGrid"/>
        <w:tblW w:w="0" w:type="auto"/>
        <w:tblLook w:val="04A0" w:firstRow="1" w:lastRow="0" w:firstColumn="1" w:lastColumn="0" w:noHBand="0" w:noVBand="1"/>
      </w:tblPr>
      <w:tblGrid>
        <w:gridCol w:w="6263"/>
        <w:gridCol w:w="3484"/>
      </w:tblGrid>
      <w:tr w:rsidR="00C76702" w:rsidRPr="00044C0D" w14:paraId="059EBC27" w14:textId="77777777" w:rsidTr="000D3A52">
        <w:tc>
          <w:tcPr>
            <w:tcW w:w="6263" w:type="dxa"/>
            <w:tcBorders>
              <w:bottom w:val="single" w:sz="4" w:space="0" w:color="auto"/>
            </w:tcBorders>
            <w:shd w:val="clear" w:color="auto" w:fill="9CC2E5" w:themeFill="accent1" w:themeFillTint="99"/>
          </w:tcPr>
          <w:p w14:paraId="216A9FCD" w14:textId="77777777" w:rsidR="00C76702" w:rsidRPr="00676900" w:rsidRDefault="00C76702" w:rsidP="00EB7963">
            <w:pPr>
              <w:pStyle w:val="Body"/>
              <w:spacing w:before="60" w:after="60"/>
              <w:jc w:val="center"/>
              <w:rPr>
                <w:b/>
                <w:noProof/>
                <w:sz w:val="16"/>
                <w:szCs w:val="16"/>
              </w:rPr>
            </w:pPr>
            <w:r w:rsidRPr="00704502">
              <w:rPr>
                <w:b/>
                <w:noProof/>
                <w:sz w:val="16"/>
                <w:szCs w:val="16"/>
              </w:rPr>
              <w:t>Main advantages</w:t>
            </w:r>
          </w:p>
        </w:tc>
        <w:tc>
          <w:tcPr>
            <w:tcW w:w="3484" w:type="dxa"/>
            <w:shd w:val="clear" w:color="auto" w:fill="9CC2E5" w:themeFill="accent1" w:themeFillTint="99"/>
          </w:tcPr>
          <w:p w14:paraId="12814E1F" w14:textId="77777777" w:rsidR="00C76702" w:rsidRPr="00676900" w:rsidRDefault="00C76702" w:rsidP="00EB7963">
            <w:pPr>
              <w:pStyle w:val="Body"/>
              <w:spacing w:before="60" w:after="60"/>
              <w:jc w:val="center"/>
              <w:rPr>
                <w:b/>
                <w:noProof/>
                <w:sz w:val="16"/>
                <w:szCs w:val="16"/>
              </w:rPr>
            </w:pPr>
            <w:r w:rsidRPr="00704502">
              <w:rPr>
                <w:b/>
                <w:noProof/>
                <w:sz w:val="16"/>
                <w:szCs w:val="16"/>
              </w:rPr>
              <w:t>Main disadvantages</w:t>
            </w:r>
          </w:p>
        </w:tc>
      </w:tr>
      <w:tr w:rsidR="00C76702" w:rsidRPr="00044C0D" w14:paraId="05EFCF1A" w14:textId="77777777" w:rsidTr="000D3A52">
        <w:tc>
          <w:tcPr>
            <w:tcW w:w="6263" w:type="dxa"/>
            <w:tcBorders>
              <w:bottom w:val="single" w:sz="4" w:space="0" w:color="auto"/>
            </w:tcBorders>
            <w:shd w:val="clear" w:color="auto" w:fill="BDD6EE" w:themeFill="accent1" w:themeFillTint="66"/>
          </w:tcPr>
          <w:p w14:paraId="35A4E32F" w14:textId="77777777" w:rsidR="00C76702" w:rsidRPr="00666E2A" w:rsidRDefault="00C76702" w:rsidP="00900BC7">
            <w:pPr>
              <w:pStyle w:val="Body"/>
              <w:numPr>
                <w:ilvl w:val="0"/>
                <w:numId w:val="36"/>
              </w:numPr>
              <w:spacing w:before="60" w:after="60"/>
              <w:ind w:left="266" w:hanging="266"/>
              <w:jc w:val="both"/>
              <w:rPr>
                <w:noProof/>
                <w:sz w:val="16"/>
                <w:szCs w:val="16"/>
              </w:rPr>
            </w:pPr>
            <w:r w:rsidRPr="00666E2A">
              <w:rPr>
                <w:noProof/>
                <w:sz w:val="16"/>
                <w:szCs w:val="16"/>
              </w:rPr>
              <w:t>Expected to facilitate to a large extent the swift exchange of data via one main channel and, thus in turn contribute to the ability to more effectively fight SOC.</w:t>
            </w:r>
          </w:p>
          <w:p w14:paraId="11AC52B3" w14:textId="77777777" w:rsidR="00C76702" w:rsidRPr="00666E2A" w:rsidRDefault="00C76702" w:rsidP="00900BC7">
            <w:pPr>
              <w:pStyle w:val="Body"/>
              <w:numPr>
                <w:ilvl w:val="0"/>
                <w:numId w:val="36"/>
              </w:numPr>
              <w:spacing w:before="60" w:after="60"/>
              <w:ind w:left="266" w:hanging="266"/>
              <w:jc w:val="both"/>
              <w:rPr>
                <w:noProof/>
                <w:sz w:val="16"/>
                <w:szCs w:val="16"/>
              </w:rPr>
            </w:pPr>
            <w:r w:rsidRPr="00666E2A">
              <w:rPr>
                <w:noProof/>
                <w:sz w:val="16"/>
                <w:szCs w:val="16"/>
              </w:rPr>
              <w:t>Establishes a level playing field between countries from a technical perspective by introducing common functional requirements for CMS and ensures that countries adequately reflect the practical importance of SPOCs and PCCCs within their national set-ups.</w:t>
            </w:r>
          </w:p>
          <w:p w14:paraId="1AED6197" w14:textId="77777777" w:rsidR="00C76702" w:rsidRDefault="00C76702" w:rsidP="00900BC7">
            <w:pPr>
              <w:pStyle w:val="Body"/>
              <w:numPr>
                <w:ilvl w:val="0"/>
                <w:numId w:val="36"/>
              </w:numPr>
              <w:spacing w:before="60" w:after="60"/>
              <w:ind w:left="266" w:hanging="266"/>
              <w:jc w:val="both"/>
              <w:rPr>
                <w:noProof/>
                <w:sz w:val="16"/>
                <w:szCs w:val="16"/>
              </w:rPr>
            </w:pPr>
            <w:r w:rsidRPr="00666E2A">
              <w:rPr>
                <w:noProof/>
                <w:sz w:val="16"/>
                <w:szCs w:val="16"/>
              </w:rPr>
              <w:t>Has a large positive impact on increasing the coherence of the legislative framework at both the EU and national levels.</w:t>
            </w:r>
          </w:p>
          <w:p w14:paraId="1FC5990D" w14:textId="77777777" w:rsidR="00C64B48" w:rsidRPr="00666E2A" w:rsidRDefault="00C64B48" w:rsidP="00900BC7">
            <w:pPr>
              <w:pStyle w:val="Body"/>
              <w:numPr>
                <w:ilvl w:val="0"/>
                <w:numId w:val="36"/>
              </w:numPr>
              <w:spacing w:before="60" w:after="60"/>
              <w:ind w:left="266" w:hanging="266"/>
              <w:jc w:val="both"/>
              <w:rPr>
                <w:noProof/>
                <w:sz w:val="16"/>
                <w:szCs w:val="16"/>
              </w:rPr>
            </w:pPr>
            <w:r w:rsidRPr="00AC24E2">
              <w:rPr>
                <w:noProof/>
                <w:sz w:val="16"/>
                <w:szCs w:val="16"/>
              </w:rPr>
              <w:t xml:space="preserve">The policy option is expected to contribute in a largely positive way to safeguarding </w:t>
            </w:r>
            <w:r>
              <w:rPr>
                <w:noProof/>
                <w:sz w:val="16"/>
                <w:szCs w:val="16"/>
              </w:rPr>
              <w:t>f</w:t>
            </w:r>
            <w:r w:rsidRPr="00AC24E2">
              <w:rPr>
                <w:noProof/>
                <w:sz w:val="16"/>
                <w:szCs w:val="16"/>
              </w:rPr>
              <w:t xml:space="preserve">undamental </w:t>
            </w:r>
            <w:r>
              <w:rPr>
                <w:noProof/>
                <w:sz w:val="16"/>
                <w:szCs w:val="16"/>
              </w:rPr>
              <w:t>r</w:t>
            </w:r>
            <w:r w:rsidRPr="00AC24E2">
              <w:rPr>
                <w:noProof/>
                <w:sz w:val="16"/>
                <w:szCs w:val="16"/>
              </w:rPr>
              <w:t>ights</w:t>
            </w:r>
            <w:r>
              <w:rPr>
                <w:noProof/>
                <w:sz w:val="16"/>
                <w:szCs w:val="16"/>
              </w:rPr>
              <w:t>.</w:t>
            </w:r>
          </w:p>
        </w:tc>
        <w:tc>
          <w:tcPr>
            <w:tcW w:w="3484" w:type="dxa"/>
            <w:shd w:val="clear" w:color="auto" w:fill="BDD6EE" w:themeFill="accent1" w:themeFillTint="66"/>
          </w:tcPr>
          <w:p w14:paraId="7A8D4E3A" w14:textId="77777777" w:rsidR="00C76702" w:rsidRPr="00666E2A" w:rsidRDefault="00C76702" w:rsidP="00900BC7">
            <w:pPr>
              <w:pStyle w:val="Body"/>
              <w:numPr>
                <w:ilvl w:val="0"/>
                <w:numId w:val="36"/>
              </w:numPr>
              <w:spacing w:before="60" w:after="60"/>
              <w:ind w:left="266" w:hanging="266"/>
              <w:jc w:val="both"/>
              <w:rPr>
                <w:i/>
                <w:iCs/>
                <w:noProof/>
                <w:sz w:val="16"/>
                <w:szCs w:val="16"/>
              </w:rPr>
            </w:pPr>
            <w:r w:rsidRPr="00666E2A">
              <w:rPr>
                <w:noProof/>
                <w:sz w:val="16"/>
                <w:szCs w:val="16"/>
              </w:rPr>
              <w:t xml:space="preserve">Necessitates investments, including for IT-and staff-related investments at both the EU and national levels. </w:t>
            </w:r>
          </w:p>
          <w:p w14:paraId="19FF045A" w14:textId="77777777" w:rsidR="00C76702" w:rsidRPr="007217B2" w:rsidRDefault="00C76702" w:rsidP="00900BC7">
            <w:pPr>
              <w:pStyle w:val="Body"/>
              <w:numPr>
                <w:ilvl w:val="0"/>
                <w:numId w:val="36"/>
              </w:numPr>
              <w:spacing w:before="60" w:after="60"/>
              <w:ind w:left="266" w:hanging="266"/>
              <w:jc w:val="both"/>
              <w:rPr>
                <w:i/>
                <w:iCs/>
                <w:noProof/>
                <w:sz w:val="16"/>
                <w:szCs w:val="16"/>
              </w:rPr>
            </w:pPr>
            <w:r w:rsidRPr="00666E2A">
              <w:rPr>
                <w:noProof/>
                <w:sz w:val="16"/>
                <w:szCs w:val="16"/>
              </w:rPr>
              <w:t>Increases need for training of officials.</w:t>
            </w:r>
          </w:p>
          <w:p w14:paraId="6756BF25" w14:textId="77777777" w:rsidR="00C64B48" w:rsidRPr="00666E2A" w:rsidRDefault="00C64B48" w:rsidP="00F9080A">
            <w:pPr>
              <w:pStyle w:val="Body"/>
              <w:spacing w:before="60" w:after="60"/>
              <w:jc w:val="both"/>
              <w:rPr>
                <w:i/>
                <w:iCs/>
                <w:noProof/>
                <w:sz w:val="16"/>
                <w:szCs w:val="16"/>
              </w:rPr>
            </w:pPr>
          </w:p>
        </w:tc>
      </w:tr>
    </w:tbl>
    <w:p w14:paraId="5BE8D80F" w14:textId="77777777" w:rsidR="007F36CB" w:rsidRDefault="00C76702" w:rsidP="00704502">
      <w:pPr>
        <w:pStyle w:val="Body"/>
        <w:spacing w:before="120" w:after="120"/>
        <w:jc w:val="both"/>
        <w:rPr>
          <w:rFonts w:ascii="Times New Roman" w:hAnsi="Times New Roman"/>
          <w:noProof/>
          <w:sz w:val="24"/>
        </w:rPr>
      </w:pPr>
      <w:r w:rsidRPr="00522C56">
        <w:rPr>
          <w:rFonts w:ascii="Times New Roman" w:hAnsi="Times New Roman"/>
          <w:noProof/>
          <w:sz w:val="24"/>
        </w:rPr>
        <w:t xml:space="preserve">Overall, it is expected that the preferred policy option will have a </w:t>
      </w:r>
      <w:r w:rsidR="009216BE">
        <w:rPr>
          <w:rFonts w:ascii="Times New Roman" w:hAnsi="Times New Roman"/>
          <w:noProof/>
          <w:sz w:val="24"/>
        </w:rPr>
        <w:t xml:space="preserve">very significant </w:t>
      </w:r>
      <w:r w:rsidRPr="00522C56">
        <w:rPr>
          <w:rFonts w:ascii="Times New Roman" w:hAnsi="Times New Roman"/>
          <w:noProof/>
          <w:sz w:val="24"/>
        </w:rPr>
        <w:t xml:space="preserve">impact on the </w:t>
      </w:r>
      <w:r w:rsidRPr="001E7992">
        <w:rPr>
          <w:rFonts w:ascii="Times New Roman" w:hAnsi="Times New Roman"/>
          <w:b/>
          <w:noProof/>
          <w:sz w:val="24"/>
        </w:rPr>
        <w:t>eff</w:t>
      </w:r>
      <w:r w:rsidR="00A7181E" w:rsidRPr="001E7992">
        <w:rPr>
          <w:rFonts w:ascii="Times New Roman" w:hAnsi="Times New Roman"/>
          <w:b/>
          <w:noProof/>
          <w:sz w:val="24"/>
        </w:rPr>
        <w:t>ectiveness</w:t>
      </w:r>
      <w:r w:rsidRPr="00522C56">
        <w:rPr>
          <w:rFonts w:ascii="Times New Roman" w:hAnsi="Times New Roman"/>
          <w:noProof/>
          <w:sz w:val="24"/>
        </w:rPr>
        <w:t xml:space="preserve"> of EU cross-border law enforcement cooperation. </w:t>
      </w:r>
      <w:r w:rsidR="00855EF6">
        <w:rPr>
          <w:rFonts w:ascii="Times New Roman" w:hAnsi="Times New Roman"/>
          <w:noProof/>
          <w:sz w:val="24"/>
        </w:rPr>
        <w:t>T</w:t>
      </w:r>
      <w:r w:rsidRPr="00522C56">
        <w:rPr>
          <w:rFonts w:ascii="Times New Roman" w:hAnsi="Times New Roman"/>
          <w:noProof/>
          <w:sz w:val="24"/>
        </w:rPr>
        <w:t xml:space="preserve">he preferred policy option will contribute to </w:t>
      </w:r>
      <w:r w:rsidR="001E7992" w:rsidRPr="001E7992">
        <w:rPr>
          <w:rFonts w:ascii="Times New Roman" w:hAnsi="Times New Roman"/>
          <w:b/>
          <w:noProof/>
          <w:sz w:val="24"/>
        </w:rPr>
        <w:t>eff</w:t>
      </w:r>
      <w:r w:rsidR="001E7992">
        <w:rPr>
          <w:rFonts w:ascii="Times New Roman" w:hAnsi="Times New Roman"/>
          <w:b/>
          <w:noProof/>
          <w:sz w:val="24"/>
        </w:rPr>
        <w:t xml:space="preserve">iciently </w:t>
      </w:r>
      <w:r w:rsidRPr="00522C56">
        <w:rPr>
          <w:rFonts w:ascii="Times New Roman" w:hAnsi="Times New Roman"/>
          <w:noProof/>
          <w:sz w:val="24"/>
        </w:rPr>
        <w:t>reduc</w:t>
      </w:r>
      <w:r w:rsidR="001E7992">
        <w:rPr>
          <w:rFonts w:ascii="Times New Roman" w:hAnsi="Times New Roman"/>
          <w:noProof/>
          <w:sz w:val="24"/>
        </w:rPr>
        <w:t>e</w:t>
      </w:r>
      <w:r w:rsidRPr="00522C56">
        <w:rPr>
          <w:rFonts w:ascii="Times New Roman" w:hAnsi="Times New Roman"/>
          <w:noProof/>
          <w:sz w:val="24"/>
        </w:rPr>
        <w:t xml:space="preserve"> specific types of </w:t>
      </w:r>
      <w:r w:rsidRPr="00765C11">
        <w:rPr>
          <w:rFonts w:ascii="Times New Roman" w:hAnsi="Times New Roman"/>
          <w:b/>
          <w:noProof/>
          <w:sz w:val="24"/>
        </w:rPr>
        <w:t>costs</w:t>
      </w:r>
      <w:r w:rsidRPr="00522C56">
        <w:rPr>
          <w:rFonts w:ascii="Times New Roman" w:hAnsi="Times New Roman"/>
          <w:noProof/>
          <w:sz w:val="24"/>
        </w:rPr>
        <w:t xml:space="preserve"> related to law enforcement cooperation, while at the same time contribute to increasing others.</w:t>
      </w:r>
    </w:p>
    <w:p w14:paraId="0EB59975" w14:textId="77777777" w:rsidR="00C76702" w:rsidRDefault="00C76702" w:rsidP="001E7992">
      <w:pPr>
        <w:pStyle w:val="Body"/>
        <w:spacing w:before="120"/>
        <w:jc w:val="both"/>
        <w:rPr>
          <w:rFonts w:ascii="Times New Roman" w:hAnsi="Times New Roman"/>
          <w:noProof/>
          <w:sz w:val="24"/>
        </w:rPr>
      </w:pPr>
      <w:r w:rsidRPr="00522C56">
        <w:rPr>
          <w:rFonts w:ascii="Times New Roman" w:hAnsi="Times New Roman"/>
          <w:noProof/>
          <w:sz w:val="24"/>
        </w:rPr>
        <w:t xml:space="preserve">It can be expected that different Member States will be affected by reduced/increased costs to varying degrees depending on how much aligned their current national set-up already is with the measures </w:t>
      </w:r>
      <w:r w:rsidR="00515FB3">
        <w:rPr>
          <w:rFonts w:ascii="Times New Roman" w:hAnsi="Times New Roman"/>
          <w:noProof/>
          <w:sz w:val="24"/>
        </w:rPr>
        <w:t xml:space="preserve">envisaged </w:t>
      </w:r>
      <w:r w:rsidRPr="00522C56">
        <w:rPr>
          <w:rFonts w:ascii="Times New Roman" w:hAnsi="Times New Roman"/>
          <w:noProof/>
          <w:sz w:val="24"/>
        </w:rPr>
        <w:t>under the preferred policy option.</w:t>
      </w:r>
      <w:r w:rsidR="00765C11" w:rsidRPr="00765C11">
        <w:rPr>
          <w:rFonts w:ascii="Times New Roman" w:hAnsi="Times New Roman"/>
          <w:noProof/>
          <w:sz w:val="24"/>
        </w:rPr>
        <w:t xml:space="preserve"> </w:t>
      </w:r>
      <w:r w:rsidR="00765C11" w:rsidRPr="00522C56">
        <w:rPr>
          <w:rFonts w:ascii="Times New Roman" w:hAnsi="Times New Roman"/>
          <w:noProof/>
          <w:sz w:val="24"/>
        </w:rPr>
        <w:t xml:space="preserve">However, </w:t>
      </w:r>
      <w:r w:rsidR="00765C11" w:rsidRPr="006241B7">
        <w:rPr>
          <w:rFonts w:ascii="Times New Roman" w:hAnsi="Times New Roman"/>
          <w:b/>
          <w:noProof/>
          <w:sz w:val="24"/>
        </w:rPr>
        <w:t>reliable quantitative data on costs are largely missing</w:t>
      </w:r>
      <w:r w:rsidR="00515FB3">
        <w:rPr>
          <w:rStyle w:val="FootnoteReference"/>
          <w:rFonts w:ascii="Times New Roman" w:hAnsi="Times New Roman"/>
          <w:noProof/>
          <w:sz w:val="24"/>
        </w:rPr>
        <w:footnoteReference w:id="120"/>
      </w:r>
      <w:r w:rsidR="00765C11" w:rsidRPr="00522C56">
        <w:rPr>
          <w:rFonts w:ascii="Times New Roman" w:hAnsi="Times New Roman"/>
          <w:noProof/>
          <w:sz w:val="24"/>
        </w:rPr>
        <w:t>.</w:t>
      </w:r>
    </w:p>
    <w:p w14:paraId="3AD8580F" w14:textId="77777777" w:rsidR="00C76702" w:rsidRPr="00C26F75" w:rsidRDefault="003725AB" w:rsidP="00094199">
      <w:pPr>
        <w:pStyle w:val="Heading2"/>
        <w:rPr>
          <w:noProof/>
        </w:rPr>
      </w:pPr>
      <w:r>
        <w:rPr>
          <w:noProof/>
        </w:rPr>
        <w:t xml:space="preserve">  </w:t>
      </w:r>
      <w:bookmarkStart w:id="122" w:name="_Toc83801050"/>
      <w:r w:rsidR="00C76702" w:rsidRPr="00C26F75">
        <w:rPr>
          <w:noProof/>
        </w:rPr>
        <w:t xml:space="preserve">Main types of costs expected to be reduced/increased with </w:t>
      </w:r>
      <w:r w:rsidR="00544876">
        <w:rPr>
          <w:noProof/>
        </w:rPr>
        <w:t xml:space="preserve">the </w:t>
      </w:r>
      <w:r w:rsidR="00C76702" w:rsidRPr="00C26F75">
        <w:rPr>
          <w:noProof/>
        </w:rPr>
        <w:t>preferred policy option</w:t>
      </w:r>
      <w:bookmarkEnd w:id="122"/>
    </w:p>
    <w:tbl>
      <w:tblPr>
        <w:tblStyle w:val="TableGrid"/>
        <w:tblW w:w="0" w:type="auto"/>
        <w:tblLook w:val="04A0" w:firstRow="1" w:lastRow="0" w:firstColumn="1" w:lastColumn="0" w:noHBand="0" w:noVBand="1"/>
      </w:tblPr>
      <w:tblGrid>
        <w:gridCol w:w="4648"/>
        <w:gridCol w:w="5099"/>
      </w:tblGrid>
      <w:tr w:rsidR="00C76702" w:rsidRPr="006C3C30" w14:paraId="2FFC4B51" w14:textId="77777777" w:rsidTr="00A414D7">
        <w:trPr>
          <w:tblHeader/>
        </w:trPr>
        <w:tc>
          <w:tcPr>
            <w:tcW w:w="4648" w:type="dxa"/>
            <w:shd w:val="clear" w:color="auto" w:fill="9CC2E5" w:themeFill="accent1" w:themeFillTint="99"/>
          </w:tcPr>
          <w:p w14:paraId="18B70826" w14:textId="77777777" w:rsidR="00C76702" w:rsidRPr="00522C56" w:rsidRDefault="00C76702">
            <w:pPr>
              <w:pStyle w:val="Body"/>
              <w:spacing w:before="60" w:after="60"/>
              <w:jc w:val="center"/>
              <w:rPr>
                <w:b/>
                <w:noProof/>
                <w:sz w:val="18"/>
                <w:szCs w:val="18"/>
              </w:rPr>
            </w:pPr>
            <w:r w:rsidRPr="00704502">
              <w:rPr>
                <w:b/>
                <w:noProof/>
                <w:sz w:val="16"/>
                <w:szCs w:val="18"/>
              </w:rPr>
              <w:t>Main types of costs increased</w:t>
            </w:r>
          </w:p>
        </w:tc>
        <w:tc>
          <w:tcPr>
            <w:tcW w:w="5099" w:type="dxa"/>
            <w:shd w:val="clear" w:color="auto" w:fill="9CC2E5" w:themeFill="accent1" w:themeFillTint="99"/>
          </w:tcPr>
          <w:p w14:paraId="40C06555" w14:textId="77777777" w:rsidR="00C76702" w:rsidRPr="00522C56" w:rsidRDefault="00C76702">
            <w:pPr>
              <w:pStyle w:val="Body"/>
              <w:spacing w:before="60" w:after="60"/>
              <w:jc w:val="center"/>
              <w:rPr>
                <w:b/>
                <w:noProof/>
                <w:sz w:val="18"/>
                <w:szCs w:val="18"/>
              </w:rPr>
            </w:pPr>
            <w:r w:rsidRPr="00704502">
              <w:rPr>
                <w:b/>
                <w:noProof/>
                <w:sz w:val="16"/>
                <w:szCs w:val="18"/>
              </w:rPr>
              <w:t>Main types of costs decreased</w:t>
            </w:r>
          </w:p>
        </w:tc>
      </w:tr>
      <w:tr w:rsidR="00C76702" w:rsidRPr="006C3C30" w14:paraId="0B578F19" w14:textId="77777777" w:rsidTr="009D6B1A">
        <w:tc>
          <w:tcPr>
            <w:tcW w:w="9747" w:type="dxa"/>
            <w:gridSpan w:val="2"/>
            <w:shd w:val="clear" w:color="auto" w:fill="44546A" w:themeFill="text2"/>
          </w:tcPr>
          <w:p w14:paraId="7CE2294E" w14:textId="77777777" w:rsidR="00C76702" w:rsidRPr="00006905" w:rsidRDefault="00C76702">
            <w:pPr>
              <w:pStyle w:val="Body"/>
              <w:spacing w:before="60" w:after="60"/>
              <w:jc w:val="center"/>
              <w:rPr>
                <w:i/>
                <w:iCs/>
                <w:noProof/>
                <w:color w:val="FFFFFF" w:themeColor="background1"/>
                <w:sz w:val="18"/>
                <w:szCs w:val="18"/>
              </w:rPr>
            </w:pPr>
            <w:r w:rsidRPr="00704502">
              <w:rPr>
                <w:b/>
                <w:noProof/>
                <w:color w:val="FFFFFF" w:themeColor="background1"/>
                <w:sz w:val="16"/>
                <w:szCs w:val="18"/>
              </w:rPr>
              <w:t>To ensure the efficient access to and exchange of necessary information among law enforcement authorities in an intra-EU context</w:t>
            </w:r>
          </w:p>
        </w:tc>
      </w:tr>
      <w:tr w:rsidR="00C76702" w:rsidRPr="006C3C30" w14:paraId="79F23F20" w14:textId="77777777" w:rsidTr="009D6B1A">
        <w:tc>
          <w:tcPr>
            <w:tcW w:w="4648" w:type="dxa"/>
            <w:shd w:val="clear" w:color="auto" w:fill="BDD6EE" w:themeFill="accent1" w:themeFillTint="66"/>
          </w:tcPr>
          <w:p w14:paraId="39196C01" w14:textId="77777777" w:rsidR="00C76702" w:rsidRPr="00522C56" w:rsidRDefault="00C76702">
            <w:pPr>
              <w:pStyle w:val="Body"/>
              <w:spacing w:before="60" w:after="60"/>
              <w:rPr>
                <w:i/>
                <w:iCs/>
                <w:noProof/>
                <w:sz w:val="16"/>
                <w:szCs w:val="16"/>
                <w:u w:val="single"/>
              </w:rPr>
            </w:pPr>
            <w:r w:rsidRPr="00522C56">
              <w:rPr>
                <w:i/>
                <w:iCs/>
                <w:noProof/>
                <w:sz w:val="16"/>
                <w:szCs w:val="16"/>
                <w:u w:val="single"/>
              </w:rPr>
              <w:t>EU level:</w:t>
            </w:r>
          </w:p>
          <w:p w14:paraId="1F512580" w14:textId="77777777" w:rsidR="00C76702" w:rsidRPr="00522C56" w:rsidRDefault="00C76702">
            <w:pPr>
              <w:pStyle w:val="Body"/>
              <w:numPr>
                <w:ilvl w:val="0"/>
                <w:numId w:val="36"/>
              </w:numPr>
              <w:spacing w:before="60" w:after="60"/>
              <w:ind w:left="266" w:hanging="266"/>
              <w:rPr>
                <w:noProof/>
                <w:sz w:val="16"/>
                <w:szCs w:val="16"/>
              </w:rPr>
            </w:pPr>
            <w:r w:rsidRPr="00522C56">
              <w:rPr>
                <w:noProof/>
                <w:sz w:val="16"/>
                <w:szCs w:val="16"/>
              </w:rPr>
              <w:t>EU funding (e.g. through Internal Security Fund) and financial support, as well as budget for procuring studies</w:t>
            </w:r>
            <w:r w:rsidR="00855EF6">
              <w:rPr>
                <w:noProof/>
                <w:sz w:val="16"/>
                <w:szCs w:val="16"/>
              </w:rPr>
              <w:t>.</w:t>
            </w:r>
          </w:p>
          <w:p w14:paraId="07186FC1" w14:textId="77777777" w:rsidR="00C76702" w:rsidRPr="00522C56" w:rsidRDefault="00C76702">
            <w:pPr>
              <w:pStyle w:val="Body"/>
              <w:numPr>
                <w:ilvl w:val="0"/>
                <w:numId w:val="36"/>
              </w:numPr>
              <w:spacing w:before="60" w:after="60"/>
              <w:ind w:left="266" w:hanging="266"/>
              <w:rPr>
                <w:noProof/>
                <w:sz w:val="16"/>
                <w:szCs w:val="16"/>
              </w:rPr>
            </w:pPr>
            <w:r w:rsidRPr="00522C56">
              <w:rPr>
                <w:noProof/>
                <w:sz w:val="16"/>
                <w:szCs w:val="16"/>
              </w:rPr>
              <w:t>Costs in relation to awareness raising and training (incl. by CEPOL)</w:t>
            </w:r>
            <w:r w:rsidR="00855EF6">
              <w:rPr>
                <w:noProof/>
                <w:sz w:val="16"/>
                <w:szCs w:val="16"/>
              </w:rPr>
              <w:t>.</w:t>
            </w:r>
          </w:p>
          <w:p w14:paraId="4F83E0D5" w14:textId="77777777" w:rsidR="00C76702" w:rsidRPr="00522C56" w:rsidRDefault="00C76702">
            <w:pPr>
              <w:pStyle w:val="Body"/>
              <w:spacing w:before="60" w:after="60"/>
              <w:rPr>
                <w:i/>
                <w:iCs/>
                <w:noProof/>
                <w:sz w:val="16"/>
                <w:szCs w:val="16"/>
                <w:u w:val="single"/>
              </w:rPr>
            </w:pPr>
            <w:r w:rsidRPr="00522C56">
              <w:rPr>
                <w:i/>
                <w:iCs/>
                <w:noProof/>
                <w:sz w:val="16"/>
                <w:szCs w:val="16"/>
                <w:u w:val="single"/>
              </w:rPr>
              <w:t xml:space="preserve">Member State level: </w:t>
            </w:r>
          </w:p>
          <w:p w14:paraId="11551B2E" w14:textId="77777777" w:rsidR="00C76702" w:rsidRPr="00522C56" w:rsidRDefault="00C76702">
            <w:pPr>
              <w:pStyle w:val="Body"/>
              <w:numPr>
                <w:ilvl w:val="0"/>
                <w:numId w:val="36"/>
              </w:numPr>
              <w:spacing w:before="60" w:after="60"/>
              <w:ind w:left="266" w:hanging="266"/>
              <w:rPr>
                <w:noProof/>
                <w:sz w:val="16"/>
                <w:szCs w:val="16"/>
              </w:rPr>
            </w:pPr>
            <w:r w:rsidRPr="00522C56">
              <w:rPr>
                <w:noProof/>
                <w:sz w:val="16"/>
                <w:szCs w:val="16"/>
              </w:rPr>
              <w:t xml:space="preserve">Necessitates investments at MS level, including for IT- and staff-related investments. </w:t>
            </w:r>
          </w:p>
          <w:p w14:paraId="09007859" w14:textId="77777777" w:rsidR="00C76702" w:rsidRPr="00522C56" w:rsidRDefault="00C76702">
            <w:pPr>
              <w:pStyle w:val="Body"/>
              <w:numPr>
                <w:ilvl w:val="0"/>
                <w:numId w:val="36"/>
              </w:numPr>
              <w:spacing w:before="60" w:after="60"/>
              <w:ind w:left="266" w:hanging="266"/>
              <w:rPr>
                <w:noProof/>
                <w:sz w:val="16"/>
                <w:szCs w:val="16"/>
              </w:rPr>
            </w:pPr>
            <w:r w:rsidRPr="00522C56">
              <w:rPr>
                <w:noProof/>
                <w:sz w:val="16"/>
                <w:szCs w:val="16"/>
              </w:rPr>
              <w:t>Increased budgetary spending by MS on officers’ training</w:t>
            </w:r>
            <w:r w:rsidR="00855EF6">
              <w:rPr>
                <w:noProof/>
                <w:sz w:val="16"/>
                <w:szCs w:val="16"/>
              </w:rPr>
              <w:t>.</w:t>
            </w:r>
          </w:p>
        </w:tc>
        <w:tc>
          <w:tcPr>
            <w:tcW w:w="5099" w:type="dxa"/>
            <w:shd w:val="clear" w:color="auto" w:fill="BDD6EE" w:themeFill="accent1" w:themeFillTint="66"/>
          </w:tcPr>
          <w:p w14:paraId="7215B07E" w14:textId="77777777" w:rsidR="00C76702" w:rsidRPr="00522C56" w:rsidRDefault="00C76702">
            <w:pPr>
              <w:pStyle w:val="Body"/>
              <w:spacing w:before="60" w:after="60"/>
              <w:rPr>
                <w:i/>
                <w:iCs/>
                <w:noProof/>
                <w:sz w:val="16"/>
                <w:szCs w:val="16"/>
                <w:u w:val="single"/>
              </w:rPr>
            </w:pPr>
            <w:r w:rsidRPr="00522C56">
              <w:rPr>
                <w:i/>
                <w:iCs/>
                <w:noProof/>
                <w:sz w:val="16"/>
                <w:szCs w:val="16"/>
                <w:u w:val="single"/>
              </w:rPr>
              <w:t>EU level:</w:t>
            </w:r>
          </w:p>
          <w:p w14:paraId="4520BA86" w14:textId="77777777" w:rsidR="00C76702" w:rsidRPr="00522C56" w:rsidRDefault="00C76702">
            <w:pPr>
              <w:pStyle w:val="ListParagraph"/>
              <w:numPr>
                <w:ilvl w:val="0"/>
                <w:numId w:val="37"/>
              </w:numPr>
              <w:spacing w:before="40" w:after="40" w:line="240" w:lineRule="auto"/>
              <w:ind w:left="230" w:hanging="230"/>
              <w:contextualSpacing w:val="0"/>
              <w:rPr>
                <w:rFonts w:ascii="Verdana" w:hAnsi="Verdana"/>
                <w:noProof/>
                <w:sz w:val="16"/>
                <w:szCs w:val="16"/>
              </w:rPr>
            </w:pPr>
            <w:r w:rsidRPr="00522C56">
              <w:rPr>
                <w:rFonts w:ascii="Verdana" w:hAnsi="Verdana"/>
                <w:noProof/>
                <w:sz w:val="16"/>
                <w:szCs w:val="16"/>
              </w:rPr>
              <w:t>n/a</w:t>
            </w:r>
          </w:p>
          <w:p w14:paraId="13A07E20" w14:textId="77777777" w:rsidR="00C76702" w:rsidRPr="00522C56" w:rsidRDefault="00C76702" w:rsidP="00704502">
            <w:pPr>
              <w:spacing w:before="40" w:after="40" w:line="240" w:lineRule="auto"/>
              <w:rPr>
                <w:rFonts w:ascii="Verdana" w:hAnsi="Verdana"/>
                <w:noProof/>
                <w:sz w:val="16"/>
                <w:szCs w:val="16"/>
              </w:rPr>
            </w:pPr>
            <w:r w:rsidRPr="00522C56">
              <w:rPr>
                <w:rFonts w:ascii="Verdana" w:hAnsi="Verdana"/>
                <w:i/>
                <w:noProof/>
                <w:sz w:val="16"/>
                <w:szCs w:val="16"/>
                <w:u w:val="single"/>
              </w:rPr>
              <w:t>Member State level:</w:t>
            </w:r>
          </w:p>
          <w:p w14:paraId="0F134421" w14:textId="77777777" w:rsidR="00C76702" w:rsidRPr="00522C56" w:rsidRDefault="00C76702">
            <w:pPr>
              <w:pStyle w:val="ListParagraph"/>
              <w:numPr>
                <w:ilvl w:val="0"/>
                <w:numId w:val="37"/>
              </w:numPr>
              <w:spacing w:before="40" w:after="40" w:line="240" w:lineRule="auto"/>
              <w:ind w:left="230" w:hanging="230"/>
              <w:contextualSpacing w:val="0"/>
              <w:rPr>
                <w:rFonts w:ascii="Verdana" w:hAnsi="Verdana"/>
                <w:noProof/>
                <w:sz w:val="16"/>
                <w:szCs w:val="16"/>
              </w:rPr>
            </w:pPr>
            <w:r w:rsidRPr="00522C56">
              <w:rPr>
                <w:rFonts w:ascii="Verdana" w:hAnsi="Verdana"/>
                <w:noProof/>
                <w:sz w:val="16"/>
                <w:szCs w:val="16"/>
              </w:rPr>
              <w:t>Reduced working time due to better information to act on (solving cases instead of managing them)</w:t>
            </w:r>
            <w:r w:rsidR="00855EF6">
              <w:rPr>
                <w:rFonts w:ascii="Verdana" w:hAnsi="Verdana"/>
                <w:noProof/>
                <w:sz w:val="16"/>
                <w:szCs w:val="16"/>
              </w:rPr>
              <w:t>.</w:t>
            </w:r>
          </w:p>
          <w:p w14:paraId="712969CC" w14:textId="77777777" w:rsidR="00C76702" w:rsidRPr="00522C56" w:rsidRDefault="00C76702">
            <w:pPr>
              <w:pStyle w:val="ListParagraph"/>
              <w:numPr>
                <w:ilvl w:val="0"/>
                <w:numId w:val="37"/>
              </w:numPr>
              <w:spacing w:before="40" w:after="40" w:line="240" w:lineRule="auto"/>
              <w:ind w:left="230" w:hanging="230"/>
              <w:contextualSpacing w:val="0"/>
              <w:rPr>
                <w:rFonts w:ascii="Verdana" w:hAnsi="Verdana"/>
                <w:noProof/>
                <w:sz w:val="16"/>
                <w:szCs w:val="16"/>
              </w:rPr>
            </w:pPr>
            <w:r w:rsidRPr="00522C56">
              <w:rPr>
                <w:rFonts w:ascii="Verdana" w:hAnsi="Verdana"/>
                <w:noProof/>
                <w:sz w:val="16"/>
                <w:szCs w:val="16"/>
              </w:rPr>
              <w:t>Reduced waiting time / time delays (e.g. due to waiting for information from LEAs in other countries)</w:t>
            </w:r>
            <w:r w:rsidR="00855EF6">
              <w:rPr>
                <w:rFonts w:ascii="Verdana" w:hAnsi="Verdana"/>
                <w:noProof/>
                <w:sz w:val="16"/>
                <w:szCs w:val="16"/>
              </w:rPr>
              <w:t>.</w:t>
            </w:r>
          </w:p>
          <w:p w14:paraId="5CCC9FB5" w14:textId="77777777" w:rsidR="00C76702" w:rsidRPr="00522C56" w:rsidRDefault="00C76702">
            <w:pPr>
              <w:pStyle w:val="ListParagraph"/>
              <w:numPr>
                <w:ilvl w:val="0"/>
                <w:numId w:val="37"/>
              </w:numPr>
              <w:spacing w:before="40" w:after="40" w:line="240" w:lineRule="auto"/>
              <w:ind w:left="230" w:hanging="230"/>
              <w:contextualSpacing w:val="0"/>
              <w:rPr>
                <w:rFonts w:ascii="Verdana" w:hAnsi="Verdana"/>
                <w:noProof/>
                <w:sz w:val="16"/>
                <w:szCs w:val="16"/>
              </w:rPr>
            </w:pPr>
            <w:r w:rsidRPr="00522C56">
              <w:rPr>
                <w:rFonts w:ascii="Verdana" w:hAnsi="Verdana"/>
                <w:noProof/>
                <w:sz w:val="16"/>
                <w:szCs w:val="16"/>
              </w:rPr>
              <w:t>Less time needed for case management</w:t>
            </w:r>
            <w:r w:rsidR="00855EF6">
              <w:rPr>
                <w:rFonts w:ascii="Verdana" w:hAnsi="Verdana"/>
                <w:noProof/>
                <w:sz w:val="16"/>
                <w:szCs w:val="16"/>
              </w:rPr>
              <w:t>.</w:t>
            </w:r>
          </w:p>
          <w:p w14:paraId="3117D279" w14:textId="77777777" w:rsidR="00C76702" w:rsidRPr="00522C56" w:rsidRDefault="00C76702">
            <w:pPr>
              <w:pStyle w:val="ListParagraph"/>
              <w:numPr>
                <w:ilvl w:val="0"/>
                <w:numId w:val="37"/>
              </w:numPr>
              <w:spacing w:before="40" w:after="40" w:line="240" w:lineRule="auto"/>
              <w:ind w:left="230" w:hanging="230"/>
              <w:contextualSpacing w:val="0"/>
              <w:rPr>
                <w:rFonts w:ascii="Verdana" w:hAnsi="Verdana"/>
                <w:noProof/>
                <w:sz w:val="16"/>
                <w:szCs w:val="16"/>
              </w:rPr>
            </w:pPr>
            <w:r w:rsidRPr="00522C56">
              <w:rPr>
                <w:rFonts w:ascii="Verdana" w:hAnsi="Verdana"/>
                <w:noProof/>
                <w:sz w:val="16"/>
                <w:szCs w:val="16"/>
              </w:rPr>
              <w:t xml:space="preserve">Fewer resources needed for case management, i.e. more resources spent on </w:t>
            </w:r>
            <w:r w:rsidR="00855EF6">
              <w:rPr>
                <w:rFonts w:ascii="Verdana" w:hAnsi="Verdana"/>
                <w:noProof/>
                <w:sz w:val="16"/>
                <w:szCs w:val="16"/>
              </w:rPr>
              <w:t>"</w:t>
            </w:r>
            <w:r w:rsidRPr="00522C56">
              <w:rPr>
                <w:rFonts w:ascii="Verdana" w:hAnsi="Verdana"/>
                <w:noProof/>
                <w:sz w:val="16"/>
                <w:szCs w:val="16"/>
              </w:rPr>
              <w:t>solving cases</w:t>
            </w:r>
            <w:r w:rsidR="00855EF6">
              <w:rPr>
                <w:rFonts w:ascii="Verdana" w:hAnsi="Verdana"/>
                <w:noProof/>
                <w:sz w:val="16"/>
                <w:szCs w:val="16"/>
              </w:rPr>
              <w:t>".</w:t>
            </w:r>
          </w:p>
        </w:tc>
      </w:tr>
    </w:tbl>
    <w:p w14:paraId="5D6CA04A" w14:textId="28E02BE9" w:rsidR="00C76702" w:rsidRDefault="00C76702" w:rsidP="00C76702">
      <w:pPr>
        <w:spacing w:before="120" w:after="120" w:line="240" w:lineRule="auto"/>
        <w:jc w:val="both"/>
        <w:rPr>
          <w:rFonts w:ascii="Times New Roman" w:hAnsi="Times New Roman" w:cs="Times New Roman"/>
          <w:bCs/>
          <w:noProof/>
          <w:sz w:val="24"/>
          <w:szCs w:val="24"/>
        </w:rPr>
      </w:pPr>
      <w:r w:rsidRPr="00580B0E">
        <w:rPr>
          <w:rFonts w:ascii="Times New Roman" w:hAnsi="Times New Roman" w:cs="Times New Roman"/>
          <w:bCs/>
          <w:noProof/>
          <w:sz w:val="24"/>
          <w:szCs w:val="24"/>
        </w:rPr>
        <w:t>While highly depending from the specificities of each national IT set-up and legal parameters</w:t>
      </w:r>
      <w:r>
        <w:rPr>
          <w:rFonts w:ascii="Times New Roman" w:hAnsi="Times New Roman" w:cs="Times New Roman"/>
          <w:bCs/>
          <w:noProof/>
          <w:sz w:val="24"/>
          <w:szCs w:val="24"/>
        </w:rPr>
        <w:t xml:space="preserve">, an </w:t>
      </w:r>
      <w:r w:rsidRPr="00580B0E">
        <w:rPr>
          <w:rFonts w:ascii="Times New Roman" w:hAnsi="Times New Roman" w:cs="Times New Roman"/>
          <w:bCs/>
          <w:noProof/>
          <w:sz w:val="24"/>
          <w:szCs w:val="24"/>
        </w:rPr>
        <w:t>estimation of possible costs has been provided by Europol</w:t>
      </w:r>
      <w:r>
        <w:rPr>
          <w:rFonts w:ascii="Times New Roman" w:hAnsi="Times New Roman" w:cs="Times New Roman"/>
          <w:bCs/>
          <w:noProof/>
          <w:sz w:val="24"/>
          <w:szCs w:val="24"/>
        </w:rPr>
        <w:t xml:space="preserve">. These costs, deemed acceptable, are </w:t>
      </w:r>
      <w:r w:rsidRPr="00EC27BF">
        <w:rPr>
          <w:rFonts w:ascii="Times New Roman" w:hAnsi="Times New Roman" w:cs="Times New Roman"/>
          <w:b/>
          <w:noProof/>
          <w:sz w:val="24"/>
        </w:rPr>
        <w:t xml:space="preserve">proportionate </w:t>
      </w:r>
      <w:r w:rsidRPr="00EC27BF">
        <w:rPr>
          <w:rFonts w:ascii="Times New Roman" w:hAnsi="Times New Roman" w:cs="Times New Roman"/>
          <w:noProof/>
          <w:sz w:val="24"/>
        </w:rPr>
        <w:t>to the identified problem and do not go beyond what is necessary to achieve the specific objective</w:t>
      </w:r>
      <w:r>
        <w:rPr>
          <w:rFonts w:ascii="Times New Roman" w:hAnsi="Times New Roman" w:cs="Times New Roman"/>
          <w:noProof/>
          <w:sz w:val="24"/>
        </w:rPr>
        <w:t xml:space="preserve"> </w:t>
      </w:r>
      <w:r w:rsidRPr="00580B0E">
        <w:rPr>
          <w:rFonts w:ascii="Times New Roman" w:hAnsi="Times New Roman" w:cs="Times New Roman"/>
          <w:bCs/>
          <w:noProof/>
          <w:sz w:val="24"/>
          <w:szCs w:val="24"/>
        </w:rPr>
        <w:t>(see below).</w:t>
      </w:r>
      <w:r w:rsidR="00D06D3F">
        <w:rPr>
          <w:rFonts w:ascii="Times New Roman" w:hAnsi="Times New Roman" w:cs="Times New Roman"/>
          <w:bCs/>
          <w:noProof/>
          <w:sz w:val="24"/>
          <w:szCs w:val="24"/>
        </w:rPr>
        <w:t xml:space="preserve"> </w:t>
      </w:r>
      <w:r w:rsidR="00D06D3F" w:rsidRPr="00645701">
        <w:rPr>
          <w:rFonts w:ascii="Times New Roman" w:hAnsi="Times New Roman" w:cs="Times New Roman"/>
          <w:noProof/>
          <w:sz w:val="24"/>
        </w:rPr>
        <w:t xml:space="preserve">The Annex 3 provide further details on the methodology issues to </w:t>
      </w:r>
      <w:r w:rsidR="00645701" w:rsidRPr="00645701">
        <w:rPr>
          <w:rFonts w:ascii="Times New Roman" w:hAnsi="Times New Roman" w:cs="Times New Roman"/>
          <w:noProof/>
          <w:sz w:val="24"/>
        </w:rPr>
        <w:t>estimate anticipated</w:t>
      </w:r>
      <w:r w:rsidR="00D06D3F" w:rsidRPr="00645701">
        <w:rPr>
          <w:rFonts w:ascii="Times New Roman" w:hAnsi="Times New Roman" w:cs="Times New Roman"/>
          <w:noProof/>
          <w:sz w:val="24"/>
        </w:rPr>
        <w:t xml:space="preserve"> costs</w:t>
      </w:r>
      <w:r w:rsidR="00645701" w:rsidRPr="00645701">
        <w:rPr>
          <w:rFonts w:ascii="Times New Roman" w:hAnsi="Times New Roman" w:cs="Times New Roman"/>
          <w:noProof/>
          <w:sz w:val="24"/>
        </w:rPr>
        <w:t xml:space="preserve">. Given the lack of data, these costs </w:t>
      </w:r>
      <w:r w:rsidR="00A863D1">
        <w:rPr>
          <w:rFonts w:ascii="Times New Roman" w:hAnsi="Times New Roman" w:cs="Times New Roman"/>
          <w:noProof/>
          <w:sz w:val="24"/>
        </w:rPr>
        <w:t>are considered</w:t>
      </w:r>
      <w:r w:rsidR="00645701" w:rsidRPr="00645701">
        <w:rPr>
          <w:rFonts w:ascii="Times New Roman" w:hAnsi="Times New Roman" w:cs="Times New Roman"/>
          <w:noProof/>
          <w:sz w:val="24"/>
        </w:rPr>
        <w:t xml:space="preserve"> </w:t>
      </w:r>
      <w:r w:rsidR="00645701" w:rsidRPr="006241B7">
        <w:rPr>
          <w:rFonts w:ascii="Times New Roman" w:hAnsi="Times New Roman" w:cs="Times New Roman"/>
          <w:b/>
          <w:noProof/>
          <w:sz w:val="24"/>
        </w:rPr>
        <w:t>rough estimations</w:t>
      </w:r>
      <w:r w:rsidR="00D06D3F" w:rsidRPr="00645701">
        <w:rPr>
          <w:rFonts w:ascii="Times New Roman" w:hAnsi="Times New Roman" w:cs="Times New Roman"/>
          <w:noProof/>
          <w:sz w:val="24"/>
        </w:rPr>
        <w:t>.</w:t>
      </w:r>
    </w:p>
    <w:tbl>
      <w:tblPr>
        <w:tblStyle w:val="Sty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76702" w:rsidRPr="000326D1" w14:paraId="7DBF2F1F" w14:textId="77777777" w:rsidTr="00A414D7">
        <w:tc>
          <w:tcPr>
            <w:tcW w:w="9747" w:type="dxa"/>
            <w:shd w:val="clear" w:color="auto" w:fill="BDD6EE" w:themeFill="accent1" w:themeFillTint="66"/>
          </w:tcPr>
          <w:p w14:paraId="2B4E25DA" w14:textId="77777777" w:rsidR="00C76702" w:rsidRPr="00AE44F2" w:rsidRDefault="00C76702" w:rsidP="00713A1A">
            <w:pPr>
              <w:pStyle w:val="Body"/>
              <w:spacing w:after="120"/>
              <w:jc w:val="center"/>
              <w:rPr>
                <w:b/>
                <w:noProof/>
                <w:sz w:val="16"/>
              </w:rPr>
            </w:pPr>
            <w:r w:rsidRPr="00AE44F2">
              <w:rPr>
                <w:b/>
                <w:iCs/>
                <w:noProof/>
                <w:sz w:val="16"/>
              </w:rPr>
              <w:t xml:space="preserve">The </w:t>
            </w:r>
            <w:r w:rsidRPr="00AE44F2">
              <w:rPr>
                <w:b/>
                <w:noProof/>
                <w:sz w:val="16"/>
              </w:rPr>
              <w:t>costs associated with the development of SIENA and CMS</w:t>
            </w:r>
          </w:p>
          <w:p w14:paraId="700EF668" w14:textId="77777777" w:rsidR="00C76702" w:rsidRPr="00980411" w:rsidRDefault="00C76702" w:rsidP="00D7651F">
            <w:pPr>
              <w:pStyle w:val="Body"/>
              <w:spacing w:after="60"/>
              <w:jc w:val="both"/>
              <w:rPr>
                <w:bCs/>
                <w:noProof/>
                <w:sz w:val="16"/>
              </w:rPr>
            </w:pPr>
            <w:r w:rsidRPr="00980411">
              <w:rPr>
                <w:bCs/>
                <w:noProof/>
                <w:sz w:val="16"/>
              </w:rPr>
              <w:t>The direct operational costs for SIENA are 1 to 1,2 million E</w:t>
            </w:r>
            <w:r w:rsidR="00953165">
              <w:rPr>
                <w:bCs/>
                <w:noProof/>
                <w:sz w:val="16"/>
              </w:rPr>
              <w:t>UR</w:t>
            </w:r>
            <w:r w:rsidRPr="00980411">
              <w:rPr>
                <w:bCs/>
                <w:noProof/>
                <w:sz w:val="16"/>
              </w:rPr>
              <w:t xml:space="preserve"> per year. This figure does not factor in hardware, helpdesk, infrastructure, business product management activities, training, etc. However, these items could be estimated at around 0,5 million in addition. </w:t>
            </w:r>
          </w:p>
          <w:p w14:paraId="090FE84C" w14:textId="77777777" w:rsidR="00C76702" w:rsidRPr="00980411" w:rsidRDefault="00C76702" w:rsidP="00D7651F">
            <w:pPr>
              <w:pStyle w:val="Body"/>
              <w:spacing w:after="60"/>
              <w:jc w:val="both"/>
              <w:rPr>
                <w:bCs/>
                <w:noProof/>
                <w:sz w:val="16"/>
              </w:rPr>
            </w:pPr>
            <w:r w:rsidRPr="00980411">
              <w:rPr>
                <w:bCs/>
                <w:noProof/>
                <w:sz w:val="16"/>
              </w:rPr>
              <w:t>For a CMS, an estimation of costs is difficult, as they are largely depending on system complexity, number of users, functionalities, licenses, infrastructure, etc. However, it can be estimated that, without infrastructure and hardware costs, the respective costs should be at least 150,000 E</w:t>
            </w:r>
            <w:r w:rsidR="00953165">
              <w:rPr>
                <w:bCs/>
                <w:noProof/>
                <w:sz w:val="16"/>
              </w:rPr>
              <w:t>UR</w:t>
            </w:r>
            <w:r w:rsidRPr="00980411">
              <w:rPr>
                <w:bCs/>
                <w:noProof/>
                <w:sz w:val="16"/>
              </w:rPr>
              <w:t xml:space="preserve">. </w:t>
            </w:r>
          </w:p>
          <w:p w14:paraId="424F7078" w14:textId="77777777" w:rsidR="00C76702" w:rsidRPr="00980411" w:rsidRDefault="00C76702" w:rsidP="00D7651F">
            <w:pPr>
              <w:pStyle w:val="Body"/>
              <w:spacing w:after="60"/>
              <w:rPr>
                <w:bCs/>
                <w:noProof/>
                <w:sz w:val="16"/>
              </w:rPr>
            </w:pPr>
            <w:r w:rsidRPr="00980411">
              <w:rPr>
                <w:bCs/>
                <w:noProof/>
                <w:sz w:val="16"/>
              </w:rPr>
              <w:t xml:space="preserve">The assumptions above are also presented in the following table. </w:t>
            </w:r>
          </w:p>
          <w:p w14:paraId="7C9A82A8" w14:textId="77777777" w:rsidR="00C76702" w:rsidRPr="000326D1" w:rsidRDefault="00C76702" w:rsidP="00EB7963">
            <w:pPr>
              <w:pStyle w:val="Caption"/>
              <w:keepNext/>
              <w:jc w:val="center"/>
              <w:rPr>
                <w:noProof/>
                <w:sz w:val="14"/>
                <w:lang w:val="en-GB"/>
              </w:rPr>
            </w:pPr>
            <w:r w:rsidRPr="000326D1">
              <w:rPr>
                <w:noProof/>
                <w:sz w:val="14"/>
                <w:lang w:val="en-GB"/>
              </w:rPr>
              <w:t>Estimation of costs for SIENA and CMS</w:t>
            </w:r>
            <w:r w:rsidR="001B37D1">
              <w:rPr>
                <w:rStyle w:val="FootnoteReference"/>
                <w:noProof/>
                <w:sz w:val="14"/>
                <w:lang w:val="en-GB"/>
              </w:rPr>
              <w:footnoteReference w:id="121"/>
            </w:r>
          </w:p>
          <w:tbl>
            <w:tblPr>
              <w:tblStyle w:val="DocumentTable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66"/>
              <w:gridCol w:w="2349"/>
              <w:gridCol w:w="2349"/>
            </w:tblGrid>
            <w:tr w:rsidR="00C76702" w:rsidRPr="000326D1" w14:paraId="4C92308E" w14:textId="77777777" w:rsidTr="00EB7963">
              <w:trPr>
                <w:cnfStyle w:val="100000000000" w:firstRow="1" w:lastRow="0" w:firstColumn="0" w:lastColumn="0" w:oddVBand="0" w:evenVBand="0" w:oddHBand="0" w:evenHBand="0" w:firstRowFirstColumn="0" w:firstRowLastColumn="0" w:lastRowFirstColumn="0" w:lastRowLastColumn="0"/>
              </w:trPr>
              <w:tc>
                <w:tcPr>
                  <w:tcW w:w="9394" w:type="dxa"/>
                  <w:gridSpan w:val="4"/>
                  <w:shd w:val="clear" w:color="auto" w:fill="44546A" w:themeFill="text2"/>
                </w:tcPr>
                <w:p w14:paraId="084DF626" w14:textId="77777777" w:rsidR="00C76702" w:rsidRPr="000326D1" w:rsidRDefault="00C76702" w:rsidP="00EB7963">
                  <w:pPr>
                    <w:pStyle w:val="Body"/>
                    <w:rPr>
                      <w:bCs/>
                      <w:noProof/>
                      <w:sz w:val="14"/>
                      <w:szCs w:val="18"/>
                    </w:rPr>
                  </w:pPr>
                  <w:r w:rsidRPr="000326D1">
                    <w:rPr>
                      <w:bCs/>
                      <w:noProof/>
                      <w:sz w:val="14"/>
                      <w:szCs w:val="18"/>
                    </w:rPr>
                    <w:t>MS package estimate</w:t>
                  </w:r>
                  <w:r w:rsidR="00953165">
                    <w:rPr>
                      <w:rStyle w:val="FootnoteReference"/>
                      <w:bCs/>
                      <w:noProof/>
                      <w:sz w:val="14"/>
                      <w:szCs w:val="18"/>
                    </w:rPr>
                    <w:footnoteReference w:id="122"/>
                  </w:r>
                </w:p>
              </w:tc>
            </w:tr>
            <w:tr w:rsidR="00C76702" w:rsidRPr="000326D1" w14:paraId="671B8335" w14:textId="77777777" w:rsidTr="00713A1A">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auto"/>
                </w:tcPr>
                <w:p w14:paraId="1F5DA56F" w14:textId="77777777" w:rsidR="00C76702" w:rsidRPr="000326D1" w:rsidRDefault="00C76702" w:rsidP="001B37D1">
                  <w:pPr>
                    <w:pStyle w:val="Body"/>
                    <w:spacing w:before="60" w:afterLines="60" w:after="144"/>
                    <w:rPr>
                      <w:bCs/>
                      <w:noProof/>
                      <w:sz w:val="14"/>
                      <w:szCs w:val="18"/>
                    </w:rPr>
                  </w:pPr>
                  <w:r w:rsidRPr="000326D1">
                    <w:rPr>
                      <w:bCs/>
                      <w:noProof/>
                      <w:sz w:val="14"/>
                      <w:szCs w:val="18"/>
                    </w:rPr>
                    <w:t>CMS for 10 MS</w:t>
                  </w:r>
                </w:p>
              </w:tc>
              <w:tc>
                <w:tcPr>
                  <w:tcW w:w="1866" w:type="dxa"/>
                  <w:shd w:val="clear" w:color="auto" w:fill="auto"/>
                </w:tcPr>
                <w:p w14:paraId="66A051BD" w14:textId="77777777" w:rsidR="00C76702" w:rsidRPr="000326D1" w:rsidRDefault="00C76702" w:rsidP="00FC167D">
                  <w:pPr>
                    <w:pStyle w:val="Body"/>
                    <w:spacing w:before="60" w:afterLines="60" w:after="144"/>
                    <w:jc w:val="center"/>
                    <w:rPr>
                      <w:bCs/>
                      <w:noProof/>
                      <w:sz w:val="14"/>
                      <w:szCs w:val="18"/>
                    </w:rPr>
                  </w:pPr>
                  <w:r w:rsidRPr="000326D1">
                    <w:rPr>
                      <w:bCs/>
                      <w:noProof/>
                      <w:sz w:val="14"/>
                      <w:szCs w:val="18"/>
                    </w:rPr>
                    <w:t>10 x 150.000</w:t>
                  </w:r>
                </w:p>
              </w:tc>
              <w:tc>
                <w:tcPr>
                  <w:tcW w:w="2349" w:type="dxa"/>
                  <w:shd w:val="clear" w:color="auto" w:fill="auto"/>
                </w:tcPr>
                <w:p w14:paraId="2F6CA544" w14:textId="77777777" w:rsidR="00C76702" w:rsidRPr="000326D1" w:rsidRDefault="00FC167D" w:rsidP="00FC167D">
                  <w:pPr>
                    <w:pStyle w:val="Body"/>
                    <w:spacing w:before="60" w:afterLines="60" w:after="144"/>
                    <w:jc w:val="center"/>
                    <w:rPr>
                      <w:bCs/>
                      <w:noProof/>
                      <w:sz w:val="14"/>
                      <w:szCs w:val="18"/>
                    </w:rPr>
                  </w:pPr>
                  <w:r>
                    <w:rPr>
                      <w:bCs/>
                      <w:noProof/>
                      <w:sz w:val="14"/>
                      <w:szCs w:val="18"/>
                    </w:rPr>
                    <w:t xml:space="preserve">EUR </w:t>
                  </w:r>
                  <w:r w:rsidR="00C76702" w:rsidRPr="000326D1">
                    <w:rPr>
                      <w:bCs/>
                      <w:noProof/>
                      <w:sz w:val="14"/>
                      <w:szCs w:val="18"/>
                    </w:rPr>
                    <w:t xml:space="preserve">1,5 million </w:t>
                  </w:r>
                </w:p>
              </w:tc>
              <w:tc>
                <w:tcPr>
                  <w:tcW w:w="2349" w:type="dxa"/>
                  <w:vMerge w:val="restart"/>
                  <w:shd w:val="clear" w:color="auto" w:fill="auto"/>
                </w:tcPr>
                <w:p w14:paraId="760CE0DD" w14:textId="77777777" w:rsidR="00C76702" w:rsidRPr="000326D1" w:rsidRDefault="00C76702" w:rsidP="00FC167D">
                  <w:pPr>
                    <w:pStyle w:val="Body"/>
                    <w:spacing w:before="240" w:after="120"/>
                    <w:jc w:val="center"/>
                    <w:rPr>
                      <w:bCs/>
                      <w:noProof/>
                      <w:sz w:val="14"/>
                      <w:szCs w:val="18"/>
                    </w:rPr>
                  </w:pPr>
                  <w:r w:rsidRPr="000326D1">
                    <w:rPr>
                      <w:b/>
                      <w:i/>
                      <w:iCs/>
                      <w:noProof/>
                      <w:sz w:val="14"/>
                      <w:szCs w:val="18"/>
                    </w:rPr>
                    <w:t>Total</w:t>
                  </w:r>
                  <w:r w:rsidRPr="000326D1">
                    <w:rPr>
                      <w:bCs/>
                      <w:noProof/>
                      <w:sz w:val="14"/>
                      <w:szCs w:val="18"/>
                    </w:rPr>
                    <w:t xml:space="preserve">: </w:t>
                  </w:r>
                  <w:r w:rsidR="00FC167D">
                    <w:rPr>
                      <w:bCs/>
                      <w:noProof/>
                      <w:sz w:val="14"/>
                      <w:szCs w:val="18"/>
                    </w:rPr>
                    <w:t xml:space="preserve">EUR </w:t>
                  </w:r>
                  <w:r w:rsidRPr="000326D1">
                    <w:rPr>
                      <w:bCs/>
                      <w:noProof/>
                      <w:sz w:val="14"/>
                      <w:szCs w:val="18"/>
                    </w:rPr>
                    <w:t>2,5 million (one-time investment needed)</w:t>
                  </w:r>
                </w:p>
              </w:tc>
            </w:tr>
            <w:tr w:rsidR="00C76702" w:rsidRPr="000326D1" w14:paraId="17160093" w14:textId="77777777" w:rsidTr="00713A1A">
              <w:tc>
                <w:tcPr>
                  <w:tcW w:w="2830" w:type="dxa"/>
                  <w:shd w:val="clear" w:color="auto" w:fill="auto"/>
                </w:tcPr>
                <w:p w14:paraId="25856B16" w14:textId="77777777" w:rsidR="00C76702" w:rsidRPr="000326D1" w:rsidRDefault="00C76702" w:rsidP="001B37D1">
                  <w:pPr>
                    <w:pStyle w:val="Body"/>
                    <w:spacing w:before="60" w:afterLines="60" w:after="144"/>
                    <w:rPr>
                      <w:bCs/>
                      <w:noProof/>
                      <w:sz w:val="14"/>
                      <w:szCs w:val="18"/>
                    </w:rPr>
                  </w:pPr>
                  <w:r w:rsidRPr="000326D1">
                    <w:rPr>
                      <w:bCs/>
                      <w:noProof/>
                      <w:sz w:val="14"/>
                      <w:szCs w:val="18"/>
                    </w:rPr>
                    <w:t xml:space="preserve">SIENA integration in CMS for 20 MS                        </w:t>
                  </w:r>
                </w:p>
              </w:tc>
              <w:tc>
                <w:tcPr>
                  <w:tcW w:w="1866" w:type="dxa"/>
                  <w:shd w:val="clear" w:color="auto" w:fill="auto"/>
                </w:tcPr>
                <w:p w14:paraId="0A69F4E0" w14:textId="77777777" w:rsidR="00C76702" w:rsidRPr="000326D1" w:rsidRDefault="00C76702" w:rsidP="00FC167D">
                  <w:pPr>
                    <w:pStyle w:val="Body"/>
                    <w:spacing w:before="60" w:afterLines="60" w:after="144"/>
                    <w:jc w:val="center"/>
                    <w:rPr>
                      <w:bCs/>
                      <w:noProof/>
                      <w:sz w:val="14"/>
                      <w:szCs w:val="18"/>
                    </w:rPr>
                  </w:pPr>
                  <w:r w:rsidRPr="000326D1">
                    <w:rPr>
                      <w:bCs/>
                      <w:noProof/>
                      <w:sz w:val="14"/>
                      <w:szCs w:val="18"/>
                    </w:rPr>
                    <w:t>20 x 50.000</w:t>
                  </w:r>
                </w:p>
              </w:tc>
              <w:tc>
                <w:tcPr>
                  <w:tcW w:w="2349" w:type="dxa"/>
                  <w:shd w:val="clear" w:color="auto" w:fill="auto"/>
                </w:tcPr>
                <w:p w14:paraId="1DE3EC99" w14:textId="77777777" w:rsidR="00C76702" w:rsidRPr="000326D1" w:rsidRDefault="00FC167D" w:rsidP="00FC167D">
                  <w:pPr>
                    <w:pStyle w:val="Body"/>
                    <w:spacing w:before="60" w:afterLines="60" w:after="144"/>
                    <w:jc w:val="center"/>
                    <w:rPr>
                      <w:bCs/>
                      <w:noProof/>
                      <w:sz w:val="14"/>
                      <w:szCs w:val="18"/>
                    </w:rPr>
                  </w:pPr>
                  <w:r>
                    <w:rPr>
                      <w:bCs/>
                      <w:noProof/>
                      <w:sz w:val="14"/>
                      <w:szCs w:val="18"/>
                    </w:rPr>
                    <w:t xml:space="preserve">EUR </w:t>
                  </w:r>
                  <w:r w:rsidR="00C76702" w:rsidRPr="000326D1">
                    <w:rPr>
                      <w:bCs/>
                      <w:noProof/>
                      <w:sz w:val="14"/>
                      <w:szCs w:val="18"/>
                    </w:rPr>
                    <w:t xml:space="preserve">1 million </w:t>
                  </w:r>
                </w:p>
              </w:tc>
              <w:tc>
                <w:tcPr>
                  <w:tcW w:w="2349" w:type="dxa"/>
                  <w:vMerge/>
                  <w:shd w:val="clear" w:color="auto" w:fill="auto"/>
                </w:tcPr>
                <w:p w14:paraId="4BF87E67" w14:textId="77777777" w:rsidR="00C76702" w:rsidRPr="000326D1" w:rsidRDefault="00C76702" w:rsidP="00713A1A">
                  <w:pPr>
                    <w:pStyle w:val="Body"/>
                    <w:spacing w:afterLines="60" w:after="144"/>
                    <w:rPr>
                      <w:bCs/>
                      <w:noProof/>
                      <w:sz w:val="14"/>
                      <w:szCs w:val="18"/>
                    </w:rPr>
                  </w:pPr>
                </w:p>
              </w:tc>
            </w:tr>
          </w:tbl>
          <w:p w14:paraId="4220C1FF" w14:textId="77777777" w:rsidR="00C76702" w:rsidRPr="000326D1" w:rsidRDefault="00C76702" w:rsidP="00713A1A">
            <w:pPr>
              <w:pStyle w:val="Body"/>
              <w:spacing w:after="0"/>
              <w:jc w:val="center"/>
              <w:rPr>
                <w:i/>
                <w:noProof/>
                <w:color w:val="7F7F7F" w:themeColor="text1" w:themeTint="80"/>
                <w:sz w:val="12"/>
                <w:szCs w:val="16"/>
              </w:rPr>
            </w:pPr>
            <w:r w:rsidRPr="000326D1">
              <w:rPr>
                <w:rStyle w:val="SubtleEmphasis"/>
                <w:noProof/>
                <w:sz w:val="12"/>
                <w:szCs w:val="16"/>
              </w:rPr>
              <w:t>Source: Data provided by Europol</w:t>
            </w:r>
          </w:p>
        </w:tc>
      </w:tr>
    </w:tbl>
    <w:p w14:paraId="2A7FB026" w14:textId="77777777" w:rsidR="00874599" w:rsidRDefault="00B01AF1" w:rsidP="00713A1A">
      <w:pPr>
        <w:pStyle w:val="Body"/>
        <w:spacing w:before="120" w:after="120"/>
        <w:jc w:val="both"/>
        <w:rPr>
          <w:rFonts w:ascii="Times New Roman" w:hAnsi="Times New Roman"/>
          <w:noProof/>
          <w:sz w:val="24"/>
          <w:szCs w:val="24"/>
        </w:rPr>
      </w:pPr>
      <w:r>
        <w:rPr>
          <w:rFonts w:ascii="Times New Roman" w:hAnsi="Times New Roman"/>
          <w:noProof/>
          <w:sz w:val="24"/>
          <w:szCs w:val="24"/>
        </w:rPr>
        <w:t xml:space="preserve">Based on the estimation above, the set-up of Case Management Systems and their SIENA integration in </w:t>
      </w:r>
      <w:r w:rsidRPr="00BC2DCA">
        <w:rPr>
          <w:rFonts w:ascii="Times New Roman" w:hAnsi="Times New Roman"/>
          <w:b/>
          <w:noProof/>
          <w:sz w:val="24"/>
          <w:szCs w:val="24"/>
        </w:rPr>
        <w:t>PCCCs</w:t>
      </w:r>
      <w:r>
        <w:rPr>
          <w:rFonts w:ascii="Times New Roman" w:hAnsi="Times New Roman"/>
          <w:noProof/>
          <w:sz w:val="24"/>
          <w:szCs w:val="24"/>
        </w:rPr>
        <w:t xml:space="preserve"> not yet equipped </w:t>
      </w:r>
      <w:r w:rsidR="00B37FA8">
        <w:rPr>
          <w:rFonts w:ascii="Times New Roman" w:hAnsi="Times New Roman"/>
          <w:noProof/>
          <w:sz w:val="24"/>
          <w:szCs w:val="24"/>
        </w:rPr>
        <w:t>could possibly c</w:t>
      </w:r>
      <w:r>
        <w:rPr>
          <w:rFonts w:ascii="Times New Roman" w:hAnsi="Times New Roman"/>
          <w:noProof/>
          <w:sz w:val="24"/>
          <w:szCs w:val="24"/>
        </w:rPr>
        <w:t xml:space="preserve">ost </w:t>
      </w:r>
      <w:r w:rsidR="00FC167D" w:rsidRPr="00FC167D">
        <w:rPr>
          <w:rFonts w:ascii="Times New Roman" w:hAnsi="Times New Roman"/>
          <w:b/>
          <w:noProof/>
          <w:sz w:val="24"/>
          <w:szCs w:val="24"/>
        </w:rPr>
        <w:t>EUR</w:t>
      </w:r>
      <w:r w:rsidR="00FC167D">
        <w:rPr>
          <w:rFonts w:ascii="Times New Roman" w:hAnsi="Times New Roman"/>
          <w:noProof/>
          <w:sz w:val="24"/>
          <w:szCs w:val="24"/>
        </w:rPr>
        <w:t xml:space="preserve"> </w:t>
      </w:r>
      <w:r w:rsidR="00E64484" w:rsidRPr="00BC2DCA">
        <w:rPr>
          <w:rFonts w:ascii="Times New Roman" w:hAnsi="Times New Roman"/>
          <w:b/>
          <w:noProof/>
          <w:sz w:val="24"/>
          <w:szCs w:val="24"/>
        </w:rPr>
        <w:t>9 million</w:t>
      </w:r>
      <w:r w:rsidR="00906DCA">
        <w:rPr>
          <w:rFonts w:ascii="Times New Roman" w:hAnsi="Times New Roman"/>
          <w:b/>
          <w:noProof/>
          <w:sz w:val="24"/>
          <w:szCs w:val="24"/>
        </w:rPr>
        <w:t xml:space="preserve"> </w:t>
      </w:r>
      <w:r w:rsidR="00906DCA" w:rsidRPr="00704502">
        <w:rPr>
          <w:rFonts w:ascii="Times New Roman" w:hAnsi="Times New Roman"/>
          <w:noProof/>
          <w:sz w:val="24"/>
          <w:szCs w:val="24"/>
        </w:rPr>
        <w:t>(one-off)</w:t>
      </w:r>
      <w:r w:rsidR="00E64484" w:rsidRPr="00367356">
        <w:rPr>
          <w:rFonts w:ascii="Times New Roman" w:hAnsi="Times New Roman"/>
          <w:noProof/>
          <w:sz w:val="24"/>
          <w:szCs w:val="24"/>
        </w:rPr>
        <w:t>.</w:t>
      </w:r>
    </w:p>
    <w:p w14:paraId="7F956D41" w14:textId="77777777" w:rsidR="00E64484" w:rsidRDefault="00E64484" w:rsidP="00EC2012">
      <w:pPr>
        <w:pStyle w:val="Body"/>
        <w:spacing w:before="120" w:after="60"/>
        <w:jc w:val="both"/>
        <w:rPr>
          <w:rFonts w:ascii="Times New Roman" w:hAnsi="Times New Roman"/>
          <w:noProof/>
          <w:sz w:val="24"/>
          <w:szCs w:val="24"/>
        </w:rPr>
      </w:pPr>
      <w:r>
        <w:rPr>
          <w:rFonts w:ascii="Times New Roman" w:hAnsi="Times New Roman"/>
          <w:noProof/>
          <w:sz w:val="24"/>
          <w:szCs w:val="24"/>
        </w:rPr>
        <w:t>This cost is broken down as follow:</w:t>
      </w:r>
    </w:p>
    <w:p w14:paraId="228D5372" w14:textId="77777777" w:rsidR="00E64484" w:rsidRDefault="00E64484" w:rsidP="00900BC7">
      <w:pPr>
        <w:pStyle w:val="Body"/>
        <w:numPr>
          <w:ilvl w:val="0"/>
          <w:numId w:val="83"/>
        </w:numPr>
        <w:spacing w:after="0"/>
        <w:ind w:left="714" w:hanging="357"/>
        <w:jc w:val="both"/>
        <w:rPr>
          <w:rFonts w:ascii="Times New Roman" w:hAnsi="Times New Roman"/>
          <w:noProof/>
          <w:sz w:val="24"/>
          <w:szCs w:val="24"/>
        </w:rPr>
      </w:pPr>
      <w:r>
        <w:rPr>
          <w:rFonts w:ascii="Times New Roman" w:hAnsi="Times New Roman"/>
          <w:noProof/>
          <w:sz w:val="24"/>
          <w:szCs w:val="24"/>
        </w:rPr>
        <w:t xml:space="preserve">Out of the 59 identified PCCCs, </w:t>
      </w:r>
      <w:r w:rsidR="00B37FA8">
        <w:rPr>
          <w:rFonts w:ascii="Times New Roman" w:hAnsi="Times New Roman"/>
          <w:noProof/>
          <w:sz w:val="24"/>
          <w:szCs w:val="24"/>
        </w:rPr>
        <w:t>14</w:t>
      </w:r>
      <w:r>
        <w:rPr>
          <w:rFonts w:ascii="Times New Roman" w:hAnsi="Times New Roman"/>
          <w:noProof/>
          <w:sz w:val="24"/>
          <w:szCs w:val="24"/>
        </w:rPr>
        <w:t xml:space="preserve"> are already connected to SIENA;</w:t>
      </w:r>
    </w:p>
    <w:p w14:paraId="22C70792" w14:textId="77777777" w:rsidR="00E64484" w:rsidRDefault="00E64484" w:rsidP="00900BC7">
      <w:pPr>
        <w:pStyle w:val="Body"/>
        <w:numPr>
          <w:ilvl w:val="0"/>
          <w:numId w:val="83"/>
        </w:numPr>
        <w:spacing w:after="0"/>
        <w:ind w:left="714" w:hanging="357"/>
        <w:jc w:val="both"/>
        <w:rPr>
          <w:rFonts w:ascii="Times New Roman" w:hAnsi="Times New Roman"/>
          <w:noProof/>
          <w:sz w:val="24"/>
          <w:szCs w:val="24"/>
        </w:rPr>
      </w:pPr>
      <w:r>
        <w:rPr>
          <w:rFonts w:ascii="Times New Roman" w:hAnsi="Times New Roman"/>
          <w:noProof/>
          <w:sz w:val="24"/>
          <w:szCs w:val="24"/>
        </w:rPr>
        <w:t xml:space="preserve">The SIENA connection to a </w:t>
      </w:r>
      <w:r w:rsidR="006764E6">
        <w:rPr>
          <w:rFonts w:ascii="Times New Roman" w:hAnsi="Times New Roman"/>
          <w:noProof/>
          <w:sz w:val="24"/>
          <w:szCs w:val="24"/>
        </w:rPr>
        <w:t xml:space="preserve">possible </w:t>
      </w:r>
      <w:r>
        <w:rPr>
          <w:rFonts w:ascii="Times New Roman" w:hAnsi="Times New Roman"/>
          <w:noProof/>
          <w:sz w:val="24"/>
          <w:szCs w:val="24"/>
        </w:rPr>
        <w:t>maximum of 4</w:t>
      </w:r>
      <w:r w:rsidR="00B37FA8">
        <w:rPr>
          <w:rFonts w:ascii="Times New Roman" w:hAnsi="Times New Roman"/>
          <w:noProof/>
          <w:sz w:val="24"/>
          <w:szCs w:val="24"/>
        </w:rPr>
        <w:t>5</w:t>
      </w:r>
      <w:r>
        <w:rPr>
          <w:rFonts w:ascii="Times New Roman" w:hAnsi="Times New Roman"/>
          <w:noProof/>
          <w:sz w:val="24"/>
          <w:szCs w:val="24"/>
        </w:rPr>
        <w:t xml:space="preserve"> PCCCs would cost </w:t>
      </w:r>
      <w:r w:rsidR="00FC167D">
        <w:rPr>
          <w:rFonts w:ascii="Times New Roman" w:hAnsi="Times New Roman"/>
          <w:noProof/>
          <w:sz w:val="24"/>
          <w:szCs w:val="24"/>
        </w:rPr>
        <w:t xml:space="preserve">EUR </w:t>
      </w:r>
      <w:r>
        <w:rPr>
          <w:rFonts w:ascii="Times New Roman" w:hAnsi="Times New Roman"/>
          <w:noProof/>
          <w:sz w:val="24"/>
          <w:szCs w:val="24"/>
        </w:rPr>
        <w:t>2,</w:t>
      </w:r>
      <w:r w:rsidR="00B37FA8">
        <w:rPr>
          <w:rFonts w:ascii="Times New Roman" w:hAnsi="Times New Roman"/>
          <w:noProof/>
          <w:sz w:val="24"/>
          <w:szCs w:val="24"/>
        </w:rPr>
        <w:t>2</w:t>
      </w:r>
      <w:r>
        <w:rPr>
          <w:rFonts w:ascii="Times New Roman" w:hAnsi="Times New Roman"/>
          <w:noProof/>
          <w:sz w:val="24"/>
          <w:szCs w:val="24"/>
        </w:rPr>
        <w:t>50 million (4</w:t>
      </w:r>
      <w:r w:rsidR="00B37FA8">
        <w:rPr>
          <w:rFonts w:ascii="Times New Roman" w:hAnsi="Times New Roman"/>
          <w:noProof/>
          <w:sz w:val="24"/>
          <w:szCs w:val="24"/>
        </w:rPr>
        <w:t>5</w:t>
      </w:r>
      <w:r>
        <w:rPr>
          <w:rFonts w:ascii="Times New Roman" w:hAnsi="Times New Roman"/>
          <w:noProof/>
          <w:sz w:val="24"/>
          <w:szCs w:val="24"/>
        </w:rPr>
        <w:t>x</w:t>
      </w:r>
      <w:r w:rsidR="00884038">
        <w:rPr>
          <w:rFonts w:ascii="Times New Roman" w:hAnsi="Times New Roman"/>
          <w:noProof/>
          <w:sz w:val="24"/>
          <w:szCs w:val="24"/>
        </w:rPr>
        <w:t xml:space="preserve"> EUR </w:t>
      </w:r>
      <w:r>
        <w:rPr>
          <w:rFonts w:ascii="Times New Roman" w:hAnsi="Times New Roman"/>
          <w:noProof/>
          <w:sz w:val="24"/>
          <w:szCs w:val="24"/>
        </w:rPr>
        <w:t>50.000);</w:t>
      </w:r>
    </w:p>
    <w:p w14:paraId="487A26A2" w14:textId="77777777" w:rsidR="00E64484" w:rsidRDefault="00E64484" w:rsidP="00900BC7">
      <w:pPr>
        <w:pStyle w:val="Body"/>
        <w:numPr>
          <w:ilvl w:val="0"/>
          <w:numId w:val="83"/>
        </w:numPr>
        <w:spacing w:after="0"/>
        <w:ind w:left="714" w:hanging="357"/>
        <w:jc w:val="both"/>
        <w:rPr>
          <w:rFonts w:ascii="Times New Roman" w:hAnsi="Times New Roman"/>
          <w:noProof/>
          <w:sz w:val="24"/>
          <w:szCs w:val="24"/>
        </w:rPr>
      </w:pPr>
      <w:r>
        <w:rPr>
          <w:rFonts w:ascii="Times New Roman" w:hAnsi="Times New Roman"/>
          <w:noProof/>
          <w:sz w:val="24"/>
          <w:szCs w:val="24"/>
        </w:rPr>
        <w:t>The set-up of CMSs in a maximum of 4</w:t>
      </w:r>
      <w:r w:rsidR="00B37FA8">
        <w:rPr>
          <w:rFonts w:ascii="Times New Roman" w:hAnsi="Times New Roman"/>
          <w:noProof/>
          <w:sz w:val="24"/>
          <w:szCs w:val="24"/>
        </w:rPr>
        <w:t>5</w:t>
      </w:r>
      <w:r>
        <w:rPr>
          <w:rFonts w:ascii="Times New Roman" w:hAnsi="Times New Roman"/>
          <w:noProof/>
          <w:sz w:val="24"/>
          <w:szCs w:val="24"/>
        </w:rPr>
        <w:t xml:space="preserve"> PCCCs would cost </w:t>
      </w:r>
      <w:r w:rsidR="00FC167D">
        <w:rPr>
          <w:rFonts w:ascii="Times New Roman" w:hAnsi="Times New Roman"/>
          <w:noProof/>
          <w:sz w:val="24"/>
          <w:szCs w:val="24"/>
        </w:rPr>
        <w:t xml:space="preserve">EUR </w:t>
      </w:r>
      <w:r w:rsidR="00B37FA8">
        <w:rPr>
          <w:rFonts w:ascii="Times New Roman" w:hAnsi="Times New Roman"/>
          <w:noProof/>
          <w:sz w:val="24"/>
          <w:szCs w:val="24"/>
        </w:rPr>
        <w:t xml:space="preserve">6,750 </w:t>
      </w:r>
      <w:r>
        <w:rPr>
          <w:rFonts w:ascii="Times New Roman" w:hAnsi="Times New Roman"/>
          <w:noProof/>
          <w:sz w:val="24"/>
          <w:szCs w:val="24"/>
        </w:rPr>
        <w:t>million (4</w:t>
      </w:r>
      <w:r w:rsidR="00B37FA8">
        <w:rPr>
          <w:rFonts w:ascii="Times New Roman" w:hAnsi="Times New Roman"/>
          <w:noProof/>
          <w:sz w:val="24"/>
          <w:szCs w:val="24"/>
        </w:rPr>
        <w:t>5</w:t>
      </w:r>
      <w:r>
        <w:rPr>
          <w:rFonts w:ascii="Times New Roman" w:hAnsi="Times New Roman"/>
          <w:noProof/>
          <w:sz w:val="24"/>
          <w:szCs w:val="24"/>
        </w:rPr>
        <w:t>x</w:t>
      </w:r>
      <w:r w:rsidR="00884038">
        <w:rPr>
          <w:rFonts w:ascii="Times New Roman" w:hAnsi="Times New Roman"/>
          <w:noProof/>
          <w:sz w:val="24"/>
          <w:szCs w:val="24"/>
        </w:rPr>
        <w:t xml:space="preserve"> EUR </w:t>
      </w:r>
      <w:r>
        <w:rPr>
          <w:rFonts w:ascii="Times New Roman" w:hAnsi="Times New Roman"/>
          <w:noProof/>
          <w:sz w:val="24"/>
          <w:szCs w:val="24"/>
        </w:rPr>
        <w:t>150.000);</w:t>
      </w:r>
    </w:p>
    <w:p w14:paraId="1128F058" w14:textId="77777777" w:rsidR="00E64484" w:rsidRDefault="00E64484" w:rsidP="00900BC7">
      <w:pPr>
        <w:pStyle w:val="Body"/>
        <w:numPr>
          <w:ilvl w:val="0"/>
          <w:numId w:val="83"/>
        </w:numPr>
        <w:spacing w:after="0"/>
        <w:ind w:left="714" w:hanging="357"/>
        <w:jc w:val="both"/>
        <w:rPr>
          <w:rFonts w:ascii="Times New Roman" w:hAnsi="Times New Roman"/>
          <w:noProof/>
          <w:sz w:val="24"/>
          <w:szCs w:val="24"/>
        </w:rPr>
      </w:pPr>
      <w:r>
        <w:rPr>
          <w:rFonts w:ascii="Times New Roman" w:hAnsi="Times New Roman"/>
          <w:noProof/>
          <w:sz w:val="24"/>
          <w:szCs w:val="24"/>
        </w:rPr>
        <w:t xml:space="preserve">Hence a total </w:t>
      </w:r>
      <w:r w:rsidR="00B37FA8">
        <w:rPr>
          <w:rFonts w:ascii="Times New Roman" w:hAnsi="Times New Roman"/>
          <w:noProof/>
          <w:sz w:val="24"/>
          <w:szCs w:val="24"/>
        </w:rPr>
        <w:t xml:space="preserve">of </w:t>
      </w:r>
      <w:r w:rsidR="00FC167D">
        <w:rPr>
          <w:rFonts w:ascii="Times New Roman" w:hAnsi="Times New Roman"/>
          <w:noProof/>
          <w:sz w:val="24"/>
          <w:szCs w:val="24"/>
        </w:rPr>
        <w:t xml:space="preserve">EUR </w:t>
      </w:r>
      <w:r>
        <w:rPr>
          <w:rFonts w:ascii="Times New Roman" w:hAnsi="Times New Roman"/>
          <w:noProof/>
          <w:sz w:val="24"/>
          <w:szCs w:val="24"/>
        </w:rPr>
        <w:t>9 million (2,</w:t>
      </w:r>
      <w:r w:rsidR="00B37FA8">
        <w:rPr>
          <w:rFonts w:ascii="Times New Roman" w:hAnsi="Times New Roman"/>
          <w:noProof/>
          <w:sz w:val="24"/>
          <w:szCs w:val="24"/>
        </w:rPr>
        <w:t>2</w:t>
      </w:r>
      <w:r>
        <w:rPr>
          <w:rFonts w:ascii="Times New Roman" w:hAnsi="Times New Roman"/>
          <w:noProof/>
          <w:sz w:val="24"/>
          <w:szCs w:val="24"/>
        </w:rPr>
        <w:t xml:space="preserve">50 + </w:t>
      </w:r>
      <w:r w:rsidR="00884038">
        <w:rPr>
          <w:rFonts w:ascii="Times New Roman" w:hAnsi="Times New Roman"/>
          <w:noProof/>
          <w:sz w:val="24"/>
          <w:szCs w:val="24"/>
        </w:rPr>
        <w:t xml:space="preserve">EUR </w:t>
      </w:r>
      <w:r w:rsidR="00B37FA8">
        <w:rPr>
          <w:rFonts w:ascii="Times New Roman" w:hAnsi="Times New Roman"/>
          <w:noProof/>
          <w:sz w:val="24"/>
          <w:szCs w:val="24"/>
        </w:rPr>
        <w:t>6,750</w:t>
      </w:r>
      <w:r>
        <w:rPr>
          <w:rFonts w:ascii="Times New Roman" w:hAnsi="Times New Roman"/>
          <w:noProof/>
          <w:sz w:val="24"/>
          <w:szCs w:val="24"/>
        </w:rPr>
        <w:t xml:space="preserve"> million) for PCCCs;</w:t>
      </w:r>
    </w:p>
    <w:p w14:paraId="6A990B20" w14:textId="77777777" w:rsidR="00E64484" w:rsidRDefault="00E64484" w:rsidP="00704502">
      <w:pPr>
        <w:pStyle w:val="Body"/>
        <w:numPr>
          <w:ilvl w:val="0"/>
          <w:numId w:val="83"/>
        </w:numPr>
        <w:spacing w:after="120"/>
        <w:ind w:left="714" w:hanging="357"/>
        <w:jc w:val="both"/>
        <w:rPr>
          <w:rFonts w:ascii="Times New Roman" w:hAnsi="Times New Roman"/>
          <w:noProof/>
          <w:sz w:val="24"/>
          <w:szCs w:val="24"/>
        </w:rPr>
      </w:pPr>
      <w:r>
        <w:rPr>
          <w:rFonts w:ascii="Times New Roman" w:hAnsi="Times New Roman"/>
          <w:noProof/>
          <w:sz w:val="24"/>
          <w:szCs w:val="24"/>
        </w:rPr>
        <w:t>This would be considered as a maximum</w:t>
      </w:r>
      <w:r w:rsidR="005B419E">
        <w:rPr>
          <w:rFonts w:ascii="Times New Roman" w:hAnsi="Times New Roman"/>
          <w:noProof/>
          <w:sz w:val="24"/>
          <w:szCs w:val="24"/>
        </w:rPr>
        <w:t xml:space="preserve"> one-off </w:t>
      </w:r>
      <w:r>
        <w:rPr>
          <w:rFonts w:ascii="Times New Roman" w:hAnsi="Times New Roman"/>
          <w:noProof/>
          <w:sz w:val="24"/>
          <w:szCs w:val="24"/>
        </w:rPr>
        <w:t xml:space="preserve">cost given that a number of PCCCs </w:t>
      </w:r>
      <w:r w:rsidR="00B37FA8">
        <w:rPr>
          <w:rFonts w:ascii="Times New Roman" w:hAnsi="Times New Roman"/>
          <w:noProof/>
          <w:sz w:val="24"/>
          <w:szCs w:val="24"/>
        </w:rPr>
        <w:t xml:space="preserve">are </w:t>
      </w:r>
      <w:r w:rsidR="00993919">
        <w:rPr>
          <w:rFonts w:ascii="Times New Roman" w:hAnsi="Times New Roman"/>
          <w:noProof/>
          <w:sz w:val="24"/>
          <w:szCs w:val="24"/>
        </w:rPr>
        <w:t xml:space="preserve">already </w:t>
      </w:r>
      <w:r w:rsidR="00B37FA8">
        <w:rPr>
          <w:rFonts w:ascii="Times New Roman" w:hAnsi="Times New Roman"/>
          <w:noProof/>
          <w:sz w:val="24"/>
          <w:szCs w:val="24"/>
        </w:rPr>
        <w:t>connected to the SPOC CMS. Hence the SIENA integration in the SPOC CMS would de facto cover the SIENA integration in the connected PCCCs</w:t>
      </w:r>
      <w:r w:rsidR="009216BE">
        <w:rPr>
          <w:rFonts w:ascii="Times New Roman" w:hAnsi="Times New Roman"/>
          <w:noProof/>
          <w:sz w:val="24"/>
          <w:szCs w:val="24"/>
        </w:rPr>
        <w:t>.</w:t>
      </w:r>
    </w:p>
    <w:p w14:paraId="0C4CBC72" w14:textId="77777777" w:rsidR="00E64484" w:rsidRDefault="00E64484" w:rsidP="00704502">
      <w:pPr>
        <w:pStyle w:val="Body"/>
        <w:spacing w:after="120"/>
        <w:jc w:val="both"/>
        <w:rPr>
          <w:rFonts w:ascii="Times New Roman" w:hAnsi="Times New Roman"/>
          <w:noProof/>
          <w:sz w:val="24"/>
          <w:szCs w:val="24"/>
        </w:rPr>
      </w:pPr>
      <w:r>
        <w:rPr>
          <w:rFonts w:ascii="Times New Roman" w:hAnsi="Times New Roman"/>
          <w:noProof/>
          <w:sz w:val="24"/>
          <w:szCs w:val="24"/>
        </w:rPr>
        <w:t xml:space="preserve">The necessary IT upgrades in both SPOCs and PCCCs </w:t>
      </w:r>
      <w:r w:rsidR="009C47A4">
        <w:rPr>
          <w:rFonts w:ascii="Times New Roman" w:hAnsi="Times New Roman"/>
          <w:noProof/>
          <w:sz w:val="24"/>
          <w:szCs w:val="24"/>
        </w:rPr>
        <w:t>c</w:t>
      </w:r>
      <w:r>
        <w:rPr>
          <w:rFonts w:ascii="Times New Roman" w:hAnsi="Times New Roman"/>
          <w:noProof/>
          <w:sz w:val="24"/>
          <w:szCs w:val="24"/>
        </w:rPr>
        <w:t xml:space="preserve">ould thus amount to </w:t>
      </w:r>
      <w:r w:rsidR="002B754F">
        <w:rPr>
          <w:rFonts w:ascii="Times New Roman" w:hAnsi="Times New Roman"/>
          <w:noProof/>
          <w:sz w:val="24"/>
          <w:szCs w:val="24"/>
        </w:rPr>
        <w:t xml:space="preserve">a maximum </w:t>
      </w:r>
      <w:r w:rsidR="00906DCA">
        <w:rPr>
          <w:rFonts w:ascii="Times New Roman" w:hAnsi="Times New Roman"/>
          <w:noProof/>
          <w:sz w:val="24"/>
          <w:szCs w:val="24"/>
        </w:rPr>
        <w:t xml:space="preserve">one-off </w:t>
      </w:r>
      <w:r>
        <w:rPr>
          <w:rFonts w:ascii="Times New Roman" w:hAnsi="Times New Roman"/>
          <w:noProof/>
          <w:sz w:val="24"/>
          <w:szCs w:val="24"/>
        </w:rPr>
        <w:t xml:space="preserve">grand total of </w:t>
      </w:r>
      <w:r w:rsidR="00884038" w:rsidRPr="00704502">
        <w:rPr>
          <w:rFonts w:ascii="Times New Roman" w:hAnsi="Times New Roman"/>
          <w:b/>
          <w:noProof/>
          <w:sz w:val="24"/>
          <w:szCs w:val="24"/>
        </w:rPr>
        <w:t>EUR</w:t>
      </w:r>
      <w:r w:rsidR="00884038">
        <w:rPr>
          <w:rFonts w:ascii="Times New Roman" w:hAnsi="Times New Roman"/>
          <w:noProof/>
          <w:sz w:val="24"/>
          <w:szCs w:val="24"/>
        </w:rPr>
        <w:t xml:space="preserve"> </w:t>
      </w:r>
      <w:r w:rsidRPr="00BC2DCA">
        <w:rPr>
          <w:rFonts w:ascii="Times New Roman" w:hAnsi="Times New Roman"/>
          <w:b/>
          <w:noProof/>
          <w:sz w:val="24"/>
          <w:szCs w:val="24"/>
        </w:rPr>
        <w:t>1</w:t>
      </w:r>
      <w:r w:rsidR="00B37FA8">
        <w:rPr>
          <w:rFonts w:ascii="Times New Roman" w:hAnsi="Times New Roman"/>
          <w:b/>
          <w:noProof/>
          <w:sz w:val="24"/>
          <w:szCs w:val="24"/>
        </w:rPr>
        <w:t>1,</w:t>
      </w:r>
      <w:r w:rsidR="006764E6">
        <w:rPr>
          <w:rFonts w:ascii="Times New Roman" w:hAnsi="Times New Roman"/>
          <w:b/>
          <w:noProof/>
          <w:sz w:val="24"/>
          <w:szCs w:val="24"/>
        </w:rPr>
        <w:t>5</w:t>
      </w:r>
      <w:r w:rsidRPr="00BC2DCA">
        <w:rPr>
          <w:rFonts w:ascii="Times New Roman" w:hAnsi="Times New Roman"/>
          <w:b/>
          <w:noProof/>
          <w:sz w:val="24"/>
          <w:szCs w:val="24"/>
        </w:rPr>
        <w:t xml:space="preserve"> million </w:t>
      </w:r>
      <w:r>
        <w:rPr>
          <w:rFonts w:ascii="Times New Roman" w:hAnsi="Times New Roman"/>
          <w:noProof/>
          <w:sz w:val="24"/>
          <w:szCs w:val="24"/>
        </w:rPr>
        <w:t>(2.5 + 9 million).</w:t>
      </w:r>
    </w:p>
    <w:p w14:paraId="1E9E5B29" w14:textId="65460C41" w:rsidR="006A175F" w:rsidRDefault="00E64484" w:rsidP="00713A1A">
      <w:pPr>
        <w:pStyle w:val="Body"/>
        <w:spacing w:before="120" w:after="120"/>
        <w:jc w:val="both"/>
        <w:rPr>
          <w:rFonts w:ascii="Times New Roman" w:hAnsi="Times New Roman"/>
          <w:bCs/>
          <w:noProof/>
          <w:sz w:val="24"/>
          <w:szCs w:val="24"/>
        </w:rPr>
      </w:pPr>
      <w:r>
        <w:rPr>
          <w:rFonts w:ascii="Times New Roman" w:hAnsi="Times New Roman"/>
          <w:bCs/>
          <w:noProof/>
          <w:sz w:val="24"/>
          <w:szCs w:val="24"/>
        </w:rPr>
        <w:t>These costs</w:t>
      </w:r>
      <w:r w:rsidR="000D4443">
        <w:rPr>
          <w:rFonts w:ascii="Times New Roman" w:hAnsi="Times New Roman"/>
          <w:bCs/>
          <w:noProof/>
          <w:sz w:val="24"/>
          <w:szCs w:val="24"/>
        </w:rPr>
        <w:t xml:space="preserve"> (one-off investment)</w:t>
      </w:r>
      <w:r>
        <w:rPr>
          <w:rFonts w:ascii="Times New Roman" w:hAnsi="Times New Roman"/>
          <w:bCs/>
          <w:noProof/>
          <w:sz w:val="24"/>
          <w:szCs w:val="24"/>
        </w:rPr>
        <w:t xml:space="preserve">, deemed acceptable, are </w:t>
      </w:r>
      <w:r w:rsidRPr="00EC27BF">
        <w:rPr>
          <w:rFonts w:ascii="Times New Roman" w:hAnsi="Times New Roman"/>
          <w:b/>
          <w:noProof/>
          <w:sz w:val="24"/>
        </w:rPr>
        <w:t xml:space="preserve">proportionate </w:t>
      </w:r>
      <w:r w:rsidRPr="00EC27BF">
        <w:rPr>
          <w:rFonts w:ascii="Times New Roman" w:hAnsi="Times New Roman"/>
          <w:noProof/>
          <w:sz w:val="24"/>
        </w:rPr>
        <w:t xml:space="preserve">to the identified problem and do not go beyond what is necessary to achieve the specific </w:t>
      </w:r>
      <w:r w:rsidR="00434211" w:rsidRPr="00EC27BF">
        <w:rPr>
          <w:rFonts w:ascii="Times New Roman" w:hAnsi="Times New Roman"/>
          <w:noProof/>
          <w:sz w:val="24"/>
        </w:rPr>
        <w:t>objective</w:t>
      </w:r>
      <w:r w:rsidR="00434211">
        <w:rPr>
          <w:rFonts w:ascii="Times New Roman" w:hAnsi="Times New Roman"/>
          <w:noProof/>
          <w:sz w:val="24"/>
        </w:rPr>
        <w:t>.</w:t>
      </w:r>
      <w:r w:rsidR="006A175F">
        <w:rPr>
          <w:rFonts w:ascii="Times New Roman" w:hAnsi="Times New Roman"/>
          <w:noProof/>
          <w:sz w:val="24"/>
        </w:rPr>
        <w:t xml:space="preserve"> </w:t>
      </w:r>
      <w:r w:rsidR="006A175F" w:rsidRPr="006A175F">
        <w:rPr>
          <w:rFonts w:ascii="Times New Roman" w:hAnsi="Times New Roman"/>
          <w:noProof/>
          <w:sz w:val="24"/>
        </w:rPr>
        <w:t xml:space="preserve">As Member States are in any case pursuing a modernisation of their IT systems (also in the context of the </w:t>
      </w:r>
      <w:r w:rsidR="008D43E9">
        <w:rPr>
          <w:rFonts w:ascii="Times New Roman" w:hAnsi="Times New Roman"/>
          <w:noProof/>
          <w:sz w:val="24"/>
        </w:rPr>
        <w:t>interoperabil</w:t>
      </w:r>
      <w:r w:rsidR="006A175F" w:rsidRPr="006A175F">
        <w:rPr>
          <w:rFonts w:ascii="Times New Roman" w:hAnsi="Times New Roman"/>
          <w:noProof/>
          <w:sz w:val="24"/>
        </w:rPr>
        <w:t>i</w:t>
      </w:r>
      <w:r w:rsidR="008D43E9">
        <w:rPr>
          <w:rFonts w:ascii="Times New Roman" w:hAnsi="Times New Roman"/>
          <w:noProof/>
          <w:sz w:val="24"/>
        </w:rPr>
        <w:t>t</w:t>
      </w:r>
      <w:r w:rsidR="006A175F" w:rsidRPr="006A175F">
        <w:rPr>
          <w:rFonts w:ascii="Times New Roman" w:hAnsi="Times New Roman"/>
          <w:noProof/>
          <w:sz w:val="24"/>
        </w:rPr>
        <w:t>y of EU information systems), this provides a good opportunity for cost effective implementation of the envisaged changes.</w:t>
      </w:r>
      <w:r w:rsidR="00434211">
        <w:rPr>
          <w:rFonts w:ascii="Times New Roman" w:hAnsi="Times New Roman"/>
          <w:noProof/>
          <w:sz w:val="24"/>
        </w:rPr>
        <w:t xml:space="preserve"> These</w:t>
      </w:r>
      <w:r w:rsidR="005701CC">
        <w:rPr>
          <w:rFonts w:ascii="Times New Roman" w:hAnsi="Times New Roman"/>
          <w:noProof/>
          <w:sz w:val="24"/>
        </w:rPr>
        <w:t xml:space="preserve"> costs do not cover training needs. As for IT upgrades, the training costs are </w:t>
      </w:r>
      <w:r w:rsidR="005701CC" w:rsidRPr="00580B0E">
        <w:rPr>
          <w:rFonts w:ascii="Times New Roman" w:hAnsi="Times New Roman"/>
          <w:bCs/>
          <w:noProof/>
          <w:sz w:val="24"/>
          <w:szCs w:val="24"/>
        </w:rPr>
        <w:t>highly depending from the specificities of each national IT set-up and legal parameters</w:t>
      </w:r>
      <w:r w:rsidR="005701CC">
        <w:rPr>
          <w:rFonts w:ascii="Times New Roman" w:hAnsi="Times New Roman"/>
          <w:bCs/>
          <w:noProof/>
          <w:sz w:val="24"/>
          <w:szCs w:val="24"/>
        </w:rPr>
        <w:t>.</w:t>
      </w:r>
    </w:p>
    <w:p w14:paraId="1F01A7DF" w14:textId="7E7D7570" w:rsidR="00C31819" w:rsidRDefault="00C31819" w:rsidP="00713A1A">
      <w:pPr>
        <w:pStyle w:val="Body"/>
        <w:spacing w:before="120" w:after="120"/>
        <w:jc w:val="both"/>
        <w:rPr>
          <w:rFonts w:ascii="Times New Roman" w:hAnsi="Times New Roman"/>
          <w:noProof/>
          <w:sz w:val="24"/>
          <w:szCs w:val="24"/>
        </w:rPr>
      </w:pPr>
      <w:r w:rsidRPr="00C31819">
        <w:rPr>
          <w:rFonts w:ascii="Times New Roman" w:hAnsi="Times New Roman"/>
          <w:noProof/>
          <w:sz w:val="24"/>
          <w:szCs w:val="24"/>
        </w:rPr>
        <w:t>The costs at national level should be covered by Member States</w:t>
      </w:r>
      <w:r w:rsidR="00645701">
        <w:rPr>
          <w:rFonts w:ascii="Times New Roman" w:hAnsi="Times New Roman"/>
          <w:noProof/>
          <w:sz w:val="24"/>
          <w:szCs w:val="24"/>
        </w:rPr>
        <w:t>'</w:t>
      </w:r>
      <w:r w:rsidRPr="00C31819">
        <w:rPr>
          <w:rFonts w:ascii="Times New Roman" w:hAnsi="Times New Roman"/>
          <w:noProof/>
          <w:sz w:val="24"/>
          <w:szCs w:val="24"/>
        </w:rPr>
        <w:t xml:space="preserve"> programmes unde</w:t>
      </w:r>
      <w:r>
        <w:rPr>
          <w:rFonts w:ascii="Times New Roman" w:hAnsi="Times New Roman"/>
          <w:noProof/>
          <w:sz w:val="24"/>
          <w:szCs w:val="24"/>
        </w:rPr>
        <w:t>r the Internal Security Fund.</w:t>
      </w:r>
      <w:r>
        <w:rPr>
          <w:rStyle w:val="FootnoteReference"/>
          <w:rFonts w:ascii="Times New Roman" w:hAnsi="Times New Roman"/>
          <w:noProof/>
          <w:sz w:val="24"/>
          <w:szCs w:val="24"/>
        </w:rPr>
        <w:footnoteReference w:id="123"/>
      </w:r>
      <w:r w:rsidRPr="00C31819">
        <w:rPr>
          <w:rFonts w:ascii="Times New Roman" w:hAnsi="Times New Roman"/>
          <w:noProof/>
          <w:sz w:val="24"/>
          <w:szCs w:val="24"/>
        </w:rPr>
        <w:t xml:space="preserve"> The Internal Security Fund include</w:t>
      </w:r>
      <w:r w:rsidR="004B72F7">
        <w:rPr>
          <w:rFonts w:ascii="Times New Roman" w:hAnsi="Times New Roman"/>
          <w:noProof/>
          <w:sz w:val="24"/>
          <w:szCs w:val="24"/>
        </w:rPr>
        <w:t>s</w:t>
      </w:r>
      <w:r w:rsidRPr="00C31819">
        <w:rPr>
          <w:rFonts w:ascii="Times New Roman" w:hAnsi="Times New Roman"/>
          <w:noProof/>
          <w:sz w:val="24"/>
          <w:szCs w:val="24"/>
        </w:rPr>
        <w:t xml:space="preserve"> the specific objective to </w:t>
      </w:r>
      <w:r w:rsidR="00645701">
        <w:rPr>
          <w:rFonts w:ascii="Times New Roman" w:hAnsi="Times New Roman"/>
          <w:noProof/>
          <w:sz w:val="24"/>
          <w:szCs w:val="24"/>
        </w:rPr>
        <w:t>"</w:t>
      </w:r>
      <w:r w:rsidRPr="00C31819">
        <w:rPr>
          <w:rFonts w:ascii="Times New Roman" w:hAnsi="Times New Roman"/>
          <w:noProof/>
          <w:sz w:val="24"/>
          <w:szCs w:val="24"/>
        </w:rPr>
        <w:t>improve and facilitate the exchange of information</w:t>
      </w:r>
      <w:r w:rsidR="00645701">
        <w:rPr>
          <w:rFonts w:ascii="Times New Roman" w:hAnsi="Times New Roman"/>
          <w:noProof/>
          <w:sz w:val="24"/>
          <w:szCs w:val="24"/>
        </w:rPr>
        <w:t>"</w:t>
      </w:r>
      <w:r w:rsidRPr="00C31819">
        <w:rPr>
          <w:rFonts w:ascii="Times New Roman" w:hAnsi="Times New Roman"/>
          <w:noProof/>
          <w:sz w:val="24"/>
          <w:szCs w:val="24"/>
        </w:rPr>
        <w:t xml:space="preserve"> and to </w:t>
      </w:r>
      <w:r w:rsidR="00645701">
        <w:rPr>
          <w:rFonts w:ascii="Times New Roman" w:hAnsi="Times New Roman"/>
          <w:noProof/>
          <w:sz w:val="24"/>
          <w:szCs w:val="24"/>
        </w:rPr>
        <w:t>"</w:t>
      </w:r>
      <w:r w:rsidRPr="00C31819">
        <w:rPr>
          <w:rFonts w:ascii="Times New Roman" w:hAnsi="Times New Roman"/>
          <w:noProof/>
          <w:sz w:val="24"/>
          <w:szCs w:val="24"/>
        </w:rPr>
        <w:t>improve and intensi</w:t>
      </w:r>
      <w:r>
        <w:rPr>
          <w:rFonts w:ascii="Times New Roman" w:hAnsi="Times New Roman"/>
          <w:noProof/>
          <w:sz w:val="24"/>
          <w:szCs w:val="24"/>
        </w:rPr>
        <w:t>fy cross-border cooperation</w:t>
      </w:r>
      <w:r w:rsidR="00645701">
        <w:rPr>
          <w:rFonts w:ascii="Times New Roman" w:hAnsi="Times New Roman"/>
          <w:noProof/>
          <w:sz w:val="24"/>
          <w:szCs w:val="24"/>
        </w:rPr>
        <w:t>"</w:t>
      </w:r>
      <w:r w:rsidRPr="00C31819">
        <w:rPr>
          <w:rFonts w:ascii="Times New Roman" w:hAnsi="Times New Roman"/>
          <w:noProof/>
          <w:sz w:val="24"/>
          <w:szCs w:val="24"/>
        </w:rPr>
        <w:t>.</w:t>
      </w:r>
      <w:r>
        <w:rPr>
          <w:rStyle w:val="FootnoteReference"/>
          <w:rFonts w:ascii="Times New Roman" w:hAnsi="Times New Roman"/>
          <w:noProof/>
          <w:sz w:val="24"/>
          <w:szCs w:val="24"/>
        </w:rPr>
        <w:footnoteReference w:id="124"/>
      </w:r>
      <w:r w:rsidRPr="00C31819">
        <w:rPr>
          <w:rFonts w:ascii="Times New Roman" w:hAnsi="Times New Roman"/>
          <w:noProof/>
          <w:sz w:val="24"/>
          <w:szCs w:val="24"/>
        </w:rPr>
        <w:t xml:space="preserve"> When preparing their national programmes, Member States are invited to include in their national programmes activities relevant to the upcoming Police Cooperation Code, with explicit reference to SPOCS and PCCCs, and the connection to SIENA.</w:t>
      </w:r>
    </w:p>
    <w:p w14:paraId="733AE651" w14:textId="77777777" w:rsidR="00C76702" w:rsidRPr="00522C56" w:rsidRDefault="00C76702" w:rsidP="00F31D89">
      <w:pPr>
        <w:pStyle w:val="Body"/>
        <w:spacing w:before="120" w:after="60"/>
        <w:jc w:val="both"/>
        <w:rPr>
          <w:rFonts w:ascii="Times New Roman" w:hAnsi="Times New Roman"/>
          <w:noProof/>
          <w:sz w:val="24"/>
          <w:szCs w:val="24"/>
        </w:rPr>
      </w:pPr>
      <w:r w:rsidRPr="00522C56">
        <w:rPr>
          <w:rFonts w:ascii="Times New Roman" w:hAnsi="Times New Roman"/>
          <w:noProof/>
          <w:sz w:val="24"/>
          <w:szCs w:val="24"/>
        </w:rPr>
        <w:t xml:space="preserve">With a view to maximising the main advantages of the preferred policy option, and to minimise the main disadvantages to the extent possible, various success factors have been identified: </w:t>
      </w:r>
    </w:p>
    <w:p w14:paraId="35A2AAE3" w14:textId="77777777" w:rsidR="00C76702" w:rsidRPr="00522C56" w:rsidRDefault="00C76702" w:rsidP="00E760E4">
      <w:pPr>
        <w:pStyle w:val="Body"/>
        <w:numPr>
          <w:ilvl w:val="0"/>
          <w:numId w:val="8"/>
        </w:numPr>
        <w:spacing w:after="0"/>
        <w:ind w:left="714" w:hanging="357"/>
        <w:jc w:val="both"/>
        <w:rPr>
          <w:rFonts w:ascii="Times New Roman" w:hAnsi="Times New Roman"/>
          <w:bCs/>
          <w:noProof/>
          <w:sz w:val="24"/>
          <w:szCs w:val="24"/>
        </w:rPr>
      </w:pPr>
      <w:r w:rsidRPr="00522C56">
        <w:rPr>
          <w:rFonts w:ascii="Times New Roman" w:hAnsi="Times New Roman"/>
          <w:bCs/>
          <w:noProof/>
          <w:sz w:val="24"/>
          <w:szCs w:val="24"/>
        </w:rPr>
        <w:t xml:space="preserve">Provide sufficient funding and financial support to Member States in order to facilitate high-level political support for </w:t>
      </w:r>
      <w:r w:rsidRPr="00522C56">
        <w:rPr>
          <w:rFonts w:ascii="Times New Roman" w:hAnsi="Times New Roman"/>
          <w:noProof/>
          <w:sz w:val="24"/>
          <w:szCs w:val="24"/>
        </w:rPr>
        <w:t xml:space="preserve">the preferred </w:t>
      </w:r>
      <w:r w:rsidRPr="00522C56">
        <w:rPr>
          <w:rFonts w:ascii="Times New Roman" w:hAnsi="Times New Roman"/>
          <w:bCs/>
          <w:noProof/>
          <w:sz w:val="24"/>
          <w:szCs w:val="24"/>
        </w:rPr>
        <w:t>policy option, as well as to ensure the necessary financial commitment;</w:t>
      </w:r>
    </w:p>
    <w:p w14:paraId="3C828AE0" w14:textId="77777777" w:rsidR="00C76702" w:rsidRPr="00522C56" w:rsidRDefault="00C76702" w:rsidP="00E760E4">
      <w:pPr>
        <w:pStyle w:val="Body"/>
        <w:numPr>
          <w:ilvl w:val="0"/>
          <w:numId w:val="8"/>
        </w:numPr>
        <w:spacing w:after="0"/>
        <w:ind w:left="714" w:hanging="357"/>
        <w:jc w:val="both"/>
        <w:rPr>
          <w:rFonts w:ascii="Times New Roman" w:hAnsi="Times New Roman"/>
          <w:bCs/>
          <w:noProof/>
          <w:sz w:val="24"/>
          <w:szCs w:val="24"/>
        </w:rPr>
      </w:pPr>
      <w:r w:rsidRPr="00522C56">
        <w:rPr>
          <w:rFonts w:ascii="Times New Roman" w:hAnsi="Times New Roman"/>
          <w:bCs/>
          <w:noProof/>
          <w:sz w:val="24"/>
          <w:szCs w:val="24"/>
        </w:rPr>
        <w:t>Leverage and streamline existing IT-solutions (e.g. developed by Europol) in order to avoid Member States diverging at the technical level;</w:t>
      </w:r>
    </w:p>
    <w:p w14:paraId="771686FE" w14:textId="77777777" w:rsidR="00C76702" w:rsidRPr="00522C56" w:rsidRDefault="00C76702" w:rsidP="00E760E4">
      <w:pPr>
        <w:pStyle w:val="Body"/>
        <w:numPr>
          <w:ilvl w:val="0"/>
          <w:numId w:val="8"/>
        </w:numPr>
        <w:spacing w:after="0"/>
        <w:ind w:left="714" w:hanging="357"/>
        <w:jc w:val="both"/>
        <w:rPr>
          <w:rFonts w:ascii="Times New Roman" w:hAnsi="Times New Roman"/>
          <w:bCs/>
          <w:noProof/>
          <w:sz w:val="24"/>
          <w:szCs w:val="24"/>
        </w:rPr>
      </w:pPr>
      <w:r w:rsidRPr="00522C56">
        <w:rPr>
          <w:rFonts w:ascii="Times New Roman" w:hAnsi="Times New Roman"/>
          <w:bCs/>
          <w:noProof/>
          <w:sz w:val="24"/>
          <w:szCs w:val="24"/>
        </w:rPr>
        <w:t>Provide sufficient funding and co-develop awareness raising campaigns targeted at EU law enforcement officials in relation to cross-border matters;</w:t>
      </w:r>
    </w:p>
    <w:p w14:paraId="3645B363" w14:textId="77777777" w:rsidR="00C76702" w:rsidRPr="00522C56" w:rsidRDefault="00C76702" w:rsidP="00E760E4">
      <w:pPr>
        <w:pStyle w:val="Body"/>
        <w:numPr>
          <w:ilvl w:val="0"/>
          <w:numId w:val="8"/>
        </w:numPr>
        <w:spacing w:after="0"/>
        <w:ind w:left="714" w:hanging="357"/>
        <w:jc w:val="both"/>
        <w:rPr>
          <w:rFonts w:ascii="Times New Roman" w:hAnsi="Times New Roman"/>
          <w:bCs/>
          <w:noProof/>
          <w:sz w:val="24"/>
          <w:szCs w:val="24"/>
        </w:rPr>
      </w:pPr>
      <w:r w:rsidRPr="00522C56">
        <w:rPr>
          <w:rFonts w:ascii="Times New Roman" w:hAnsi="Times New Roman"/>
          <w:bCs/>
          <w:noProof/>
          <w:sz w:val="24"/>
          <w:szCs w:val="24"/>
        </w:rPr>
        <w:t xml:space="preserve">Provide sufficient funding and co-develop specific training relevant for the subject matter covered by </w:t>
      </w:r>
      <w:r w:rsidRPr="00522C56">
        <w:rPr>
          <w:rFonts w:ascii="Times New Roman" w:hAnsi="Times New Roman"/>
          <w:noProof/>
          <w:sz w:val="24"/>
          <w:szCs w:val="24"/>
        </w:rPr>
        <w:t xml:space="preserve">the preferred </w:t>
      </w:r>
      <w:r w:rsidRPr="00522C56">
        <w:rPr>
          <w:rFonts w:ascii="Times New Roman" w:hAnsi="Times New Roman"/>
          <w:bCs/>
          <w:noProof/>
          <w:sz w:val="24"/>
          <w:szCs w:val="24"/>
        </w:rPr>
        <w:t>policy option and leverage existing training opportunities provided by CEPOL;</w:t>
      </w:r>
    </w:p>
    <w:p w14:paraId="2AFFB335" w14:textId="77777777" w:rsidR="00C76702" w:rsidRPr="00522C56" w:rsidRDefault="00C76702" w:rsidP="00E760E4">
      <w:pPr>
        <w:pStyle w:val="Body"/>
        <w:numPr>
          <w:ilvl w:val="0"/>
          <w:numId w:val="8"/>
        </w:numPr>
        <w:spacing w:after="0"/>
        <w:ind w:left="714" w:hanging="357"/>
        <w:jc w:val="both"/>
        <w:rPr>
          <w:rFonts w:ascii="Times New Roman" w:hAnsi="Times New Roman"/>
          <w:bCs/>
          <w:noProof/>
          <w:sz w:val="24"/>
          <w:szCs w:val="24"/>
        </w:rPr>
      </w:pPr>
      <w:r w:rsidRPr="00522C56">
        <w:rPr>
          <w:rFonts w:ascii="Times New Roman" w:hAnsi="Times New Roman"/>
          <w:bCs/>
          <w:noProof/>
          <w:sz w:val="24"/>
          <w:szCs w:val="24"/>
        </w:rPr>
        <w:t>Closely collaborate with Member States in order to take advantage of proven operational practices;</w:t>
      </w:r>
    </w:p>
    <w:p w14:paraId="2E8AD4B8" w14:textId="77777777" w:rsidR="00C76702" w:rsidRPr="00522C56" w:rsidRDefault="00C76702" w:rsidP="00E760E4">
      <w:pPr>
        <w:pStyle w:val="Body"/>
        <w:numPr>
          <w:ilvl w:val="0"/>
          <w:numId w:val="8"/>
        </w:numPr>
        <w:spacing w:after="0"/>
        <w:ind w:left="714" w:hanging="357"/>
        <w:jc w:val="both"/>
        <w:rPr>
          <w:rFonts w:ascii="Times New Roman" w:hAnsi="Times New Roman"/>
          <w:bCs/>
          <w:noProof/>
          <w:sz w:val="24"/>
          <w:szCs w:val="24"/>
        </w:rPr>
      </w:pPr>
      <w:r w:rsidRPr="00522C56">
        <w:rPr>
          <w:rFonts w:ascii="Times New Roman" w:hAnsi="Times New Roman"/>
          <w:bCs/>
          <w:noProof/>
          <w:sz w:val="24"/>
          <w:szCs w:val="24"/>
        </w:rPr>
        <w:t xml:space="preserve">Take appropriate action in unison with the Member States in order to identify and streamline good practices concerning the implementation of </w:t>
      </w:r>
      <w:r w:rsidRPr="00522C56">
        <w:rPr>
          <w:rFonts w:ascii="Times New Roman" w:hAnsi="Times New Roman"/>
          <w:noProof/>
          <w:sz w:val="24"/>
          <w:szCs w:val="24"/>
        </w:rPr>
        <w:t xml:space="preserve">the preferred </w:t>
      </w:r>
      <w:r w:rsidRPr="00522C56">
        <w:rPr>
          <w:rFonts w:ascii="Times New Roman" w:hAnsi="Times New Roman"/>
          <w:bCs/>
          <w:noProof/>
          <w:sz w:val="24"/>
          <w:szCs w:val="24"/>
        </w:rPr>
        <w:t>policy option; and</w:t>
      </w:r>
    </w:p>
    <w:p w14:paraId="1F0F4FDE" w14:textId="77777777" w:rsidR="009216BE" w:rsidRPr="009216BE" w:rsidRDefault="00C76702" w:rsidP="00704502">
      <w:pPr>
        <w:pStyle w:val="Body"/>
        <w:numPr>
          <w:ilvl w:val="0"/>
          <w:numId w:val="8"/>
        </w:numPr>
        <w:ind w:left="714" w:hanging="357"/>
        <w:jc w:val="both"/>
        <w:rPr>
          <w:rFonts w:ascii="Times New Roman" w:hAnsi="Times New Roman"/>
          <w:bCs/>
          <w:noProof/>
          <w:sz w:val="24"/>
          <w:szCs w:val="24"/>
        </w:rPr>
      </w:pPr>
      <w:r w:rsidRPr="00522C56">
        <w:rPr>
          <w:rFonts w:ascii="Times New Roman" w:hAnsi="Times New Roman"/>
          <w:bCs/>
          <w:noProof/>
          <w:sz w:val="24"/>
          <w:szCs w:val="24"/>
        </w:rPr>
        <w:t xml:space="preserve">Continuously collect relevant statistics and monitor the implementation of </w:t>
      </w:r>
      <w:r w:rsidRPr="00522C56">
        <w:rPr>
          <w:rFonts w:ascii="Times New Roman" w:hAnsi="Times New Roman"/>
          <w:noProof/>
          <w:sz w:val="24"/>
          <w:szCs w:val="24"/>
        </w:rPr>
        <w:t xml:space="preserve">the preferred </w:t>
      </w:r>
      <w:r w:rsidRPr="00522C56">
        <w:rPr>
          <w:rFonts w:ascii="Times New Roman" w:hAnsi="Times New Roman"/>
          <w:bCs/>
          <w:noProof/>
          <w:sz w:val="24"/>
          <w:szCs w:val="24"/>
        </w:rPr>
        <w:t>policy option to enable swift action in case diverging implementation practices occur.</w:t>
      </w:r>
    </w:p>
    <w:p w14:paraId="2977B3E4" w14:textId="382E703C" w:rsidR="00C76702" w:rsidRPr="00144E3C" w:rsidRDefault="00173E60" w:rsidP="00173E60">
      <w:pPr>
        <w:pStyle w:val="Heading1"/>
        <w:rPr>
          <w:noProof/>
        </w:rPr>
      </w:pPr>
      <w:bookmarkStart w:id="123" w:name="_Toc48897647"/>
      <w:bookmarkStart w:id="124" w:name="_Toc74838189"/>
      <w:bookmarkStart w:id="125" w:name="_Toc83801051"/>
      <w:r w:rsidRPr="00173E60">
        <w:t>9.</w:t>
      </w:r>
      <w:r w:rsidRPr="00173E60">
        <w:tab/>
      </w:r>
      <w:r w:rsidR="00C76702" w:rsidRPr="00144E3C">
        <w:rPr>
          <w:noProof/>
        </w:rPr>
        <w:t>How will actual impacts be monitored and evaluated?</w:t>
      </w:r>
      <w:bookmarkEnd w:id="123"/>
      <w:bookmarkEnd w:id="124"/>
      <w:bookmarkEnd w:id="125"/>
    </w:p>
    <w:p w14:paraId="703D0D2A" w14:textId="77777777" w:rsidR="00C76702" w:rsidRDefault="00C76702" w:rsidP="00C76702">
      <w:pPr>
        <w:pStyle w:val="Text1"/>
        <w:spacing w:after="120"/>
        <w:ind w:left="0"/>
        <w:rPr>
          <w:noProof/>
        </w:rPr>
      </w:pPr>
      <w:r>
        <w:rPr>
          <w:noProof/>
        </w:rPr>
        <w:t xml:space="preserve">The evaluation of impacts will depend on the information to be received from the Member States. For this reason, the Directive Proposal would contain </w:t>
      </w:r>
      <w:r w:rsidRPr="00AE44F2">
        <w:rPr>
          <w:b/>
          <w:noProof/>
        </w:rPr>
        <w:t xml:space="preserve">provisions on collection of data indicators </w:t>
      </w:r>
      <w:r>
        <w:rPr>
          <w:noProof/>
        </w:rPr>
        <w:t>on the quantity of information requested, sen</w:t>
      </w:r>
      <w:r w:rsidR="00986C04">
        <w:rPr>
          <w:noProof/>
        </w:rPr>
        <w:t>t</w:t>
      </w:r>
      <w:r>
        <w:rPr>
          <w:noProof/>
        </w:rPr>
        <w:t>, received; the number of urgent requests, the number of urge</w:t>
      </w:r>
      <w:r w:rsidR="00187EA9">
        <w:rPr>
          <w:noProof/>
        </w:rPr>
        <w:t xml:space="preserve">nt requests replied on time and </w:t>
      </w:r>
      <w:r>
        <w:rPr>
          <w:noProof/>
        </w:rPr>
        <w:t>a</w:t>
      </w:r>
      <w:r w:rsidR="00187EA9">
        <w:rPr>
          <w:noProof/>
        </w:rPr>
        <w:t xml:space="preserve"> </w:t>
      </w:r>
      <w:r>
        <w:rPr>
          <w:noProof/>
        </w:rPr>
        <w:t xml:space="preserve">breakdown by communication channels at SPOC, at PCCCs (if any) and at any other equivalent structures. </w:t>
      </w:r>
    </w:p>
    <w:p w14:paraId="712EEE34" w14:textId="5A613FCE" w:rsidR="00C76702" w:rsidRPr="00A1791A" w:rsidRDefault="00C76702" w:rsidP="00FC167D">
      <w:pPr>
        <w:pStyle w:val="Body"/>
        <w:spacing w:after="120"/>
        <w:jc w:val="both"/>
        <w:rPr>
          <w:rFonts w:ascii="Times New Roman" w:hAnsi="Times New Roman"/>
          <w:noProof/>
          <w:sz w:val="24"/>
        </w:rPr>
      </w:pPr>
      <w:r w:rsidRPr="00A1791A">
        <w:rPr>
          <w:rFonts w:ascii="Times New Roman" w:hAnsi="Times New Roman"/>
          <w:noProof/>
          <w:sz w:val="24"/>
        </w:rPr>
        <w:t>The responsibility for the collection of the relevant monitoring data should be in the hands of national authorities.</w:t>
      </w:r>
      <w:r w:rsidR="00427CCD">
        <w:rPr>
          <w:rFonts w:ascii="Times New Roman" w:hAnsi="Times New Roman"/>
          <w:noProof/>
          <w:sz w:val="24"/>
        </w:rPr>
        <w:t xml:space="preserve"> The development of a modern information management architecture, as per the Directive proposal, will greatly facilitate the data collection exercise at no additional cost</w:t>
      </w:r>
      <w:r w:rsidR="00D06D3F">
        <w:rPr>
          <w:rFonts w:ascii="Times New Roman" w:hAnsi="Times New Roman"/>
          <w:noProof/>
          <w:sz w:val="24"/>
        </w:rPr>
        <w:t xml:space="preserve"> by the SPOCs</w:t>
      </w:r>
      <w:r w:rsidR="00427CCD">
        <w:rPr>
          <w:rFonts w:ascii="Times New Roman" w:hAnsi="Times New Roman"/>
          <w:noProof/>
          <w:sz w:val="24"/>
        </w:rPr>
        <w:t xml:space="preserve">. </w:t>
      </w:r>
    </w:p>
    <w:p w14:paraId="30753B1A" w14:textId="16225A21" w:rsidR="00C76702" w:rsidRPr="00A1791A" w:rsidRDefault="00C76702" w:rsidP="004B372C">
      <w:pPr>
        <w:pStyle w:val="Body"/>
        <w:spacing w:after="120"/>
        <w:jc w:val="both"/>
        <w:rPr>
          <w:rFonts w:ascii="Times New Roman" w:hAnsi="Times New Roman"/>
          <w:noProof/>
          <w:sz w:val="24"/>
        </w:rPr>
      </w:pPr>
      <w:r w:rsidRPr="00A1791A">
        <w:rPr>
          <w:rFonts w:ascii="Times New Roman" w:hAnsi="Times New Roman"/>
          <w:noProof/>
          <w:sz w:val="24"/>
        </w:rPr>
        <w:t xml:space="preserve">Subsequently, the monitoring </w:t>
      </w:r>
      <w:r w:rsidR="00986C04">
        <w:rPr>
          <w:rFonts w:ascii="Times New Roman" w:hAnsi="Times New Roman"/>
          <w:noProof/>
          <w:sz w:val="24"/>
        </w:rPr>
        <w:t xml:space="preserve">of these activity indicators </w:t>
      </w:r>
      <w:r>
        <w:rPr>
          <w:rFonts w:ascii="Times New Roman" w:hAnsi="Times New Roman"/>
          <w:noProof/>
          <w:sz w:val="24"/>
        </w:rPr>
        <w:t>will</w:t>
      </w:r>
      <w:r w:rsidRPr="00A1791A">
        <w:rPr>
          <w:rFonts w:ascii="Times New Roman" w:hAnsi="Times New Roman"/>
          <w:noProof/>
          <w:sz w:val="24"/>
        </w:rPr>
        <w:t xml:space="preserve"> be used to inform </w:t>
      </w:r>
      <w:r w:rsidR="00986C04">
        <w:rPr>
          <w:rFonts w:ascii="Times New Roman" w:hAnsi="Times New Roman"/>
          <w:noProof/>
          <w:sz w:val="24"/>
        </w:rPr>
        <w:t xml:space="preserve">on the application </w:t>
      </w:r>
      <w:r w:rsidRPr="00A1791A">
        <w:rPr>
          <w:rFonts w:ascii="Times New Roman" w:hAnsi="Times New Roman"/>
          <w:noProof/>
          <w:sz w:val="24"/>
        </w:rPr>
        <w:t xml:space="preserve">of the </w:t>
      </w:r>
      <w:r>
        <w:rPr>
          <w:rFonts w:ascii="Times New Roman" w:hAnsi="Times New Roman"/>
          <w:noProof/>
          <w:sz w:val="24"/>
        </w:rPr>
        <w:t>Directive</w:t>
      </w:r>
      <w:r w:rsidRPr="00A1791A">
        <w:rPr>
          <w:rFonts w:ascii="Times New Roman" w:hAnsi="Times New Roman"/>
          <w:noProof/>
          <w:sz w:val="24"/>
        </w:rPr>
        <w:t xml:space="preserve"> </w:t>
      </w:r>
      <w:r>
        <w:rPr>
          <w:rFonts w:ascii="Times New Roman" w:hAnsi="Times New Roman"/>
          <w:noProof/>
          <w:sz w:val="24"/>
        </w:rPr>
        <w:t>proposal</w:t>
      </w:r>
      <w:r w:rsidRPr="00A1791A">
        <w:rPr>
          <w:rFonts w:ascii="Times New Roman" w:hAnsi="Times New Roman"/>
          <w:noProof/>
          <w:sz w:val="24"/>
        </w:rPr>
        <w:t xml:space="preserve">. </w:t>
      </w:r>
      <w:r w:rsidR="00086DFF" w:rsidRPr="00645701">
        <w:rPr>
          <w:rFonts w:ascii="Times New Roman" w:hAnsi="Times New Roman"/>
          <w:b/>
          <w:noProof/>
          <w:sz w:val="24"/>
          <w:szCs w:val="24"/>
        </w:rPr>
        <w:t>T</w:t>
      </w:r>
      <w:r w:rsidR="00F23F7A">
        <w:rPr>
          <w:rFonts w:ascii="Times New Roman" w:hAnsi="Times New Roman"/>
          <w:b/>
          <w:noProof/>
          <w:sz w:val="24"/>
          <w:szCs w:val="24"/>
        </w:rPr>
        <w:t>hree</w:t>
      </w:r>
      <w:r w:rsidR="00086DFF" w:rsidRPr="00645701">
        <w:rPr>
          <w:rFonts w:ascii="Times New Roman" w:hAnsi="Times New Roman"/>
          <w:b/>
          <w:noProof/>
          <w:sz w:val="24"/>
          <w:szCs w:val="24"/>
        </w:rPr>
        <w:t xml:space="preserve"> </w:t>
      </w:r>
      <w:r w:rsidR="00F23F7A" w:rsidRPr="00086DFF">
        <w:rPr>
          <w:rFonts w:ascii="Times New Roman" w:hAnsi="Times New Roman"/>
          <w:noProof/>
          <w:sz w:val="24"/>
          <w:szCs w:val="24"/>
        </w:rPr>
        <w:t xml:space="preserve">and </w:t>
      </w:r>
      <w:r w:rsidR="00F23F7A">
        <w:rPr>
          <w:rFonts w:ascii="Times New Roman" w:hAnsi="Times New Roman"/>
          <w:noProof/>
          <w:sz w:val="24"/>
          <w:szCs w:val="24"/>
        </w:rPr>
        <w:t xml:space="preserve">five </w:t>
      </w:r>
      <w:r w:rsidR="00086DFF" w:rsidRPr="00645701">
        <w:rPr>
          <w:rFonts w:ascii="Times New Roman" w:hAnsi="Times New Roman"/>
          <w:b/>
          <w:noProof/>
          <w:sz w:val="24"/>
          <w:szCs w:val="24"/>
        </w:rPr>
        <w:t>years</w:t>
      </w:r>
      <w:r w:rsidR="00086DFF" w:rsidRPr="00086DFF">
        <w:rPr>
          <w:rFonts w:ascii="Times New Roman" w:hAnsi="Times New Roman"/>
          <w:noProof/>
          <w:sz w:val="24"/>
          <w:szCs w:val="24"/>
        </w:rPr>
        <w:t xml:space="preserve"> after the transpositon deadline, , the Commission </w:t>
      </w:r>
      <w:r w:rsidR="00086DFF">
        <w:rPr>
          <w:rFonts w:ascii="Times New Roman" w:hAnsi="Times New Roman"/>
          <w:noProof/>
          <w:sz w:val="24"/>
          <w:szCs w:val="24"/>
        </w:rPr>
        <w:t xml:space="preserve">intends to </w:t>
      </w:r>
      <w:r w:rsidR="00086DFF" w:rsidRPr="00086DFF">
        <w:rPr>
          <w:rFonts w:ascii="Times New Roman" w:hAnsi="Times New Roman"/>
          <w:noProof/>
          <w:sz w:val="24"/>
          <w:szCs w:val="24"/>
        </w:rPr>
        <w:t xml:space="preserve">submit to the European Parliament and the Council two reports. </w:t>
      </w:r>
      <w:r w:rsidR="00086DFF" w:rsidRPr="00086DFF">
        <w:rPr>
          <w:rFonts w:ascii="Times New Roman" w:hAnsi="Times New Roman"/>
          <w:b/>
          <w:noProof/>
          <w:sz w:val="24"/>
          <w:szCs w:val="24"/>
        </w:rPr>
        <w:t>The first,</w:t>
      </w:r>
      <w:r w:rsidR="00086DFF" w:rsidRPr="00086DFF">
        <w:rPr>
          <w:rFonts w:ascii="Times New Roman" w:hAnsi="Times New Roman"/>
          <w:noProof/>
          <w:sz w:val="24"/>
          <w:szCs w:val="24"/>
        </w:rPr>
        <w:t xml:space="preserve"> assessing the extent to which the Member States have taken the necessary measures to comply with this Directive; </w:t>
      </w:r>
      <w:r w:rsidR="00086DFF" w:rsidRPr="00086DFF">
        <w:rPr>
          <w:rFonts w:ascii="Times New Roman" w:hAnsi="Times New Roman"/>
          <w:b/>
          <w:noProof/>
          <w:sz w:val="24"/>
          <w:szCs w:val="24"/>
        </w:rPr>
        <w:t>the second,</w:t>
      </w:r>
      <w:r w:rsidR="00086DFF" w:rsidRPr="00086DFF">
        <w:rPr>
          <w:rFonts w:ascii="Times New Roman" w:hAnsi="Times New Roman"/>
          <w:noProof/>
          <w:sz w:val="24"/>
          <w:szCs w:val="24"/>
        </w:rPr>
        <w:t xml:space="preserve"> assessing its results against its objectives and the continuing validity of the underlying rationale and any implications for future options</w:t>
      </w:r>
      <w:r w:rsidR="00086DFF">
        <w:rPr>
          <w:rFonts w:ascii="Times New Roman" w:hAnsi="Times New Roman"/>
          <w:noProof/>
          <w:sz w:val="24"/>
          <w:szCs w:val="24"/>
        </w:rPr>
        <w:t>.</w:t>
      </w:r>
    </w:p>
    <w:p w14:paraId="1C6911D0" w14:textId="77777777" w:rsidR="00C76702" w:rsidRDefault="00B9336B" w:rsidP="00187EA9">
      <w:pPr>
        <w:pStyle w:val="Text1"/>
        <w:spacing w:after="120"/>
        <w:ind w:left="0"/>
        <w:rPr>
          <w:noProof/>
        </w:rPr>
      </w:pPr>
      <w:r>
        <w:rPr>
          <w:noProof/>
          <w:lang w:val="en-GB"/>
        </w:rPr>
        <w:t>Aside from this legal proposal, t</w:t>
      </w:r>
      <w:r w:rsidRPr="00704502">
        <w:rPr>
          <w:noProof/>
        </w:rPr>
        <w:t>he</w:t>
      </w:r>
      <w:r w:rsidRPr="00704502">
        <w:rPr>
          <w:noProof/>
          <w:sz w:val="20"/>
        </w:rPr>
        <w:t xml:space="preserve"> </w:t>
      </w:r>
      <w:r w:rsidRPr="00704502">
        <w:rPr>
          <w:noProof/>
        </w:rPr>
        <w:t>Commission, acting by virtue of its administrative autonomy, will set up an expert group composed by experts from each Member State, to advise and support the Commission in the monitoring and application of the Directive, including in the preparation of Commission guidance papers</w:t>
      </w:r>
      <w:r w:rsidR="00C76702">
        <w:rPr>
          <w:noProof/>
        </w:rPr>
        <w:t xml:space="preserve">. </w:t>
      </w:r>
    </w:p>
    <w:p w14:paraId="05DD2957" w14:textId="77777777" w:rsidR="00C76702" w:rsidRPr="004B372C" w:rsidRDefault="00C76702" w:rsidP="009D6B1A">
      <w:pPr>
        <w:pStyle w:val="Caption"/>
        <w:keepNext/>
        <w:jc w:val="center"/>
        <w:rPr>
          <w:noProof/>
          <w:sz w:val="16"/>
          <w:lang w:val="en-GB"/>
        </w:rPr>
      </w:pPr>
      <w:bookmarkStart w:id="126" w:name="_Toc74237827"/>
      <w:r w:rsidRPr="004B372C">
        <w:rPr>
          <w:noProof/>
          <w:sz w:val="16"/>
          <w:lang w:val="en-GB"/>
        </w:rPr>
        <w:t>Main indicators for the monitoring of the preferred policy option</w:t>
      </w:r>
      <w:bookmarkEnd w:id="126"/>
      <w:r w:rsidRPr="004B372C">
        <w:rPr>
          <w:noProof/>
          <w:sz w:val="16"/>
          <w:lang w:val="en-GB"/>
        </w:rPr>
        <w:t xml:space="preserve"> contained in the Directive proposal</w:t>
      </w:r>
    </w:p>
    <w:tbl>
      <w:tblPr>
        <w:tblStyle w:val="TableGrid"/>
        <w:tblW w:w="0" w:type="auto"/>
        <w:tblLook w:val="04A0" w:firstRow="1" w:lastRow="0" w:firstColumn="1" w:lastColumn="0" w:noHBand="0" w:noVBand="1"/>
      </w:tblPr>
      <w:tblGrid>
        <w:gridCol w:w="1526"/>
        <w:gridCol w:w="3985"/>
        <w:gridCol w:w="4236"/>
      </w:tblGrid>
      <w:tr w:rsidR="00C76702" w14:paraId="6F8C1A23" w14:textId="77777777" w:rsidTr="00A414D7">
        <w:tc>
          <w:tcPr>
            <w:tcW w:w="1526" w:type="dxa"/>
            <w:tcBorders>
              <w:top w:val="nil"/>
              <w:left w:val="nil"/>
            </w:tcBorders>
            <w:shd w:val="clear" w:color="auto" w:fill="auto"/>
          </w:tcPr>
          <w:p w14:paraId="10879ABE" w14:textId="77777777" w:rsidR="00C76702" w:rsidRPr="00A1791A" w:rsidRDefault="00C76702" w:rsidP="00EB7963">
            <w:pPr>
              <w:pStyle w:val="Body"/>
              <w:rPr>
                <w:rFonts w:cstheme="minorHAnsi"/>
                <w:noProof/>
                <w:color w:val="FFFFFF" w:themeColor="background1"/>
                <w:sz w:val="18"/>
                <w:szCs w:val="18"/>
              </w:rPr>
            </w:pPr>
          </w:p>
        </w:tc>
        <w:tc>
          <w:tcPr>
            <w:tcW w:w="3985" w:type="dxa"/>
            <w:shd w:val="clear" w:color="auto" w:fill="8EAADB" w:themeFill="accent5" w:themeFillTint="99"/>
          </w:tcPr>
          <w:p w14:paraId="3D481DFA" w14:textId="77777777" w:rsidR="00C76702" w:rsidRPr="00704502" w:rsidRDefault="00C76702" w:rsidP="00A414D7">
            <w:pPr>
              <w:pStyle w:val="Body"/>
              <w:spacing w:before="60" w:after="60"/>
              <w:jc w:val="center"/>
              <w:rPr>
                <w:rFonts w:cstheme="minorHAnsi"/>
                <w:b/>
                <w:noProof/>
                <w:sz w:val="16"/>
                <w:szCs w:val="18"/>
              </w:rPr>
            </w:pPr>
            <w:r w:rsidRPr="00704502">
              <w:rPr>
                <w:b/>
                <w:noProof/>
                <w:sz w:val="16"/>
                <w:szCs w:val="18"/>
              </w:rPr>
              <w:t>Implementation ("outputs")</w:t>
            </w:r>
          </w:p>
        </w:tc>
        <w:tc>
          <w:tcPr>
            <w:tcW w:w="4236" w:type="dxa"/>
            <w:shd w:val="clear" w:color="auto" w:fill="8EAADB" w:themeFill="accent5" w:themeFillTint="99"/>
          </w:tcPr>
          <w:p w14:paraId="12B2C715" w14:textId="77777777" w:rsidR="00C76702" w:rsidRPr="00704502" w:rsidRDefault="00C76702" w:rsidP="00A414D7">
            <w:pPr>
              <w:pStyle w:val="Body"/>
              <w:spacing w:before="60" w:after="60"/>
              <w:jc w:val="center"/>
              <w:rPr>
                <w:rFonts w:cstheme="minorHAnsi"/>
                <w:b/>
                <w:noProof/>
                <w:sz w:val="16"/>
                <w:szCs w:val="18"/>
              </w:rPr>
            </w:pPr>
            <w:r w:rsidRPr="00704502">
              <w:rPr>
                <w:b/>
                <w:noProof/>
                <w:sz w:val="16"/>
                <w:szCs w:val="18"/>
              </w:rPr>
              <w:t>Application ("results &amp; impacts")</w:t>
            </w:r>
          </w:p>
        </w:tc>
      </w:tr>
      <w:tr w:rsidR="00C76702" w:rsidRPr="006C3C30" w14:paraId="05F4B34B" w14:textId="77777777" w:rsidTr="00A414D7">
        <w:tc>
          <w:tcPr>
            <w:tcW w:w="1526" w:type="dxa"/>
            <w:shd w:val="clear" w:color="auto" w:fill="C5E0B3" w:themeFill="accent6" w:themeFillTint="66"/>
          </w:tcPr>
          <w:p w14:paraId="6CD3A2AE" w14:textId="77777777" w:rsidR="00C76702" w:rsidRDefault="00C76702" w:rsidP="00EB7963">
            <w:pPr>
              <w:pStyle w:val="Body"/>
              <w:rPr>
                <w:b/>
                <w:noProof/>
                <w:sz w:val="18"/>
                <w:szCs w:val="18"/>
              </w:rPr>
            </w:pPr>
          </w:p>
          <w:p w14:paraId="0E14D1B1" w14:textId="77777777" w:rsidR="00C76702" w:rsidRPr="000F743C" w:rsidRDefault="00C76702" w:rsidP="00EB7963">
            <w:pPr>
              <w:pStyle w:val="Body"/>
              <w:rPr>
                <w:rFonts w:cstheme="minorHAnsi"/>
                <w:b/>
                <w:noProof/>
                <w:sz w:val="18"/>
                <w:szCs w:val="18"/>
              </w:rPr>
            </w:pPr>
            <w:r w:rsidRPr="00704502">
              <w:rPr>
                <w:b/>
                <w:noProof/>
                <w:sz w:val="16"/>
                <w:szCs w:val="18"/>
              </w:rPr>
              <w:t>Timely access to and smooth exchange of information</w:t>
            </w:r>
          </w:p>
        </w:tc>
        <w:tc>
          <w:tcPr>
            <w:tcW w:w="3985" w:type="dxa"/>
            <w:shd w:val="clear" w:color="auto" w:fill="BDD6EE" w:themeFill="accent1" w:themeFillTint="66"/>
          </w:tcPr>
          <w:p w14:paraId="4FBD3D1B" w14:textId="77777777" w:rsidR="00C76702" w:rsidRPr="00AC05F0" w:rsidRDefault="00C76702" w:rsidP="00900BC7">
            <w:pPr>
              <w:pStyle w:val="Body"/>
              <w:numPr>
                <w:ilvl w:val="0"/>
                <w:numId w:val="36"/>
              </w:numPr>
              <w:spacing w:before="60" w:after="60"/>
              <w:ind w:left="266" w:hanging="266"/>
              <w:rPr>
                <w:noProof/>
                <w:sz w:val="16"/>
                <w:szCs w:val="16"/>
              </w:rPr>
            </w:pPr>
            <w:r>
              <w:rPr>
                <w:noProof/>
                <w:sz w:val="16"/>
                <w:szCs w:val="16"/>
              </w:rPr>
              <w:t>Number of non-urgent/urgent messages sent/</w:t>
            </w:r>
            <w:r w:rsidRPr="00AC05F0">
              <w:rPr>
                <w:noProof/>
                <w:sz w:val="16"/>
                <w:szCs w:val="16"/>
              </w:rPr>
              <w:t>received</w:t>
            </w:r>
            <w:r>
              <w:rPr>
                <w:noProof/>
                <w:sz w:val="16"/>
                <w:szCs w:val="16"/>
              </w:rPr>
              <w:t>, refused/accepted, fully/partially answered</w:t>
            </w:r>
          </w:p>
          <w:p w14:paraId="29DE0B6D" w14:textId="77777777" w:rsidR="00C76702" w:rsidRDefault="00C76702" w:rsidP="00900BC7">
            <w:pPr>
              <w:pStyle w:val="Body"/>
              <w:numPr>
                <w:ilvl w:val="0"/>
                <w:numId w:val="36"/>
              </w:numPr>
              <w:spacing w:before="60" w:after="60"/>
              <w:ind w:left="266" w:hanging="266"/>
              <w:rPr>
                <w:noProof/>
                <w:sz w:val="16"/>
                <w:szCs w:val="16"/>
              </w:rPr>
            </w:pPr>
            <w:r w:rsidRPr="00AC05F0">
              <w:rPr>
                <w:noProof/>
                <w:sz w:val="16"/>
                <w:szCs w:val="16"/>
              </w:rPr>
              <w:t>Number of cases init</w:t>
            </w:r>
            <w:r>
              <w:rPr>
                <w:noProof/>
                <w:sz w:val="16"/>
                <w:szCs w:val="16"/>
              </w:rPr>
              <w:t>iated/</w:t>
            </w:r>
            <w:r w:rsidRPr="00AC05F0">
              <w:rPr>
                <w:noProof/>
                <w:sz w:val="16"/>
                <w:szCs w:val="16"/>
              </w:rPr>
              <w:t>closed</w:t>
            </w:r>
          </w:p>
          <w:p w14:paraId="46692D8A" w14:textId="77777777" w:rsidR="00C76702" w:rsidRPr="00AC05F0" w:rsidRDefault="00C76702" w:rsidP="00900BC7">
            <w:pPr>
              <w:pStyle w:val="Body"/>
              <w:numPr>
                <w:ilvl w:val="0"/>
                <w:numId w:val="36"/>
              </w:numPr>
              <w:spacing w:before="60" w:after="60"/>
              <w:ind w:left="266" w:hanging="266"/>
              <w:rPr>
                <w:noProof/>
                <w:sz w:val="16"/>
                <w:szCs w:val="16"/>
              </w:rPr>
            </w:pPr>
            <w:r>
              <w:rPr>
                <w:noProof/>
                <w:sz w:val="16"/>
                <w:szCs w:val="16"/>
              </w:rPr>
              <w:t>Number of staff in SPOCs/</w:t>
            </w:r>
            <w:r w:rsidRPr="00AC05F0">
              <w:rPr>
                <w:noProof/>
                <w:sz w:val="16"/>
                <w:szCs w:val="16"/>
              </w:rPr>
              <w:t>PCCCs</w:t>
            </w:r>
          </w:p>
          <w:p w14:paraId="4C04D1E9" w14:textId="77777777" w:rsidR="00C76702" w:rsidRPr="00AC05F0" w:rsidRDefault="00C76702" w:rsidP="00900BC7">
            <w:pPr>
              <w:pStyle w:val="Body"/>
              <w:numPr>
                <w:ilvl w:val="0"/>
                <w:numId w:val="36"/>
              </w:numPr>
              <w:spacing w:before="60" w:after="60"/>
              <w:ind w:left="266" w:hanging="266"/>
              <w:rPr>
                <w:noProof/>
                <w:sz w:val="16"/>
                <w:szCs w:val="16"/>
              </w:rPr>
            </w:pPr>
            <w:r w:rsidRPr="00AC05F0">
              <w:rPr>
                <w:noProof/>
                <w:sz w:val="16"/>
                <w:szCs w:val="16"/>
              </w:rPr>
              <w:t>Number of requ</w:t>
            </w:r>
            <w:r>
              <w:rPr>
                <w:noProof/>
                <w:sz w:val="16"/>
                <w:szCs w:val="16"/>
              </w:rPr>
              <w:t>ests from non-proprietary CMS/</w:t>
            </w:r>
            <w:r w:rsidRPr="00AC05F0">
              <w:rPr>
                <w:noProof/>
                <w:sz w:val="16"/>
                <w:szCs w:val="16"/>
              </w:rPr>
              <w:t xml:space="preserve">databases </w:t>
            </w:r>
          </w:p>
          <w:p w14:paraId="6FF5BC1F" w14:textId="77777777" w:rsidR="00C76702" w:rsidRPr="00AC05F0" w:rsidRDefault="00C76702" w:rsidP="00900BC7">
            <w:pPr>
              <w:pStyle w:val="Body"/>
              <w:numPr>
                <w:ilvl w:val="0"/>
                <w:numId w:val="36"/>
              </w:numPr>
              <w:spacing w:before="60" w:after="60"/>
              <w:ind w:left="266" w:hanging="266"/>
              <w:rPr>
                <w:noProof/>
                <w:sz w:val="16"/>
                <w:szCs w:val="16"/>
              </w:rPr>
            </w:pPr>
            <w:r>
              <w:rPr>
                <w:noProof/>
                <w:sz w:val="16"/>
                <w:szCs w:val="16"/>
              </w:rPr>
              <w:t>Capital/</w:t>
            </w:r>
            <w:r w:rsidRPr="00AC05F0">
              <w:rPr>
                <w:noProof/>
                <w:sz w:val="16"/>
                <w:szCs w:val="16"/>
              </w:rPr>
              <w:t>operational expenditures, e.g. in relation to IT and training</w:t>
            </w:r>
          </w:p>
        </w:tc>
        <w:tc>
          <w:tcPr>
            <w:tcW w:w="4236" w:type="dxa"/>
            <w:shd w:val="clear" w:color="auto" w:fill="BDD6EE" w:themeFill="accent1" w:themeFillTint="66"/>
          </w:tcPr>
          <w:p w14:paraId="413EE15B" w14:textId="77777777" w:rsidR="00C76702" w:rsidRPr="00AC05F0" w:rsidRDefault="00C76702" w:rsidP="00900BC7">
            <w:pPr>
              <w:pStyle w:val="Body"/>
              <w:numPr>
                <w:ilvl w:val="0"/>
                <w:numId w:val="36"/>
              </w:numPr>
              <w:spacing w:before="60" w:after="60"/>
              <w:ind w:left="266" w:hanging="266"/>
              <w:rPr>
                <w:noProof/>
                <w:sz w:val="16"/>
                <w:szCs w:val="16"/>
              </w:rPr>
            </w:pPr>
            <w:r w:rsidRPr="00AC05F0">
              <w:rPr>
                <w:noProof/>
                <w:sz w:val="16"/>
                <w:szCs w:val="16"/>
              </w:rPr>
              <w:t>Level of security in the EU</w:t>
            </w:r>
          </w:p>
          <w:p w14:paraId="24582FB6" w14:textId="77777777" w:rsidR="00C76702" w:rsidRPr="00AC05F0" w:rsidRDefault="00C76702" w:rsidP="00900BC7">
            <w:pPr>
              <w:pStyle w:val="Body"/>
              <w:numPr>
                <w:ilvl w:val="0"/>
                <w:numId w:val="36"/>
              </w:numPr>
              <w:spacing w:before="60" w:after="60"/>
              <w:ind w:left="266" w:hanging="266"/>
              <w:rPr>
                <w:noProof/>
                <w:sz w:val="16"/>
                <w:szCs w:val="16"/>
              </w:rPr>
            </w:pPr>
            <w:r w:rsidRPr="00AC05F0">
              <w:rPr>
                <w:noProof/>
                <w:sz w:val="16"/>
                <w:szCs w:val="16"/>
              </w:rPr>
              <w:t>Number of interactions (in-) directly leading to positive outcomes</w:t>
            </w:r>
            <w:r w:rsidRPr="00AC05F0">
              <w:rPr>
                <w:rStyle w:val="FootnoteReference"/>
                <w:noProof/>
                <w:sz w:val="16"/>
                <w:szCs w:val="16"/>
              </w:rPr>
              <w:footnoteReference w:id="125"/>
            </w:r>
          </w:p>
          <w:p w14:paraId="1D0A8F55" w14:textId="77777777" w:rsidR="00C76702" w:rsidRPr="00AC05F0" w:rsidRDefault="00C76702" w:rsidP="00900BC7">
            <w:pPr>
              <w:pStyle w:val="Body"/>
              <w:numPr>
                <w:ilvl w:val="0"/>
                <w:numId w:val="36"/>
              </w:numPr>
              <w:spacing w:before="60" w:after="60"/>
              <w:ind w:left="266" w:hanging="266"/>
              <w:rPr>
                <w:noProof/>
                <w:sz w:val="16"/>
                <w:szCs w:val="16"/>
              </w:rPr>
            </w:pPr>
            <w:r w:rsidRPr="00AC05F0">
              <w:rPr>
                <w:noProof/>
                <w:sz w:val="16"/>
                <w:szCs w:val="16"/>
              </w:rPr>
              <w:t>Level of awareness and knowledge among officials</w:t>
            </w:r>
          </w:p>
          <w:p w14:paraId="39297184" w14:textId="77777777" w:rsidR="00C76702" w:rsidRPr="00AC05F0" w:rsidRDefault="00C76702" w:rsidP="00900BC7">
            <w:pPr>
              <w:pStyle w:val="Body"/>
              <w:numPr>
                <w:ilvl w:val="0"/>
                <w:numId w:val="36"/>
              </w:numPr>
              <w:spacing w:before="60" w:after="60"/>
              <w:ind w:left="266" w:hanging="266"/>
              <w:rPr>
                <w:noProof/>
                <w:sz w:val="16"/>
                <w:szCs w:val="16"/>
              </w:rPr>
            </w:pPr>
            <w:r w:rsidRPr="00AC05F0">
              <w:rPr>
                <w:noProof/>
                <w:sz w:val="16"/>
                <w:szCs w:val="16"/>
              </w:rPr>
              <w:t>Degree of smoothness of law enforcement cooperation</w:t>
            </w:r>
          </w:p>
        </w:tc>
      </w:tr>
    </w:tbl>
    <w:p w14:paraId="60F37AB3" w14:textId="12F46210" w:rsidR="002924AF" w:rsidRDefault="002924AF" w:rsidP="009117A9">
      <w:pPr>
        <w:rPr>
          <w:noProof/>
        </w:rPr>
      </w:pPr>
      <w:bookmarkStart w:id="127" w:name="_Toc48897648"/>
      <w:bookmarkStart w:id="128" w:name="_Toc74838190"/>
    </w:p>
    <w:p w14:paraId="4462B636" w14:textId="29EAB883" w:rsidR="000A79FB" w:rsidRDefault="000A79FB" w:rsidP="009117A9">
      <w:pPr>
        <w:rPr>
          <w:noProof/>
        </w:rPr>
      </w:pPr>
    </w:p>
    <w:p w14:paraId="2CB53F80" w14:textId="6A25EAC1" w:rsidR="000A79FB" w:rsidRDefault="000A79FB" w:rsidP="009117A9">
      <w:pPr>
        <w:rPr>
          <w:noProof/>
        </w:rPr>
      </w:pPr>
    </w:p>
    <w:p w14:paraId="4BABDEA8" w14:textId="0700307D" w:rsidR="000A79FB" w:rsidRDefault="000A79FB" w:rsidP="009117A9">
      <w:pPr>
        <w:rPr>
          <w:noProof/>
        </w:rPr>
      </w:pPr>
    </w:p>
    <w:p w14:paraId="2D50F032" w14:textId="070FE4FE" w:rsidR="000A79FB" w:rsidRDefault="000A79FB" w:rsidP="009117A9">
      <w:pPr>
        <w:rPr>
          <w:noProof/>
        </w:rPr>
      </w:pPr>
    </w:p>
    <w:p w14:paraId="07D0A1DE" w14:textId="062D2A26" w:rsidR="000A79FB" w:rsidRDefault="000A79FB" w:rsidP="009117A9">
      <w:pPr>
        <w:rPr>
          <w:noProof/>
        </w:rPr>
      </w:pPr>
    </w:p>
    <w:p w14:paraId="0DB69AEC" w14:textId="77777777" w:rsidR="000A79FB" w:rsidRDefault="000A79FB" w:rsidP="009117A9">
      <w:pPr>
        <w:rPr>
          <w:noProof/>
        </w:rPr>
      </w:pPr>
    </w:p>
    <w:p w14:paraId="67599715" w14:textId="10C4DDFD" w:rsidR="00A5548D" w:rsidRDefault="00A5548D">
      <w:pPr>
        <w:spacing w:after="160" w:line="259" w:lineRule="auto"/>
        <w:rPr>
          <w:noProof/>
        </w:rPr>
      </w:pPr>
    </w:p>
    <w:p w14:paraId="7305EC4C" w14:textId="57487FBA" w:rsidR="00C76702" w:rsidRPr="00AE777C" w:rsidRDefault="00C76702" w:rsidP="00AE777C">
      <w:pPr>
        <w:pStyle w:val="AnnexHeading1"/>
        <w:rPr>
          <w:noProof/>
        </w:rPr>
      </w:pPr>
      <w:bookmarkStart w:id="129" w:name="_Toc83801052"/>
      <w:r w:rsidRPr="00AE777C">
        <w:rPr>
          <w:noProof/>
        </w:rPr>
        <w:t>Annex 1: Procedural information</w:t>
      </w:r>
      <w:bookmarkEnd w:id="127"/>
      <w:bookmarkEnd w:id="128"/>
      <w:bookmarkEnd w:id="129"/>
    </w:p>
    <w:p w14:paraId="4547207C" w14:textId="77777777" w:rsidR="00C76702" w:rsidRPr="005478FC" w:rsidRDefault="00C76702" w:rsidP="00900BC7">
      <w:pPr>
        <w:pStyle w:val="ListParagraph"/>
        <w:numPr>
          <w:ilvl w:val="0"/>
          <w:numId w:val="39"/>
        </w:numPr>
        <w:rPr>
          <w:rFonts w:ascii="Times New Roman" w:hAnsi="Times New Roman" w:cs="Times New Roman"/>
          <w:b/>
          <w:smallCaps/>
          <w:noProof/>
          <w:sz w:val="24"/>
          <w:szCs w:val="24"/>
        </w:rPr>
      </w:pPr>
      <w:bookmarkStart w:id="130" w:name="_Toc48897649"/>
      <w:bookmarkStart w:id="131" w:name="_Toc75192676"/>
      <w:r w:rsidRPr="005478FC">
        <w:rPr>
          <w:rFonts w:ascii="Times New Roman" w:hAnsi="Times New Roman" w:cs="Times New Roman"/>
          <w:b/>
          <w:smallCaps/>
          <w:noProof/>
          <w:sz w:val="24"/>
          <w:szCs w:val="24"/>
        </w:rPr>
        <w:t>Lead DG, Decide Planning/CWP references</w:t>
      </w:r>
      <w:bookmarkEnd w:id="130"/>
      <w:bookmarkEnd w:id="131"/>
    </w:p>
    <w:p w14:paraId="54B61F12" w14:textId="77777777" w:rsidR="00C76702" w:rsidRPr="000364DA" w:rsidRDefault="00C76702" w:rsidP="00B91FF7">
      <w:pPr>
        <w:spacing w:after="120" w:line="240" w:lineRule="auto"/>
        <w:jc w:val="both"/>
        <w:rPr>
          <w:rFonts w:ascii="Times New Roman" w:hAnsi="Times New Roman" w:cs="Times New Roman"/>
          <w:noProof/>
          <w:sz w:val="24"/>
          <w:szCs w:val="24"/>
        </w:rPr>
      </w:pPr>
      <w:r w:rsidRPr="000364DA">
        <w:rPr>
          <w:rFonts w:ascii="Times New Roman" w:hAnsi="Times New Roman" w:cs="Times New Roman"/>
          <w:noProof/>
          <w:sz w:val="24"/>
          <w:szCs w:val="24"/>
        </w:rPr>
        <w:t xml:space="preserve">The lead DG is the Directorate-General for Migration and Home Affairs (DG HOME). The agenda planning reference is </w:t>
      </w:r>
      <w:r w:rsidRPr="000364DA">
        <w:rPr>
          <w:rFonts w:ascii="Times New Roman" w:eastAsia="Times New Roman" w:hAnsi="Times New Roman" w:cs="Times New Roman"/>
          <w:noProof/>
          <w:sz w:val="24"/>
          <w:szCs w:val="24"/>
        </w:rPr>
        <w:t>PLAN/2020/8314 - HOME - EU police cooperation</w:t>
      </w:r>
      <w:r w:rsidRPr="000364DA">
        <w:rPr>
          <w:rFonts w:ascii="Times New Roman" w:hAnsi="Times New Roman" w:cs="Times New Roman"/>
          <w:noProof/>
          <w:sz w:val="24"/>
          <w:szCs w:val="24"/>
        </w:rPr>
        <w:t>.</w:t>
      </w:r>
    </w:p>
    <w:p w14:paraId="69D2D033" w14:textId="77777777" w:rsidR="00C76702" w:rsidRPr="000364DA" w:rsidRDefault="00C76702" w:rsidP="00B91FF7">
      <w:pPr>
        <w:spacing w:after="240" w:line="240" w:lineRule="auto"/>
        <w:jc w:val="both"/>
        <w:rPr>
          <w:rFonts w:ascii="Times New Roman" w:hAnsi="Times New Roman" w:cs="Times New Roman"/>
          <w:noProof/>
          <w:sz w:val="24"/>
          <w:szCs w:val="24"/>
        </w:rPr>
      </w:pPr>
      <w:bookmarkStart w:id="132" w:name="_Toc48897650"/>
      <w:r w:rsidRPr="000364DA">
        <w:rPr>
          <w:rFonts w:ascii="Times New Roman" w:hAnsi="Times New Roman" w:cs="Times New Roman"/>
          <w:noProof/>
          <w:sz w:val="24"/>
          <w:szCs w:val="24"/>
          <w:lang w:eastAsia="en-GB"/>
        </w:rPr>
        <w:t>The Commission Work Programme for 202</w:t>
      </w:r>
      <w:r>
        <w:rPr>
          <w:rFonts w:ascii="Times New Roman" w:hAnsi="Times New Roman" w:cs="Times New Roman"/>
          <w:noProof/>
          <w:sz w:val="24"/>
          <w:szCs w:val="24"/>
          <w:lang w:eastAsia="en-GB"/>
        </w:rPr>
        <w:t>1</w:t>
      </w:r>
      <w:r w:rsidRPr="000364DA">
        <w:rPr>
          <w:rFonts w:ascii="Times New Roman" w:hAnsi="Times New Roman" w:cs="Times New Roman"/>
          <w:noProof/>
          <w:sz w:val="24"/>
          <w:szCs w:val="24"/>
          <w:lang w:eastAsia="en-GB"/>
        </w:rPr>
        <w:t xml:space="preserve"> announced a legislative initiative to</w:t>
      </w:r>
      <w:r>
        <w:rPr>
          <w:rFonts w:ascii="Times New Roman" w:hAnsi="Times New Roman" w:cs="Times New Roman"/>
          <w:noProof/>
          <w:sz w:val="24"/>
          <w:szCs w:val="24"/>
          <w:lang w:eastAsia="en-GB"/>
        </w:rPr>
        <w:t xml:space="preserve"> "</w:t>
      </w:r>
      <w:r w:rsidRPr="000364DA">
        <w:rPr>
          <w:rFonts w:ascii="Times New Roman" w:hAnsi="Times New Roman" w:cs="Times New Roman"/>
          <w:noProof/>
          <w:sz w:val="24"/>
          <w:szCs w:val="24"/>
          <w:lang w:eastAsia="en-GB"/>
        </w:rPr>
        <w:t>modernise existing intra-EU law enforcement cooperation by creating</w:t>
      </w:r>
      <w:r>
        <w:rPr>
          <w:rFonts w:ascii="Times New Roman" w:hAnsi="Times New Roman" w:cs="Times New Roman"/>
          <w:noProof/>
          <w:sz w:val="24"/>
          <w:szCs w:val="24"/>
          <w:lang w:eastAsia="en-GB"/>
        </w:rPr>
        <w:t xml:space="preserve"> an EU police cooperation code</w:t>
      </w:r>
      <w:r w:rsidRPr="000364DA">
        <w:rPr>
          <w:rStyle w:val="FootnoteReference"/>
          <w:rFonts w:ascii="Times New Roman" w:hAnsi="Times New Roman" w:cs="Times New Roman"/>
          <w:noProof/>
          <w:sz w:val="24"/>
          <w:szCs w:val="24"/>
        </w:rPr>
        <w:footnoteReference w:id="126"/>
      </w:r>
      <w:r>
        <w:rPr>
          <w:rFonts w:ascii="Times New Roman" w:hAnsi="Times New Roman" w:cs="Times New Roman"/>
          <w:noProof/>
          <w:sz w:val="24"/>
          <w:szCs w:val="24"/>
          <w:lang w:eastAsia="en-GB"/>
        </w:rPr>
        <w:t>.</w:t>
      </w:r>
    </w:p>
    <w:p w14:paraId="6AD989D4" w14:textId="77777777" w:rsidR="00C76702" w:rsidRPr="005478FC" w:rsidRDefault="00C76702" w:rsidP="00900BC7">
      <w:pPr>
        <w:pStyle w:val="ListParagraph"/>
        <w:numPr>
          <w:ilvl w:val="0"/>
          <w:numId w:val="39"/>
        </w:numPr>
        <w:rPr>
          <w:rFonts w:ascii="Times New Roman" w:hAnsi="Times New Roman" w:cs="Times New Roman"/>
          <w:b/>
          <w:smallCaps/>
          <w:noProof/>
          <w:sz w:val="24"/>
          <w:szCs w:val="24"/>
        </w:rPr>
      </w:pPr>
      <w:bookmarkStart w:id="133" w:name="_Toc75192677"/>
      <w:r w:rsidRPr="005478FC">
        <w:rPr>
          <w:rFonts w:ascii="Times New Roman" w:hAnsi="Times New Roman" w:cs="Times New Roman"/>
          <w:b/>
          <w:smallCaps/>
          <w:noProof/>
          <w:sz w:val="24"/>
          <w:szCs w:val="24"/>
        </w:rPr>
        <w:t>Organisation and timing</w:t>
      </w:r>
      <w:bookmarkEnd w:id="132"/>
      <w:bookmarkEnd w:id="133"/>
    </w:p>
    <w:p w14:paraId="368982BA" w14:textId="77777777" w:rsidR="00C76702" w:rsidRPr="000364DA" w:rsidRDefault="00C76702" w:rsidP="00B91FF7">
      <w:pPr>
        <w:spacing w:after="120" w:line="240" w:lineRule="auto"/>
        <w:jc w:val="both"/>
        <w:rPr>
          <w:rFonts w:ascii="Times New Roman" w:hAnsi="Times New Roman" w:cs="Times New Roman"/>
          <w:noProof/>
          <w:sz w:val="24"/>
          <w:szCs w:val="24"/>
        </w:rPr>
      </w:pPr>
      <w:r w:rsidRPr="000364DA">
        <w:rPr>
          <w:rFonts w:ascii="Times New Roman" w:hAnsi="Times New Roman" w:cs="Times New Roman"/>
          <w:noProof/>
          <w:sz w:val="24"/>
          <w:szCs w:val="24"/>
        </w:rPr>
        <w:t>The inception impact assessme</w:t>
      </w:r>
      <w:r>
        <w:rPr>
          <w:rFonts w:ascii="Times New Roman" w:hAnsi="Times New Roman" w:cs="Times New Roman"/>
          <w:noProof/>
          <w:sz w:val="24"/>
          <w:szCs w:val="24"/>
        </w:rPr>
        <w:t xml:space="preserve">nt was published on </w:t>
      </w:r>
      <w:r w:rsidRPr="00B61B4F">
        <w:rPr>
          <w:rFonts w:ascii="Times New Roman" w:eastAsia="Times New Roman" w:hAnsi="Times New Roman" w:cs="Times New Roman"/>
          <w:noProof/>
          <w:sz w:val="24"/>
          <w:szCs w:val="18"/>
        </w:rPr>
        <w:t>28</w:t>
      </w:r>
      <w:r>
        <w:rPr>
          <w:rFonts w:ascii="Times New Roman" w:eastAsia="Times New Roman" w:hAnsi="Times New Roman" w:cs="Times New Roman"/>
          <w:noProof/>
          <w:sz w:val="24"/>
          <w:szCs w:val="18"/>
        </w:rPr>
        <w:t xml:space="preserve"> September </w:t>
      </w:r>
      <w:r w:rsidRPr="00B61B4F">
        <w:rPr>
          <w:rFonts w:ascii="Times New Roman" w:eastAsia="Times New Roman" w:hAnsi="Times New Roman" w:cs="Times New Roman"/>
          <w:noProof/>
          <w:sz w:val="24"/>
          <w:szCs w:val="18"/>
        </w:rPr>
        <w:t>2020</w:t>
      </w:r>
      <w:r w:rsidRPr="000364DA">
        <w:rPr>
          <w:rStyle w:val="FootnoteReference"/>
          <w:rFonts w:ascii="Times New Roman" w:hAnsi="Times New Roman" w:cs="Times New Roman"/>
          <w:noProof/>
          <w:sz w:val="24"/>
          <w:szCs w:val="24"/>
        </w:rPr>
        <w:footnoteReference w:id="127"/>
      </w:r>
      <w:r>
        <w:rPr>
          <w:rFonts w:ascii="Times New Roman" w:eastAsia="Times New Roman" w:hAnsi="Times New Roman" w:cs="Times New Roman"/>
          <w:noProof/>
          <w:sz w:val="24"/>
          <w:szCs w:val="18"/>
        </w:rPr>
        <w:t xml:space="preserve"> and open for feedback for a period of 8 weeks, until 16 November 2021</w:t>
      </w:r>
      <w:r>
        <w:rPr>
          <w:rStyle w:val="FootnoteReference"/>
          <w:rFonts w:ascii="Times New Roman" w:eastAsia="Times New Roman" w:hAnsi="Times New Roman" w:cs="Times New Roman"/>
          <w:noProof/>
          <w:sz w:val="24"/>
          <w:szCs w:val="18"/>
        </w:rPr>
        <w:footnoteReference w:id="128"/>
      </w:r>
      <w:r w:rsidRPr="000364DA">
        <w:rPr>
          <w:rFonts w:ascii="Times New Roman" w:hAnsi="Times New Roman" w:cs="Times New Roman"/>
          <w:noProof/>
          <w:sz w:val="24"/>
          <w:szCs w:val="24"/>
        </w:rPr>
        <w:t>.</w:t>
      </w:r>
    </w:p>
    <w:p w14:paraId="0B77C450" w14:textId="77777777" w:rsidR="00C76702" w:rsidRDefault="00C76702" w:rsidP="00B91FF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An Inter-Service Sterring Group (ISSG), composed of representatives from SG, SJ, HOME, JUST, TAXUD and OLAF was set up. The ISSG met four times:</w:t>
      </w:r>
    </w:p>
    <w:p w14:paraId="0CB2DDB9" w14:textId="77777777" w:rsidR="00C76702" w:rsidRDefault="00C76702" w:rsidP="00E760E4">
      <w:pPr>
        <w:pStyle w:val="ListParagraph"/>
        <w:numPr>
          <w:ilvl w:val="0"/>
          <w:numId w:val="14"/>
        </w:numPr>
        <w:spacing w:after="0" w:line="240" w:lineRule="auto"/>
        <w:ind w:left="839" w:hanging="357"/>
        <w:contextualSpacing w:val="0"/>
        <w:jc w:val="both"/>
        <w:rPr>
          <w:rFonts w:ascii="Times New Roman" w:hAnsi="Times New Roman" w:cs="Times New Roman"/>
          <w:noProof/>
          <w:sz w:val="24"/>
          <w:szCs w:val="24"/>
        </w:rPr>
      </w:pPr>
      <w:r w:rsidRPr="00634AB4">
        <w:rPr>
          <w:rFonts w:ascii="Times New Roman" w:hAnsi="Times New Roman" w:cs="Times New Roman"/>
          <w:noProof/>
          <w:sz w:val="24"/>
          <w:szCs w:val="24"/>
        </w:rPr>
        <w:t xml:space="preserve">Comment </w:t>
      </w:r>
      <w:r>
        <w:rPr>
          <w:rFonts w:ascii="Times New Roman" w:hAnsi="Times New Roman" w:cs="Times New Roman"/>
          <w:noProof/>
          <w:sz w:val="24"/>
          <w:szCs w:val="24"/>
        </w:rPr>
        <w:t xml:space="preserve">on </w:t>
      </w:r>
      <w:r w:rsidRPr="00634AB4">
        <w:rPr>
          <w:rFonts w:ascii="Times New Roman" w:hAnsi="Times New Roman" w:cs="Times New Roman"/>
          <w:noProof/>
          <w:sz w:val="24"/>
          <w:szCs w:val="24"/>
        </w:rPr>
        <w:t xml:space="preserve">and validation of the </w:t>
      </w:r>
      <w:r w:rsidRPr="009B5840">
        <w:rPr>
          <w:rFonts w:ascii="Times New Roman" w:hAnsi="Times New Roman" w:cs="Times New Roman"/>
          <w:b/>
          <w:noProof/>
          <w:sz w:val="24"/>
          <w:szCs w:val="24"/>
        </w:rPr>
        <w:t xml:space="preserve">Terms of Reference for the </w:t>
      </w:r>
      <w:r>
        <w:rPr>
          <w:rFonts w:ascii="Times New Roman" w:hAnsi="Times New Roman" w:cs="Times New Roman"/>
          <w:b/>
          <w:noProof/>
          <w:sz w:val="24"/>
          <w:szCs w:val="24"/>
        </w:rPr>
        <w:t>S</w:t>
      </w:r>
      <w:r w:rsidRPr="009B5840">
        <w:rPr>
          <w:rFonts w:ascii="Times New Roman" w:hAnsi="Times New Roman" w:cs="Times New Roman"/>
          <w:b/>
          <w:noProof/>
          <w:sz w:val="24"/>
          <w:szCs w:val="24"/>
        </w:rPr>
        <w:t>tudy</w:t>
      </w:r>
      <w:r w:rsidRPr="00634AB4">
        <w:rPr>
          <w:rFonts w:ascii="Times New Roman" w:hAnsi="Times New Roman" w:cs="Times New Roman"/>
          <w:noProof/>
          <w:sz w:val="24"/>
          <w:szCs w:val="24"/>
        </w:rPr>
        <w:t xml:space="preserve"> underpinning this Impact Assessment and </w:t>
      </w:r>
      <w:r w:rsidRPr="009B5840">
        <w:rPr>
          <w:rFonts w:ascii="Times New Roman" w:hAnsi="Times New Roman" w:cs="Times New Roman"/>
          <w:b/>
          <w:noProof/>
          <w:sz w:val="24"/>
          <w:szCs w:val="24"/>
        </w:rPr>
        <w:t>Consultation strategy</w:t>
      </w:r>
      <w:r w:rsidRPr="00634AB4">
        <w:rPr>
          <w:rFonts w:ascii="Times New Roman" w:hAnsi="Times New Roman" w:cs="Times New Roman"/>
          <w:noProof/>
          <w:sz w:val="24"/>
          <w:szCs w:val="24"/>
        </w:rPr>
        <w:t>, 30 October 2020;</w:t>
      </w:r>
    </w:p>
    <w:p w14:paraId="44F0BF93" w14:textId="77777777" w:rsidR="00C76702" w:rsidRPr="00634AB4" w:rsidRDefault="00C76702" w:rsidP="00E760E4">
      <w:pPr>
        <w:pStyle w:val="ListParagraph"/>
        <w:numPr>
          <w:ilvl w:val="0"/>
          <w:numId w:val="14"/>
        </w:numPr>
        <w:spacing w:after="0" w:line="240" w:lineRule="auto"/>
        <w:ind w:left="839" w:hanging="357"/>
        <w:contextualSpacing w:val="0"/>
        <w:jc w:val="both"/>
        <w:rPr>
          <w:rFonts w:ascii="Times New Roman" w:hAnsi="Times New Roman" w:cs="Times New Roman"/>
          <w:noProof/>
          <w:sz w:val="24"/>
          <w:szCs w:val="24"/>
        </w:rPr>
      </w:pPr>
      <w:r w:rsidRPr="00634AB4">
        <w:rPr>
          <w:rFonts w:ascii="Times New Roman" w:hAnsi="Times New Roman" w:cs="Times New Roman"/>
          <w:noProof/>
          <w:sz w:val="24"/>
          <w:szCs w:val="24"/>
        </w:rPr>
        <w:t xml:space="preserve">Comment </w:t>
      </w:r>
      <w:r>
        <w:rPr>
          <w:rFonts w:ascii="Times New Roman" w:hAnsi="Times New Roman" w:cs="Times New Roman"/>
          <w:noProof/>
          <w:sz w:val="24"/>
          <w:szCs w:val="24"/>
        </w:rPr>
        <w:t xml:space="preserve">on </w:t>
      </w:r>
      <w:r w:rsidRPr="00634AB4">
        <w:rPr>
          <w:rFonts w:ascii="Times New Roman" w:hAnsi="Times New Roman" w:cs="Times New Roman"/>
          <w:noProof/>
          <w:sz w:val="24"/>
          <w:szCs w:val="24"/>
        </w:rPr>
        <w:t xml:space="preserve">and validation of the Study' </w:t>
      </w:r>
      <w:r w:rsidRPr="00634AB4">
        <w:rPr>
          <w:rFonts w:ascii="Times New Roman" w:hAnsi="Times New Roman" w:cs="Times New Roman"/>
          <w:b/>
          <w:noProof/>
          <w:sz w:val="24"/>
          <w:szCs w:val="24"/>
        </w:rPr>
        <w:t>Inception Report</w:t>
      </w:r>
      <w:r w:rsidRPr="00634AB4">
        <w:rPr>
          <w:rFonts w:ascii="Times New Roman" w:hAnsi="Times New Roman" w:cs="Times New Roman"/>
          <w:noProof/>
          <w:sz w:val="24"/>
          <w:szCs w:val="24"/>
        </w:rPr>
        <w:t>, 17 February 2021</w:t>
      </w:r>
      <w:r>
        <w:rPr>
          <w:rFonts w:ascii="Times New Roman" w:hAnsi="Times New Roman" w:cs="Times New Roman"/>
          <w:noProof/>
          <w:sz w:val="24"/>
          <w:szCs w:val="24"/>
        </w:rPr>
        <w:t>;</w:t>
      </w:r>
    </w:p>
    <w:p w14:paraId="62F23B2C" w14:textId="77777777" w:rsidR="00C76702" w:rsidRDefault="00C76702" w:rsidP="00E760E4">
      <w:pPr>
        <w:pStyle w:val="ListParagraph"/>
        <w:numPr>
          <w:ilvl w:val="0"/>
          <w:numId w:val="14"/>
        </w:numPr>
        <w:spacing w:after="0" w:line="240" w:lineRule="auto"/>
        <w:ind w:left="839"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Comment on and validation of the Study' </w:t>
      </w:r>
      <w:r w:rsidRPr="00634AB4">
        <w:rPr>
          <w:rFonts w:ascii="Times New Roman" w:hAnsi="Times New Roman" w:cs="Times New Roman"/>
          <w:b/>
          <w:noProof/>
          <w:sz w:val="24"/>
          <w:szCs w:val="24"/>
        </w:rPr>
        <w:t>Interim Report</w:t>
      </w:r>
      <w:r>
        <w:rPr>
          <w:rFonts w:ascii="Times New Roman" w:hAnsi="Times New Roman" w:cs="Times New Roman"/>
          <w:noProof/>
          <w:sz w:val="24"/>
          <w:szCs w:val="24"/>
        </w:rPr>
        <w:t>, 29 April 2021;</w:t>
      </w:r>
    </w:p>
    <w:p w14:paraId="01D4FFD9" w14:textId="77777777" w:rsidR="00C76702" w:rsidRDefault="00C76702" w:rsidP="00E760E4">
      <w:pPr>
        <w:pStyle w:val="ListParagraph"/>
        <w:numPr>
          <w:ilvl w:val="0"/>
          <w:numId w:val="14"/>
        </w:numPr>
        <w:spacing w:after="120" w:line="240" w:lineRule="auto"/>
        <w:ind w:left="839"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Comment on and validation of the Study' </w:t>
      </w:r>
      <w:r w:rsidRPr="00634AB4">
        <w:rPr>
          <w:rFonts w:ascii="Times New Roman" w:hAnsi="Times New Roman" w:cs="Times New Roman"/>
          <w:b/>
          <w:noProof/>
          <w:sz w:val="24"/>
          <w:szCs w:val="24"/>
        </w:rPr>
        <w:t>Final Report</w:t>
      </w:r>
      <w:r>
        <w:rPr>
          <w:rFonts w:ascii="Times New Roman" w:hAnsi="Times New Roman" w:cs="Times New Roman"/>
          <w:noProof/>
          <w:sz w:val="24"/>
          <w:szCs w:val="24"/>
        </w:rPr>
        <w:t xml:space="preserve">, 21 June 2021. </w:t>
      </w:r>
    </w:p>
    <w:p w14:paraId="6367DAC8" w14:textId="77777777" w:rsidR="00C76702" w:rsidRDefault="00C76702" w:rsidP="00B91FF7">
      <w:pPr>
        <w:spacing w:after="120" w:line="240" w:lineRule="auto"/>
        <w:jc w:val="both"/>
        <w:rPr>
          <w:rFonts w:ascii="Times New Roman" w:hAnsi="Times New Roman" w:cs="Times New Roman"/>
          <w:noProof/>
          <w:sz w:val="24"/>
          <w:szCs w:val="24"/>
        </w:rPr>
      </w:pPr>
      <w:r w:rsidRPr="000364DA">
        <w:rPr>
          <w:rFonts w:ascii="Times New Roman" w:hAnsi="Times New Roman" w:cs="Times New Roman"/>
          <w:noProof/>
          <w:sz w:val="24"/>
          <w:szCs w:val="24"/>
        </w:rPr>
        <w:t>The Inter-service Group on the Security Union discussed a draft text of the impact assessment on</w:t>
      </w:r>
      <w:r>
        <w:rPr>
          <w:rFonts w:ascii="Times New Roman" w:hAnsi="Times New Roman" w:cs="Times New Roman"/>
          <w:noProof/>
          <w:sz w:val="24"/>
          <w:szCs w:val="24"/>
        </w:rPr>
        <w:t xml:space="preserve"> 9 July 2021. It was composed of representatives from SG, SJ, HOME, JUST, TAXUD, </w:t>
      </w:r>
      <w:r w:rsidR="00B06EED">
        <w:rPr>
          <w:rFonts w:ascii="Times New Roman" w:hAnsi="Times New Roman" w:cs="Times New Roman"/>
          <w:noProof/>
          <w:sz w:val="24"/>
          <w:szCs w:val="24"/>
        </w:rPr>
        <w:t xml:space="preserve">BUDG, EAC, </w:t>
      </w:r>
      <w:r>
        <w:rPr>
          <w:rFonts w:ascii="Times New Roman" w:hAnsi="Times New Roman" w:cs="Times New Roman"/>
          <w:noProof/>
          <w:sz w:val="24"/>
          <w:szCs w:val="24"/>
        </w:rPr>
        <w:t xml:space="preserve">CNECT, NEAR, </w:t>
      </w:r>
      <w:r w:rsidR="00EA2E1A">
        <w:rPr>
          <w:rFonts w:ascii="Times New Roman" w:hAnsi="Times New Roman" w:cs="Times New Roman"/>
          <w:noProof/>
          <w:sz w:val="24"/>
          <w:szCs w:val="24"/>
        </w:rPr>
        <w:t xml:space="preserve">MOVE, </w:t>
      </w:r>
      <w:r w:rsidR="00E571D5">
        <w:rPr>
          <w:rFonts w:ascii="Times New Roman" w:hAnsi="Times New Roman" w:cs="Times New Roman"/>
          <w:noProof/>
          <w:sz w:val="24"/>
          <w:szCs w:val="24"/>
        </w:rPr>
        <w:t xml:space="preserve">ECHO, </w:t>
      </w:r>
      <w:r w:rsidR="00EA2E1A">
        <w:rPr>
          <w:rFonts w:ascii="Times New Roman" w:hAnsi="Times New Roman" w:cs="Times New Roman"/>
          <w:noProof/>
          <w:sz w:val="24"/>
          <w:szCs w:val="24"/>
        </w:rPr>
        <w:t>ENV,</w:t>
      </w:r>
      <w:r w:rsidR="00B06EED">
        <w:rPr>
          <w:rFonts w:ascii="Times New Roman" w:hAnsi="Times New Roman" w:cs="Times New Roman"/>
          <w:noProof/>
          <w:sz w:val="24"/>
          <w:szCs w:val="24"/>
        </w:rPr>
        <w:t xml:space="preserve"> EMPL, ENER,</w:t>
      </w:r>
      <w:r w:rsidR="00EA2E1A">
        <w:rPr>
          <w:rFonts w:ascii="Times New Roman" w:hAnsi="Times New Roman" w:cs="Times New Roman"/>
          <w:noProof/>
          <w:sz w:val="24"/>
          <w:szCs w:val="24"/>
        </w:rPr>
        <w:t xml:space="preserve"> DEFIS, DIGIT,</w:t>
      </w:r>
      <w:r w:rsidR="00B06EED">
        <w:rPr>
          <w:rFonts w:ascii="Times New Roman" w:hAnsi="Times New Roman" w:cs="Times New Roman"/>
          <w:noProof/>
          <w:sz w:val="24"/>
          <w:szCs w:val="24"/>
        </w:rPr>
        <w:t xml:space="preserve"> FISAM, FPI,</w:t>
      </w:r>
      <w:r w:rsidR="006B2A44">
        <w:rPr>
          <w:rFonts w:ascii="Times New Roman" w:hAnsi="Times New Roman" w:cs="Times New Roman"/>
          <w:noProof/>
          <w:sz w:val="24"/>
          <w:szCs w:val="24"/>
        </w:rPr>
        <w:t xml:space="preserve"> GROW, HR,</w:t>
      </w:r>
      <w:r w:rsidR="00E571D5">
        <w:rPr>
          <w:rFonts w:ascii="Times New Roman" w:hAnsi="Times New Roman" w:cs="Times New Roman"/>
          <w:noProof/>
          <w:sz w:val="24"/>
          <w:szCs w:val="24"/>
        </w:rPr>
        <w:t xml:space="preserve"> RTD, SANTE, TRADE, INPTA, REGIO, MARE, CERT-EU, ESTAT,</w:t>
      </w:r>
      <w:r w:rsidR="006B2A44">
        <w:rPr>
          <w:rFonts w:ascii="Times New Roman" w:hAnsi="Times New Roman" w:cs="Times New Roman"/>
          <w:noProof/>
          <w:sz w:val="24"/>
          <w:szCs w:val="24"/>
        </w:rPr>
        <w:t xml:space="preserve"> JRC</w:t>
      </w:r>
      <w:r w:rsidR="00EA2E1A">
        <w:rPr>
          <w:rFonts w:ascii="Times New Roman" w:hAnsi="Times New Roman" w:cs="Times New Roman"/>
          <w:noProof/>
          <w:sz w:val="24"/>
          <w:szCs w:val="24"/>
        </w:rPr>
        <w:t xml:space="preserve">  </w:t>
      </w:r>
      <w:r w:rsidR="00B06EED">
        <w:rPr>
          <w:rFonts w:ascii="Times New Roman" w:hAnsi="Times New Roman" w:cs="Times New Roman"/>
          <w:noProof/>
          <w:sz w:val="24"/>
          <w:szCs w:val="24"/>
        </w:rPr>
        <w:t xml:space="preserve">OLAF, </w:t>
      </w:r>
      <w:r w:rsidR="006B2A44">
        <w:rPr>
          <w:rFonts w:ascii="Times New Roman" w:hAnsi="Times New Roman" w:cs="Times New Roman"/>
          <w:noProof/>
          <w:sz w:val="24"/>
          <w:szCs w:val="24"/>
        </w:rPr>
        <w:t>EEAS.</w:t>
      </w:r>
    </w:p>
    <w:p w14:paraId="22411848" w14:textId="77777777" w:rsidR="00C76702" w:rsidRPr="005F2C64" w:rsidRDefault="004A4A48" w:rsidP="00B91FF7">
      <w:pPr>
        <w:spacing w:after="240" w:line="240" w:lineRule="auto"/>
        <w:jc w:val="both"/>
        <w:rPr>
          <w:rFonts w:ascii="Times New Roman" w:hAnsi="Times New Roman" w:cs="Times New Roman"/>
          <w:noProof/>
          <w:sz w:val="28"/>
          <w:szCs w:val="24"/>
        </w:rPr>
      </w:pPr>
      <w:r>
        <w:rPr>
          <w:rFonts w:ascii="Times New Roman" w:hAnsi="Times New Roman" w:cs="Times New Roman"/>
          <w:noProof/>
          <w:sz w:val="24"/>
        </w:rPr>
        <w:t>The comments made by the ISG were integrated in the draft Impact Assessment</w:t>
      </w:r>
      <w:r w:rsidR="00C76702" w:rsidRPr="005F2C64">
        <w:rPr>
          <w:rFonts w:ascii="Times New Roman" w:hAnsi="Times New Roman" w:cs="Times New Roman"/>
          <w:noProof/>
          <w:sz w:val="24"/>
        </w:rPr>
        <w:t>.</w:t>
      </w:r>
    </w:p>
    <w:p w14:paraId="364D42AC" w14:textId="77777777" w:rsidR="00C76702" w:rsidRPr="005478FC" w:rsidRDefault="00C76702" w:rsidP="00900BC7">
      <w:pPr>
        <w:pStyle w:val="ListParagraph"/>
        <w:numPr>
          <w:ilvl w:val="0"/>
          <w:numId w:val="39"/>
        </w:numPr>
        <w:rPr>
          <w:rFonts w:ascii="Times New Roman" w:hAnsi="Times New Roman" w:cs="Times New Roman"/>
          <w:b/>
          <w:smallCaps/>
          <w:noProof/>
          <w:sz w:val="24"/>
          <w:szCs w:val="24"/>
        </w:rPr>
      </w:pPr>
      <w:bookmarkStart w:id="134" w:name="_Toc48897651"/>
      <w:bookmarkStart w:id="135" w:name="_Toc75192678"/>
      <w:r w:rsidRPr="005478FC">
        <w:rPr>
          <w:rFonts w:ascii="Times New Roman" w:hAnsi="Times New Roman" w:cs="Times New Roman"/>
          <w:b/>
          <w:smallCaps/>
          <w:noProof/>
          <w:sz w:val="24"/>
          <w:szCs w:val="24"/>
        </w:rPr>
        <w:t>Consultation of the RSB</w:t>
      </w:r>
      <w:bookmarkEnd w:id="134"/>
      <w:bookmarkEnd w:id="135"/>
    </w:p>
    <w:p w14:paraId="4D038305" w14:textId="5A692EE6" w:rsidR="00C76702" w:rsidRDefault="00C76702" w:rsidP="00C76702">
      <w:pPr>
        <w:spacing w:line="240" w:lineRule="auto"/>
        <w:jc w:val="both"/>
        <w:rPr>
          <w:rFonts w:ascii="Times New Roman" w:hAnsi="Times New Roman" w:cs="Times New Roman"/>
          <w:noProof/>
          <w:sz w:val="24"/>
          <w:szCs w:val="24"/>
        </w:rPr>
      </w:pPr>
      <w:r w:rsidRPr="00F82EE1">
        <w:rPr>
          <w:rFonts w:ascii="Times New Roman" w:hAnsi="Times New Roman" w:cs="Times New Roman"/>
          <w:noProof/>
          <w:sz w:val="24"/>
          <w:szCs w:val="24"/>
        </w:rPr>
        <w:t xml:space="preserve">On </w:t>
      </w:r>
      <w:r w:rsidR="004F5C5B">
        <w:rPr>
          <w:rFonts w:ascii="Times New Roman" w:hAnsi="Times New Roman" w:cs="Times New Roman"/>
          <w:noProof/>
          <w:sz w:val="24"/>
          <w:szCs w:val="24"/>
        </w:rPr>
        <w:t>19</w:t>
      </w:r>
      <w:r w:rsidR="0076781B">
        <w:rPr>
          <w:rFonts w:ascii="Times New Roman" w:hAnsi="Times New Roman" w:cs="Times New Roman"/>
          <w:noProof/>
          <w:sz w:val="24"/>
          <w:szCs w:val="24"/>
        </w:rPr>
        <w:t xml:space="preserve"> August 2</w:t>
      </w:r>
      <w:r>
        <w:rPr>
          <w:rFonts w:ascii="Times New Roman" w:hAnsi="Times New Roman" w:cs="Times New Roman"/>
          <w:noProof/>
          <w:sz w:val="24"/>
          <w:szCs w:val="24"/>
        </w:rPr>
        <w:t>021</w:t>
      </w:r>
      <w:r w:rsidRPr="00F82EE1">
        <w:rPr>
          <w:rFonts w:ascii="Times New Roman" w:hAnsi="Times New Roman" w:cs="Times New Roman"/>
          <w:noProof/>
          <w:sz w:val="24"/>
          <w:szCs w:val="24"/>
        </w:rPr>
        <w:t xml:space="preserve">, the Directorate-General for Migration and Home Affairs submitted the draft impact assessment to the Regulatory Scrutiny Board, </w:t>
      </w:r>
      <w:r w:rsidRPr="002B5008">
        <w:rPr>
          <w:rFonts w:ascii="Times New Roman" w:hAnsi="Times New Roman" w:cs="Times New Roman"/>
          <w:noProof/>
          <w:sz w:val="24"/>
        </w:rPr>
        <w:t>in view of a hearing that took place on</w:t>
      </w:r>
      <w:r w:rsidRPr="002B5008">
        <w:rPr>
          <w:rFonts w:ascii="Times New Roman" w:hAnsi="Times New Roman" w:cs="Times New Roman"/>
          <w:noProof/>
          <w:sz w:val="28"/>
          <w:szCs w:val="24"/>
        </w:rPr>
        <w:t xml:space="preserve"> </w:t>
      </w:r>
      <w:r>
        <w:rPr>
          <w:rFonts w:ascii="Times New Roman" w:hAnsi="Times New Roman" w:cs="Times New Roman"/>
          <w:noProof/>
          <w:sz w:val="24"/>
          <w:szCs w:val="24"/>
        </w:rPr>
        <w:t>22 September 2021.</w:t>
      </w:r>
    </w:p>
    <w:p w14:paraId="1AC63C0C" w14:textId="1F42A4FC" w:rsidR="00C76702" w:rsidRDefault="00C76702" w:rsidP="00C76702">
      <w:pPr>
        <w:spacing w:line="240" w:lineRule="auto"/>
        <w:jc w:val="both"/>
        <w:rPr>
          <w:rFonts w:ascii="Times New Roman" w:hAnsi="Times New Roman" w:cs="Times New Roman"/>
          <w:noProof/>
          <w:sz w:val="24"/>
          <w:szCs w:val="24"/>
        </w:rPr>
      </w:pPr>
      <w:r w:rsidRPr="00F82EE1">
        <w:rPr>
          <w:rFonts w:ascii="Times New Roman" w:hAnsi="Times New Roman" w:cs="Times New Roman"/>
          <w:noProof/>
          <w:sz w:val="24"/>
          <w:szCs w:val="24"/>
        </w:rPr>
        <w:t xml:space="preserve">The opinion of the Regulatory Scrutiny Board was </w:t>
      </w:r>
      <w:r w:rsidR="0076781B">
        <w:rPr>
          <w:rFonts w:ascii="Times New Roman" w:hAnsi="Times New Roman" w:cs="Times New Roman"/>
          <w:noProof/>
          <w:sz w:val="24"/>
          <w:szCs w:val="24"/>
        </w:rPr>
        <w:t>positive</w:t>
      </w:r>
      <w:r w:rsidR="006E4959">
        <w:rPr>
          <w:rStyle w:val="FootnoteReference"/>
          <w:rFonts w:ascii="Times New Roman" w:hAnsi="Times New Roman" w:cs="Times New Roman"/>
          <w:noProof/>
          <w:sz w:val="24"/>
        </w:rPr>
        <w:footnoteReference w:id="129"/>
      </w:r>
      <w:r w:rsidRPr="00F82EE1">
        <w:rPr>
          <w:rFonts w:ascii="Times New Roman" w:hAnsi="Times New Roman" w:cs="Times New Roman"/>
          <w:noProof/>
          <w:sz w:val="24"/>
          <w:szCs w:val="24"/>
        </w:rPr>
        <w:t>.</w:t>
      </w:r>
      <w:r w:rsidR="0046555B">
        <w:rPr>
          <w:rFonts w:ascii="Times New Roman" w:hAnsi="Times New Roman" w:cs="Times New Roman"/>
          <w:noProof/>
          <w:sz w:val="24"/>
          <w:szCs w:val="24"/>
        </w:rPr>
        <w:t xml:space="preserve"> </w:t>
      </w:r>
      <w:r w:rsidR="006E4959">
        <w:rPr>
          <w:rFonts w:ascii="Times New Roman" w:hAnsi="Times New Roman" w:cs="Times New Roman"/>
          <w:noProof/>
          <w:sz w:val="24"/>
          <w:szCs w:val="24"/>
        </w:rPr>
        <w:t>The following comments were made:</w:t>
      </w:r>
    </w:p>
    <w:tbl>
      <w:tblPr>
        <w:tblStyle w:val="GridTable4-Accent5"/>
        <w:tblW w:w="0" w:type="auto"/>
        <w:tblLook w:val="04A0" w:firstRow="1" w:lastRow="0" w:firstColumn="1" w:lastColumn="0" w:noHBand="0" w:noVBand="1"/>
      </w:tblPr>
      <w:tblGrid>
        <w:gridCol w:w="4923"/>
        <w:gridCol w:w="4924"/>
      </w:tblGrid>
      <w:tr w:rsidR="006E4959" w14:paraId="57F02BE8" w14:textId="77777777" w:rsidTr="00820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3" w:type="dxa"/>
          </w:tcPr>
          <w:p w14:paraId="69CDBC22" w14:textId="066DF958" w:rsidR="006E4959" w:rsidRPr="00820639" w:rsidRDefault="006E4959" w:rsidP="00820639">
            <w:pPr>
              <w:spacing w:line="240" w:lineRule="auto"/>
              <w:jc w:val="center"/>
              <w:rPr>
                <w:rFonts w:ascii="Verdana" w:hAnsi="Verdana"/>
                <w:noProof/>
                <w:sz w:val="16"/>
                <w:szCs w:val="24"/>
              </w:rPr>
            </w:pPr>
            <w:r w:rsidRPr="00820639">
              <w:rPr>
                <w:rFonts w:ascii="Verdana" w:hAnsi="Verdana"/>
                <w:noProof/>
                <w:sz w:val="16"/>
                <w:szCs w:val="24"/>
              </w:rPr>
              <w:t>Comments made by the RSB</w:t>
            </w:r>
          </w:p>
        </w:tc>
        <w:tc>
          <w:tcPr>
            <w:tcW w:w="4924" w:type="dxa"/>
          </w:tcPr>
          <w:p w14:paraId="14B752CD" w14:textId="52CCF50E" w:rsidR="006E4959" w:rsidRPr="00820639" w:rsidRDefault="006E4959" w:rsidP="00820639">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noProof/>
                <w:sz w:val="16"/>
                <w:szCs w:val="24"/>
              </w:rPr>
            </w:pPr>
            <w:r w:rsidRPr="00820639">
              <w:rPr>
                <w:rFonts w:ascii="Verdana" w:hAnsi="Verdana"/>
                <w:noProof/>
                <w:sz w:val="16"/>
                <w:szCs w:val="24"/>
              </w:rPr>
              <w:t>Amendments following RSB comments</w:t>
            </w:r>
          </w:p>
        </w:tc>
      </w:tr>
      <w:tr w:rsidR="006E4959" w14:paraId="595B262D" w14:textId="77777777" w:rsidTr="00820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3" w:type="dxa"/>
          </w:tcPr>
          <w:p w14:paraId="33D14E48" w14:textId="5C7C45CA" w:rsidR="006E4959" w:rsidRPr="00820639" w:rsidRDefault="006E4959" w:rsidP="00820639">
            <w:pPr>
              <w:spacing w:after="120" w:line="240" w:lineRule="auto"/>
              <w:jc w:val="both"/>
              <w:rPr>
                <w:rFonts w:ascii="Verdana" w:hAnsi="Verdana"/>
                <w:b w:val="0"/>
                <w:noProof/>
                <w:sz w:val="16"/>
                <w:szCs w:val="16"/>
              </w:rPr>
            </w:pPr>
            <w:r w:rsidRPr="00820639">
              <w:rPr>
                <w:rFonts w:ascii="Verdana" w:hAnsi="Verdana"/>
                <w:noProof/>
                <w:sz w:val="16"/>
                <w:szCs w:val="16"/>
              </w:rPr>
              <w:t>The report should clarify how the initiative will articulate with the Automated Data Exchange Mechanism for Police Cooperation (Prüm II) and the Convention Implementing the Schengen Agreement (CISA). It should also clarify that the initiative aims to propose a Directive to update and replace the pre-Lisbon Swedish Framework Directive (adopted by both the Council and the European Parliament in the ordinary legislative procedure)</w:t>
            </w:r>
          </w:p>
        </w:tc>
        <w:tc>
          <w:tcPr>
            <w:tcW w:w="4924" w:type="dxa"/>
          </w:tcPr>
          <w:p w14:paraId="4FDD35EE" w14:textId="77777777" w:rsidR="009124EB" w:rsidRDefault="009124EB" w:rsidP="0082063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Verdana" w:hAnsi="Verdana"/>
                <w:noProof/>
                <w:sz w:val="16"/>
                <w:szCs w:val="24"/>
              </w:rPr>
            </w:pPr>
            <w:r w:rsidRPr="00820639">
              <w:rPr>
                <w:rFonts w:ascii="Verdana" w:hAnsi="Verdana"/>
                <w:noProof/>
                <w:sz w:val="16"/>
                <w:szCs w:val="24"/>
              </w:rPr>
              <w:t xml:space="preserve">This was </w:t>
            </w:r>
            <w:r>
              <w:rPr>
                <w:rFonts w:ascii="Verdana" w:hAnsi="Verdana"/>
                <w:noProof/>
                <w:sz w:val="16"/>
                <w:szCs w:val="24"/>
              </w:rPr>
              <w:t>ensured accordingly, see:</w:t>
            </w:r>
          </w:p>
          <w:p w14:paraId="7DB9CAD0" w14:textId="2EEA5FE8" w:rsidR="006E4959" w:rsidRPr="00820639" w:rsidRDefault="009124EB" w:rsidP="00820639">
            <w:pPr>
              <w:spacing w:after="120" w:line="240" w:lineRule="auto"/>
              <w:cnfStyle w:val="000000100000" w:firstRow="0" w:lastRow="0" w:firstColumn="0" w:lastColumn="0" w:oddVBand="0" w:evenVBand="0" w:oddHBand="1" w:evenHBand="0" w:firstRowFirstColumn="0" w:firstRowLastColumn="0" w:lastRowFirstColumn="0" w:lastRowLastColumn="0"/>
              <w:rPr>
                <w:rFonts w:ascii="Verdana" w:hAnsi="Verdana"/>
                <w:noProof/>
                <w:sz w:val="16"/>
                <w:szCs w:val="24"/>
                <w:lang w:val="en-GB"/>
              </w:rPr>
            </w:pPr>
            <w:r w:rsidRPr="00820639">
              <w:rPr>
                <w:rFonts w:ascii="Verdana" w:hAnsi="Verdana"/>
                <w:noProof/>
                <w:sz w:val="16"/>
                <w:szCs w:val="24"/>
                <w:lang w:val="en-GB"/>
              </w:rPr>
              <w:t xml:space="preserve">- </w:t>
            </w:r>
            <w:r w:rsidR="00593E4D" w:rsidRPr="00820639">
              <w:rPr>
                <w:rFonts w:ascii="Verdana" w:hAnsi="Verdana"/>
                <w:noProof/>
                <w:sz w:val="16"/>
                <w:szCs w:val="24"/>
                <w:lang w:val="en-GB"/>
              </w:rPr>
              <w:t xml:space="preserve">added </w:t>
            </w:r>
            <w:r w:rsidR="003F3C88" w:rsidRPr="00820639">
              <w:rPr>
                <w:rFonts w:ascii="Verdana" w:hAnsi="Verdana"/>
                <w:noProof/>
                <w:sz w:val="16"/>
                <w:szCs w:val="24"/>
                <w:lang w:val="en-GB"/>
              </w:rPr>
              <w:t xml:space="preserve">rationale on </w:t>
            </w:r>
            <w:r w:rsidRPr="00820639">
              <w:rPr>
                <w:rFonts w:ascii="Verdana" w:hAnsi="Verdana"/>
                <w:noProof/>
                <w:sz w:val="16"/>
                <w:szCs w:val="24"/>
                <w:lang w:val="en-GB"/>
              </w:rPr>
              <w:t xml:space="preserve">Prüm </w:t>
            </w:r>
            <w:r w:rsidR="003F3C88" w:rsidRPr="00820639">
              <w:rPr>
                <w:rFonts w:ascii="Verdana" w:hAnsi="Verdana"/>
                <w:noProof/>
                <w:sz w:val="16"/>
                <w:szCs w:val="24"/>
                <w:lang w:val="en-GB"/>
              </w:rPr>
              <w:t xml:space="preserve">II </w:t>
            </w:r>
            <w:r w:rsidRPr="00820639">
              <w:rPr>
                <w:rFonts w:ascii="Verdana" w:hAnsi="Verdana"/>
                <w:noProof/>
                <w:sz w:val="16"/>
                <w:szCs w:val="24"/>
                <w:lang w:val="en-GB"/>
              </w:rPr>
              <w:t>p. 6.</w:t>
            </w:r>
          </w:p>
          <w:p w14:paraId="63CB3B18" w14:textId="7C33962A" w:rsidR="009124EB" w:rsidRDefault="009124EB" w:rsidP="00820639">
            <w:pPr>
              <w:spacing w:after="120" w:line="240" w:lineRule="auto"/>
              <w:cnfStyle w:val="000000100000" w:firstRow="0" w:lastRow="0" w:firstColumn="0" w:lastColumn="0" w:oddVBand="0" w:evenVBand="0" w:oddHBand="1" w:evenHBand="0" w:firstRowFirstColumn="0" w:firstRowLastColumn="0" w:lastRowFirstColumn="0" w:lastRowLastColumn="0"/>
              <w:rPr>
                <w:rFonts w:ascii="Verdana" w:hAnsi="Verdana"/>
                <w:noProof/>
                <w:sz w:val="16"/>
                <w:szCs w:val="24"/>
              </w:rPr>
            </w:pPr>
            <w:r>
              <w:rPr>
                <w:rFonts w:ascii="Verdana" w:hAnsi="Verdana"/>
                <w:noProof/>
                <w:sz w:val="16"/>
                <w:szCs w:val="24"/>
              </w:rPr>
              <w:t xml:space="preserve">- </w:t>
            </w:r>
            <w:r w:rsidR="00593E4D">
              <w:rPr>
                <w:rFonts w:ascii="Verdana" w:hAnsi="Verdana"/>
                <w:noProof/>
                <w:sz w:val="16"/>
                <w:szCs w:val="24"/>
              </w:rPr>
              <w:t xml:space="preserve">added </w:t>
            </w:r>
            <w:r w:rsidR="003F3C88" w:rsidRPr="00820639">
              <w:rPr>
                <w:rFonts w:ascii="Verdana" w:hAnsi="Verdana"/>
                <w:noProof/>
                <w:sz w:val="16"/>
                <w:szCs w:val="24"/>
                <w:lang w:val="en-GB"/>
              </w:rPr>
              <w:t>rationale</w:t>
            </w:r>
            <w:r w:rsidR="003F3C88">
              <w:rPr>
                <w:rFonts w:ascii="Verdana" w:hAnsi="Verdana"/>
                <w:noProof/>
                <w:sz w:val="16"/>
                <w:szCs w:val="24"/>
              </w:rPr>
              <w:t xml:space="preserve"> on </w:t>
            </w:r>
            <w:r>
              <w:rPr>
                <w:rFonts w:ascii="Verdana" w:hAnsi="Verdana"/>
                <w:noProof/>
                <w:sz w:val="16"/>
                <w:szCs w:val="24"/>
              </w:rPr>
              <w:t>CISA p.10 (footnote 24) and p.11.</w:t>
            </w:r>
          </w:p>
          <w:p w14:paraId="7FB4E250" w14:textId="1E3B4B7A" w:rsidR="009124EB" w:rsidRPr="00820639" w:rsidRDefault="009124EB" w:rsidP="00820639">
            <w:p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noProof/>
                <w:sz w:val="24"/>
                <w:szCs w:val="24"/>
              </w:rPr>
            </w:pPr>
          </w:p>
        </w:tc>
      </w:tr>
      <w:tr w:rsidR="006E4959" w:rsidRPr="003F3C88" w14:paraId="090CFC10" w14:textId="77777777" w:rsidTr="00820639">
        <w:tc>
          <w:tcPr>
            <w:cnfStyle w:val="001000000000" w:firstRow="0" w:lastRow="0" w:firstColumn="1" w:lastColumn="0" w:oddVBand="0" w:evenVBand="0" w:oddHBand="0" w:evenHBand="0" w:firstRowFirstColumn="0" w:firstRowLastColumn="0" w:lastRowFirstColumn="0" w:lastRowLastColumn="0"/>
            <w:tcW w:w="4923" w:type="dxa"/>
          </w:tcPr>
          <w:p w14:paraId="18D463CB" w14:textId="30FEDA61" w:rsidR="006E4959" w:rsidRPr="00820639" w:rsidRDefault="006E4959" w:rsidP="00820639">
            <w:pPr>
              <w:spacing w:after="120" w:line="240" w:lineRule="auto"/>
              <w:jc w:val="both"/>
              <w:rPr>
                <w:rFonts w:ascii="Verdana" w:hAnsi="Verdana"/>
                <w:b w:val="0"/>
                <w:noProof/>
                <w:sz w:val="16"/>
                <w:szCs w:val="16"/>
              </w:rPr>
            </w:pPr>
            <w:r w:rsidRPr="00820639">
              <w:rPr>
                <w:rFonts w:ascii="Verdana" w:hAnsi="Verdana"/>
                <w:noProof/>
                <w:sz w:val="16"/>
                <w:szCs w:val="16"/>
              </w:rPr>
              <w:t>The problem analysis should be reinforced with anonymised evidence from the Schengen evaluation reports. The report should also explain why Member States do not or cannot address certain shortcomings themselves, e.g. ill-equipped national authorities, lack of common binding procedures</w:t>
            </w:r>
          </w:p>
        </w:tc>
        <w:tc>
          <w:tcPr>
            <w:tcW w:w="4924" w:type="dxa"/>
          </w:tcPr>
          <w:p w14:paraId="4AA08C71" w14:textId="77777777" w:rsidR="003F3C88" w:rsidRDefault="003F3C88" w:rsidP="00A4414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Verdana" w:hAnsi="Verdana"/>
                <w:noProof/>
                <w:sz w:val="16"/>
                <w:szCs w:val="24"/>
              </w:rPr>
            </w:pPr>
            <w:r w:rsidRPr="00EB51C5">
              <w:rPr>
                <w:rFonts w:ascii="Verdana" w:hAnsi="Verdana"/>
                <w:noProof/>
                <w:sz w:val="16"/>
                <w:szCs w:val="24"/>
              </w:rPr>
              <w:t xml:space="preserve">This was </w:t>
            </w:r>
            <w:r>
              <w:rPr>
                <w:rFonts w:ascii="Verdana" w:hAnsi="Verdana"/>
                <w:noProof/>
                <w:sz w:val="16"/>
                <w:szCs w:val="24"/>
              </w:rPr>
              <w:t>ensured accordingly, see:</w:t>
            </w:r>
          </w:p>
          <w:p w14:paraId="62F44485" w14:textId="5FA9BB59" w:rsidR="006E4959" w:rsidRPr="00820639" w:rsidRDefault="003F3C88" w:rsidP="00C76702">
            <w:pPr>
              <w:spacing w:line="240" w:lineRule="auto"/>
              <w:jc w:val="both"/>
              <w:cnfStyle w:val="000000000000" w:firstRow="0" w:lastRow="0" w:firstColumn="0" w:lastColumn="0" w:oddVBand="0" w:evenVBand="0" w:oddHBand="0" w:evenHBand="0" w:firstRowFirstColumn="0" w:firstRowLastColumn="0" w:lastRowFirstColumn="0" w:lastRowLastColumn="0"/>
              <w:rPr>
                <w:rFonts w:ascii="Verdana" w:hAnsi="Verdana"/>
                <w:noProof/>
                <w:sz w:val="16"/>
                <w:szCs w:val="24"/>
              </w:rPr>
            </w:pPr>
            <w:r w:rsidRPr="00820639">
              <w:rPr>
                <w:rFonts w:ascii="Verdana" w:hAnsi="Verdana"/>
                <w:noProof/>
                <w:sz w:val="16"/>
                <w:szCs w:val="24"/>
              </w:rPr>
              <w:t xml:space="preserve">- </w:t>
            </w:r>
            <w:r w:rsidR="00322485">
              <w:rPr>
                <w:rFonts w:ascii="Verdana" w:hAnsi="Verdana"/>
                <w:noProof/>
                <w:sz w:val="16"/>
                <w:szCs w:val="24"/>
              </w:rPr>
              <w:t xml:space="preserve">added </w:t>
            </w:r>
            <w:r w:rsidRPr="00820639">
              <w:rPr>
                <w:rFonts w:ascii="Verdana" w:hAnsi="Verdana"/>
                <w:noProof/>
                <w:sz w:val="16"/>
                <w:szCs w:val="24"/>
              </w:rPr>
              <w:t>tables p. 12</w:t>
            </w:r>
            <w:r w:rsidRPr="00820639">
              <w:rPr>
                <w:rFonts w:ascii="Verdana" w:hAnsi="Verdana"/>
                <w:noProof/>
                <w:sz w:val="16"/>
                <w:szCs w:val="24"/>
                <w:lang w:val="en-GB"/>
              </w:rPr>
              <w:t>,</w:t>
            </w:r>
            <w:r w:rsidRPr="003F3C88">
              <w:rPr>
                <w:rFonts w:ascii="Verdana" w:hAnsi="Verdana"/>
                <w:noProof/>
                <w:sz w:val="16"/>
                <w:szCs w:val="24"/>
              </w:rPr>
              <w:t xml:space="preserve"> 15, </w:t>
            </w:r>
            <w:r w:rsidR="00593E4D" w:rsidRPr="00A4414A">
              <w:rPr>
                <w:rFonts w:ascii="Verdana" w:hAnsi="Verdana"/>
                <w:noProof/>
                <w:sz w:val="16"/>
                <w:szCs w:val="24"/>
                <w:lang w:val="en-GB"/>
              </w:rPr>
              <w:t>17</w:t>
            </w:r>
            <w:r w:rsidR="00593E4D">
              <w:rPr>
                <w:rFonts w:ascii="Verdana" w:hAnsi="Verdana"/>
                <w:noProof/>
                <w:sz w:val="16"/>
                <w:szCs w:val="24"/>
                <w:lang w:val="en-GB"/>
              </w:rPr>
              <w:t>.</w:t>
            </w:r>
          </w:p>
          <w:p w14:paraId="6FE5A441" w14:textId="0B9C4FB0" w:rsidR="003F3C88" w:rsidRPr="00820639" w:rsidRDefault="003F3C88" w:rsidP="003F3C88">
            <w:pPr>
              <w:spacing w:line="240" w:lineRule="auto"/>
              <w:jc w:val="both"/>
              <w:cnfStyle w:val="000000000000" w:firstRow="0" w:lastRow="0" w:firstColumn="0" w:lastColumn="0" w:oddVBand="0" w:evenVBand="0" w:oddHBand="0" w:evenHBand="0" w:firstRowFirstColumn="0" w:firstRowLastColumn="0" w:lastRowFirstColumn="0" w:lastRowLastColumn="0"/>
              <w:rPr>
                <w:rFonts w:ascii="Verdana" w:hAnsi="Verdana"/>
                <w:noProof/>
                <w:sz w:val="16"/>
                <w:szCs w:val="24"/>
                <w:lang w:val="en-GB"/>
              </w:rPr>
            </w:pPr>
            <w:r w:rsidRPr="00820639">
              <w:rPr>
                <w:rFonts w:ascii="Verdana" w:hAnsi="Verdana"/>
                <w:noProof/>
                <w:sz w:val="16"/>
                <w:szCs w:val="24"/>
              </w:rPr>
              <w:t xml:space="preserve">- </w:t>
            </w:r>
            <w:r w:rsidR="00322485">
              <w:rPr>
                <w:rFonts w:ascii="Verdana" w:hAnsi="Verdana"/>
                <w:noProof/>
                <w:sz w:val="16"/>
                <w:szCs w:val="24"/>
              </w:rPr>
              <w:t xml:space="preserve">added </w:t>
            </w:r>
            <w:r w:rsidR="00593E4D" w:rsidRPr="00A4414A">
              <w:rPr>
                <w:rFonts w:ascii="Verdana" w:hAnsi="Verdana"/>
                <w:noProof/>
                <w:sz w:val="16"/>
                <w:szCs w:val="24"/>
              </w:rPr>
              <w:t>b</w:t>
            </w:r>
            <w:r w:rsidRPr="00820639">
              <w:rPr>
                <w:rFonts w:ascii="Verdana" w:hAnsi="Verdana"/>
                <w:noProof/>
                <w:sz w:val="16"/>
                <w:szCs w:val="24"/>
              </w:rPr>
              <w:t>ox</w:t>
            </w:r>
            <w:r w:rsidRPr="00820639">
              <w:rPr>
                <w:rFonts w:ascii="Verdana" w:hAnsi="Verdana"/>
                <w:noProof/>
                <w:sz w:val="16"/>
                <w:szCs w:val="24"/>
                <w:lang w:val="en-GB"/>
              </w:rPr>
              <w:t>es</w:t>
            </w:r>
            <w:r w:rsidRPr="00820639">
              <w:rPr>
                <w:rFonts w:ascii="Verdana" w:hAnsi="Verdana"/>
                <w:noProof/>
                <w:sz w:val="16"/>
                <w:szCs w:val="24"/>
              </w:rPr>
              <w:t xml:space="preserve"> p. 15</w:t>
            </w:r>
            <w:r w:rsidRPr="003F3C88">
              <w:rPr>
                <w:rFonts w:ascii="Verdana" w:hAnsi="Verdana"/>
                <w:noProof/>
                <w:sz w:val="16"/>
                <w:szCs w:val="24"/>
              </w:rPr>
              <w:t xml:space="preserve">, </w:t>
            </w:r>
            <w:r w:rsidRPr="00820639">
              <w:rPr>
                <w:rFonts w:ascii="Verdana" w:hAnsi="Verdana"/>
                <w:noProof/>
                <w:sz w:val="16"/>
                <w:szCs w:val="24"/>
                <w:lang w:val="en-GB"/>
              </w:rPr>
              <w:t>16, 18</w:t>
            </w:r>
            <w:r w:rsidR="00593E4D" w:rsidRPr="00A4414A">
              <w:rPr>
                <w:rFonts w:ascii="Verdana" w:hAnsi="Verdana"/>
                <w:noProof/>
                <w:sz w:val="16"/>
                <w:szCs w:val="24"/>
                <w:lang w:val="en-GB"/>
              </w:rPr>
              <w:t>.</w:t>
            </w:r>
          </w:p>
          <w:p w14:paraId="27051540" w14:textId="3D0035BF" w:rsidR="003F3C88" w:rsidRPr="00820639" w:rsidRDefault="003F3C88" w:rsidP="0082063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Verdana" w:hAnsi="Verdana"/>
                <w:noProof/>
                <w:sz w:val="24"/>
                <w:szCs w:val="24"/>
              </w:rPr>
            </w:pPr>
            <w:r w:rsidRPr="003F3C88">
              <w:rPr>
                <w:rFonts w:ascii="Verdana" w:hAnsi="Verdana"/>
                <w:noProof/>
                <w:sz w:val="16"/>
                <w:szCs w:val="24"/>
              </w:rPr>
              <w:t xml:space="preserve">- </w:t>
            </w:r>
            <w:r w:rsidR="00322485">
              <w:rPr>
                <w:rFonts w:ascii="Verdana" w:hAnsi="Verdana"/>
                <w:noProof/>
                <w:sz w:val="16"/>
                <w:szCs w:val="24"/>
              </w:rPr>
              <w:t xml:space="preserve">added </w:t>
            </w:r>
            <w:r w:rsidRPr="00820639">
              <w:rPr>
                <w:rFonts w:ascii="Verdana" w:hAnsi="Verdana"/>
                <w:noProof/>
                <w:sz w:val="16"/>
                <w:szCs w:val="24"/>
                <w:lang w:val="en-GB"/>
              </w:rPr>
              <w:t>rationale</w:t>
            </w:r>
            <w:r w:rsidRPr="003F3C88">
              <w:rPr>
                <w:rFonts w:ascii="Verdana" w:hAnsi="Verdana"/>
                <w:noProof/>
                <w:sz w:val="16"/>
                <w:szCs w:val="24"/>
              </w:rPr>
              <w:t xml:space="preserve"> </w:t>
            </w:r>
            <w:r>
              <w:rPr>
                <w:rFonts w:ascii="Verdana" w:hAnsi="Verdana"/>
                <w:noProof/>
                <w:sz w:val="16"/>
                <w:szCs w:val="24"/>
              </w:rPr>
              <w:t>p. 20-21.</w:t>
            </w:r>
          </w:p>
        </w:tc>
      </w:tr>
      <w:tr w:rsidR="006E4959" w14:paraId="6CE1726F" w14:textId="77777777" w:rsidTr="00820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3" w:type="dxa"/>
          </w:tcPr>
          <w:p w14:paraId="522EB40C" w14:textId="01DA31F9" w:rsidR="006E4959" w:rsidRPr="00820639" w:rsidRDefault="006E4959" w:rsidP="00820639">
            <w:pPr>
              <w:spacing w:after="120" w:line="240" w:lineRule="auto"/>
              <w:jc w:val="both"/>
              <w:rPr>
                <w:rFonts w:ascii="Verdana" w:hAnsi="Verdana"/>
                <w:b w:val="0"/>
                <w:noProof/>
                <w:sz w:val="16"/>
                <w:szCs w:val="16"/>
              </w:rPr>
            </w:pPr>
            <w:r w:rsidRPr="00820639">
              <w:rPr>
                <w:rFonts w:ascii="Verdana" w:hAnsi="Verdana"/>
                <w:noProof/>
                <w:sz w:val="16"/>
                <w:szCs w:val="16"/>
              </w:rPr>
              <w:t>Regarding personal data protection, the report should explain how the alignment with the 2016 Law Enforcement Data Protection Directive will provide the required level of data protection in the Union</w:t>
            </w:r>
          </w:p>
        </w:tc>
        <w:tc>
          <w:tcPr>
            <w:tcW w:w="4924" w:type="dxa"/>
          </w:tcPr>
          <w:p w14:paraId="73F758AB" w14:textId="2B00CA60" w:rsidR="003F3C88" w:rsidRDefault="003F3C88" w:rsidP="003F3C8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Verdana" w:hAnsi="Verdana"/>
                <w:noProof/>
                <w:sz w:val="16"/>
                <w:szCs w:val="24"/>
              </w:rPr>
            </w:pPr>
            <w:r w:rsidRPr="00EB51C5">
              <w:rPr>
                <w:rFonts w:ascii="Verdana" w:hAnsi="Verdana"/>
                <w:noProof/>
                <w:sz w:val="16"/>
                <w:szCs w:val="24"/>
              </w:rPr>
              <w:t xml:space="preserve">This was </w:t>
            </w:r>
            <w:r>
              <w:rPr>
                <w:rFonts w:ascii="Verdana" w:hAnsi="Verdana"/>
                <w:noProof/>
                <w:sz w:val="16"/>
                <w:szCs w:val="24"/>
              </w:rPr>
              <w:t>ensured accordingly, see:</w:t>
            </w:r>
          </w:p>
          <w:p w14:paraId="64BE2013" w14:textId="2517E01E" w:rsidR="006E4959" w:rsidRPr="00820639" w:rsidRDefault="003F3C88" w:rsidP="0082063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Verdana" w:hAnsi="Verdana"/>
                <w:noProof/>
                <w:sz w:val="16"/>
                <w:szCs w:val="24"/>
              </w:rPr>
            </w:pPr>
            <w:r>
              <w:rPr>
                <w:rFonts w:ascii="Verdana" w:hAnsi="Verdana"/>
                <w:noProof/>
                <w:sz w:val="16"/>
                <w:szCs w:val="24"/>
              </w:rPr>
              <w:t xml:space="preserve">- </w:t>
            </w:r>
            <w:r w:rsidR="00322485">
              <w:rPr>
                <w:rFonts w:ascii="Verdana" w:hAnsi="Verdana"/>
                <w:noProof/>
                <w:sz w:val="16"/>
                <w:szCs w:val="24"/>
              </w:rPr>
              <w:t xml:space="preserve">added </w:t>
            </w:r>
            <w:r>
              <w:rPr>
                <w:rFonts w:ascii="Verdana" w:hAnsi="Verdana"/>
                <w:noProof/>
                <w:sz w:val="16"/>
                <w:szCs w:val="24"/>
              </w:rPr>
              <w:t>rationale p.</w:t>
            </w:r>
            <w:r w:rsidRPr="00820639">
              <w:rPr>
                <w:rFonts w:ascii="Verdana" w:hAnsi="Verdana"/>
                <w:noProof/>
                <w:sz w:val="16"/>
                <w:szCs w:val="24"/>
              </w:rPr>
              <w:t xml:space="preserve"> 31-32</w:t>
            </w:r>
            <w:r w:rsidRPr="00322485">
              <w:rPr>
                <w:rFonts w:ascii="Verdana" w:hAnsi="Verdana"/>
                <w:noProof/>
                <w:sz w:val="16"/>
                <w:szCs w:val="24"/>
              </w:rPr>
              <w:t>.</w:t>
            </w:r>
          </w:p>
        </w:tc>
      </w:tr>
      <w:tr w:rsidR="006E4959" w14:paraId="0CEDAEF5" w14:textId="77777777" w:rsidTr="00820639">
        <w:tc>
          <w:tcPr>
            <w:cnfStyle w:val="001000000000" w:firstRow="0" w:lastRow="0" w:firstColumn="1" w:lastColumn="0" w:oddVBand="0" w:evenVBand="0" w:oddHBand="0" w:evenHBand="0" w:firstRowFirstColumn="0" w:firstRowLastColumn="0" w:lastRowFirstColumn="0" w:lastRowLastColumn="0"/>
            <w:tcW w:w="4923" w:type="dxa"/>
          </w:tcPr>
          <w:p w14:paraId="1FEFFDFE" w14:textId="03E2D408" w:rsidR="006E4959" w:rsidRPr="00820639" w:rsidRDefault="006E4959" w:rsidP="00820639">
            <w:pPr>
              <w:spacing w:after="120" w:line="240" w:lineRule="auto"/>
              <w:jc w:val="both"/>
              <w:rPr>
                <w:rFonts w:ascii="Verdana" w:hAnsi="Verdana"/>
                <w:b w:val="0"/>
                <w:noProof/>
                <w:sz w:val="16"/>
                <w:szCs w:val="16"/>
              </w:rPr>
            </w:pPr>
            <w:r w:rsidRPr="00820639">
              <w:rPr>
                <w:rFonts w:ascii="Verdana" w:hAnsi="Verdana"/>
                <w:noProof/>
                <w:sz w:val="16"/>
                <w:szCs w:val="16"/>
              </w:rPr>
              <w:t>The political feasibility of the policy options should not determine their substantive assessment but rather be considered when comparing options. The criteria of legal and technical feasibility should be used to screen the options to be retained for further in-depth analysis. Only feasible options should be kept. Any difference in terms of their performance should then be reflected via the standard assessment criteria of effectiveness, efficiency and coherence. The Board notes the estimated costs and benefits of the preferred option in this initiative, as summarised in the attached quantification tables. Some more technical comments have been sent directly to the author DG</w:t>
            </w:r>
            <w:r w:rsidR="00DF6DD7">
              <w:rPr>
                <w:rFonts w:ascii="Verdana" w:hAnsi="Verdana"/>
                <w:b w:val="0"/>
                <w:noProof/>
                <w:sz w:val="16"/>
                <w:szCs w:val="16"/>
              </w:rPr>
              <w:t>.</w:t>
            </w:r>
          </w:p>
        </w:tc>
        <w:tc>
          <w:tcPr>
            <w:tcW w:w="4924" w:type="dxa"/>
          </w:tcPr>
          <w:p w14:paraId="329D0C69" w14:textId="0D2D74EC" w:rsidR="003F3C88" w:rsidRDefault="003F3C88" w:rsidP="003F3C8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Verdana" w:hAnsi="Verdana"/>
                <w:noProof/>
                <w:sz w:val="16"/>
                <w:szCs w:val="24"/>
              </w:rPr>
            </w:pPr>
            <w:r w:rsidRPr="00EB51C5">
              <w:rPr>
                <w:rFonts w:ascii="Verdana" w:hAnsi="Verdana"/>
                <w:noProof/>
                <w:sz w:val="16"/>
                <w:szCs w:val="24"/>
              </w:rPr>
              <w:t xml:space="preserve">This was </w:t>
            </w:r>
            <w:r>
              <w:rPr>
                <w:rFonts w:ascii="Verdana" w:hAnsi="Verdana"/>
                <w:noProof/>
                <w:sz w:val="16"/>
                <w:szCs w:val="24"/>
              </w:rPr>
              <w:t>ensured accordingly, see:</w:t>
            </w:r>
          </w:p>
          <w:p w14:paraId="75BF5633" w14:textId="0C3460CC" w:rsidR="00322485" w:rsidRDefault="00322485" w:rsidP="003F3C8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Verdana" w:hAnsi="Verdana"/>
                <w:noProof/>
                <w:sz w:val="16"/>
                <w:szCs w:val="24"/>
              </w:rPr>
            </w:pPr>
            <w:r>
              <w:rPr>
                <w:rFonts w:ascii="Verdana" w:hAnsi="Verdana"/>
                <w:noProof/>
                <w:sz w:val="16"/>
                <w:szCs w:val="24"/>
              </w:rPr>
              <w:t>- amended tables p</w:t>
            </w:r>
            <w:r w:rsidR="000A79FB">
              <w:rPr>
                <w:rFonts w:ascii="Verdana" w:hAnsi="Verdana"/>
                <w:noProof/>
                <w:sz w:val="16"/>
                <w:szCs w:val="24"/>
              </w:rPr>
              <w:t>p</w:t>
            </w:r>
            <w:r>
              <w:rPr>
                <w:rFonts w:ascii="Verdana" w:hAnsi="Verdana"/>
                <w:noProof/>
                <w:sz w:val="16"/>
                <w:szCs w:val="24"/>
              </w:rPr>
              <w:t xml:space="preserve">. </w:t>
            </w:r>
            <w:r w:rsidR="000A79FB">
              <w:rPr>
                <w:rFonts w:ascii="Verdana" w:hAnsi="Verdana"/>
                <w:noProof/>
                <w:sz w:val="16"/>
                <w:szCs w:val="24"/>
              </w:rPr>
              <w:t xml:space="preserve">34 to 44, </w:t>
            </w:r>
            <w:r w:rsidR="00DF6DD7">
              <w:rPr>
                <w:rFonts w:ascii="Verdana" w:hAnsi="Verdana"/>
                <w:noProof/>
                <w:sz w:val="16"/>
                <w:szCs w:val="24"/>
              </w:rPr>
              <w:t xml:space="preserve">p. </w:t>
            </w:r>
            <w:r w:rsidR="000A79FB">
              <w:rPr>
                <w:rFonts w:ascii="Verdana" w:hAnsi="Verdana"/>
                <w:noProof/>
                <w:sz w:val="16"/>
                <w:szCs w:val="24"/>
              </w:rPr>
              <w:t>46</w:t>
            </w:r>
            <w:r w:rsidR="00593E4D">
              <w:rPr>
                <w:rFonts w:ascii="Verdana" w:hAnsi="Verdana"/>
                <w:noProof/>
                <w:sz w:val="16"/>
                <w:szCs w:val="24"/>
              </w:rPr>
              <w:t>.</w:t>
            </w:r>
          </w:p>
          <w:p w14:paraId="23EB2D1F" w14:textId="490C15F8" w:rsidR="00322485" w:rsidRDefault="00322485" w:rsidP="003F3C8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Verdana" w:hAnsi="Verdana"/>
                <w:noProof/>
                <w:sz w:val="16"/>
                <w:szCs w:val="24"/>
              </w:rPr>
            </w:pPr>
            <w:r>
              <w:rPr>
                <w:rFonts w:ascii="Verdana" w:hAnsi="Verdana"/>
                <w:noProof/>
                <w:sz w:val="16"/>
                <w:szCs w:val="24"/>
              </w:rPr>
              <w:t>- added ratio</w:t>
            </w:r>
            <w:r w:rsidR="00DF6DD7">
              <w:rPr>
                <w:rFonts w:ascii="Verdana" w:hAnsi="Verdana"/>
                <w:noProof/>
                <w:sz w:val="16"/>
                <w:szCs w:val="24"/>
              </w:rPr>
              <w:t xml:space="preserve">nale pp. 27-28, p. </w:t>
            </w:r>
            <w:r w:rsidR="000A79FB">
              <w:rPr>
                <w:rFonts w:ascii="Verdana" w:hAnsi="Verdana"/>
                <w:noProof/>
                <w:sz w:val="16"/>
                <w:szCs w:val="24"/>
              </w:rPr>
              <w:t>50.</w:t>
            </w:r>
          </w:p>
          <w:p w14:paraId="54EFC1E1" w14:textId="77777777" w:rsidR="006E4959" w:rsidRPr="00820639" w:rsidRDefault="006E4959" w:rsidP="00C76702">
            <w:pPr>
              <w:spacing w:line="240" w:lineRule="auto"/>
              <w:jc w:val="both"/>
              <w:cnfStyle w:val="000000000000" w:firstRow="0" w:lastRow="0" w:firstColumn="0" w:lastColumn="0" w:oddVBand="0" w:evenVBand="0" w:oddHBand="0" w:evenHBand="0" w:firstRowFirstColumn="0" w:firstRowLastColumn="0" w:lastRowFirstColumn="0" w:lastRowLastColumn="0"/>
              <w:rPr>
                <w:rFonts w:ascii="Verdana" w:hAnsi="Verdana"/>
                <w:noProof/>
                <w:sz w:val="24"/>
                <w:szCs w:val="24"/>
              </w:rPr>
            </w:pPr>
          </w:p>
        </w:tc>
      </w:tr>
    </w:tbl>
    <w:p w14:paraId="133D7110" w14:textId="04C06429" w:rsidR="0046555B" w:rsidRPr="006241B7" w:rsidRDefault="0046555B" w:rsidP="00A4414A">
      <w:pPr>
        <w:spacing w:line="240" w:lineRule="auto"/>
        <w:jc w:val="both"/>
        <w:rPr>
          <w:rFonts w:ascii="Times New Roman" w:hAnsi="Times New Roman" w:cs="Times New Roman"/>
          <w:noProof/>
          <w:sz w:val="32"/>
          <w:szCs w:val="24"/>
        </w:rPr>
      </w:pPr>
    </w:p>
    <w:p w14:paraId="21D70DB4" w14:textId="77777777" w:rsidR="00C76702" w:rsidRPr="005478FC" w:rsidRDefault="00C76702" w:rsidP="00900BC7">
      <w:pPr>
        <w:pStyle w:val="ListParagraph"/>
        <w:numPr>
          <w:ilvl w:val="0"/>
          <w:numId w:val="39"/>
        </w:numPr>
        <w:rPr>
          <w:rFonts w:ascii="Times New Roman" w:hAnsi="Times New Roman" w:cs="Times New Roman"/>
          <w:b/>
          <w:smallCaps/>
          <w:noProof/>
          <w:sz w:val="24"/>
          <w:szCs w:val="24"/>
        </w:rPr>
      </w:pPr>
      <w:bookmarkStart w:id="136" w:name="_Toc48897652"/>
      <w:bookmarkStart w:id="137" w:name="_Toc75192679"/>
      <w:r w:rsidRPr="005478FC">
        <w:rPr>
          <w:rFonts w:ascii="Times New Roman" w:hAnsi="Times New Roman" w:cs="Times New Roman"/>
          <w:b/>
          <w:smallCaps/>
          <w:noProof/>
          <w:sz w:val="24"/>
          <w:szCs w:val="24"/>
        </w:rPr>
        <w:t>Evidence, sources and quality</w:t>
      </w:r>
      <w:bookmarkEnd w:id="136"/>
      <w:bookmarkEnd w:id="137"/>
    </w:p>
    <w:p w14:paraId="52357FF1" w14:textId="77777777" w:rsidR="00C76702" w:rsidRDefault="00C76702" w:rsidP="00C76702">
      <w:pPr>
        <w:spacing w:line="240" w:lineRule="auto"/>
        <w:jc w:val="both"/>
        <w:rPr>
          <w:rFonts w:ascii="Times New Roman" w:hAnsi="Times New Roman" w:cs="Times New Roman"/>
          <w:noProof/>
          <w:sz w:val="24"/>
          <w:szCs w:val="24"/>
        </w:rPr>
      </w:pPr>
      <w:r w:rsidRPr="00F82EE1">
        <w:rPr>
          <w:rFonts w:ascii="Times New Roman" w:hAnsi="Times New Roman" w:cs="Times New Roman"/>
          <w:noProof/>
          <w:sz w:val="24"/>
          <w:szCs w:val="24"/>
        </w:rPr>
        <w:t>The impact assessment is notably based on the stakeholder consultation (see annex 2). The Commission applied a variety of methods and forms of consultation, ranging from consultation on the Inception Impact Assessment, which sought views from all interested parties, to targeted stakeholders</w:t>
      </w:r>
      <w:r>
        <w:rPr>
          <w:rFonts w:ascii="Times New Roman" w:hAnsi="Times New Roman" w:cs="Times New Roman"/>
          <w:noProof/>
          <w:sz w:val="24"/>
          <w:szCs w:val="24"/>
        </w:rPr>
        <w:t>'</w:t>
      </w:r>
      <w:r w:rsidRPr="00F82EE1">
        <w:rPr>
          <w:rFonts w:ascii="Times New Roman" w:hAnsi="Times New Roman" w:cs="Times New Roman"/>
          <w:noProof/>
          <w:sz w:val="24"/>
          <w:szCs w:val="24"/>
        </w:rPr>
        <w:t xml:space="preserve"> consultation by way of a questionnaire, experts</w:t>
      </w:r>
      <w:r>
        <w:rPr>
          <w:rFonts w:ascii="Times New Roman" w:hAnsi="Times New Roman" w:cs="Times New Roman"/>
          <w:noProof/>
          <w:sz w:val="24"/>
          <w:szCs w:val="24"/>
        </w:rPr>
        <w:t>'</w:t>
      </w:r>
      <w:r w:rsidRPr="00F82EE1">
        <w:rPr>
          <w:rFonts w:ascii="Times New Roman" w:hAnsi="Times New Roman" w:cs="Times New Roman"/>
          <w:noProof/>
          <w:sz w:val="24"/>
          <w:szCs w:val="24"/>
        </w:rPr>
        <w:t xml:space="preserve"> interviews and targeted thematic stakeholder workshops, which focused on subject matter experts, including practitioners at national level. Taking into account the technicalities and specificities of the subject, the Commission emphasised in targeted consultations, addressing a broad range of stakehol</w:t>
      </w:r>
      <w:r>
        <w:rPr>
          <w:rFonts w:ascii="Times New Roman" w:hAnsi="Times New Roman" w:cs="Times New Roman"/>
          <w:noProof/>
          <w:sz w:val="24"/>
          <w:szCs w:val="24"/>
        </w:rPr>
        <w:t>ders, at national and EU level.</w:t>
      </w:r>
    </w:p>
    <w:p w14:paraId="697A1A50" w14:textId="77777777" w:rsidR="00C76702" w:rsidRPr="00365433" w:rsidRDefault="00C76702" w:rsidP="00C76702">
      <w:pPr>
        <w:spacing w:after="120" w:line="240" w:lineRule="auto"/>
        <w:jc w:val="both"/>
        <w:rPr>
          <w:rFonts w:ascii="Times New Roman" w:hAnsi="Times New Roman" w:cs="Times New Roman"/>
          <w:noProof/>
          <w:sz w:val="24"/>
          <w:szCs w:val="24"/>
        </w:rPr>
      </w:pPr>
      <w:r w:rsidRPr="00365433">
        <w:rPr>
          <w:rFonts w:ascii="Times New Roman" w:hAnsi="Times New Roman" w:cs="Times New Roman"/>
          <w:noProof/>
          <w:sz w:val="24"/>
          <w:szCs w:val="24"/>
        </w:rPr>
        <w:t>In this context, the Commission also took in</w:t>
      </w:r>
      <w:r>
        <w:rPr>
          <w:rFonts w:ascii="Times New Roman" w:hAnsi="Times New Roman" w:cs="Times New Roman"/>
          <w:noProof/>
          <w:sz w:val="24"/>
          <w:szCs w:val="24"/>
        </w:rPr>
        <w:t>to account the findings of the "</w:t>
      </w:r>
      <w:r w:rsidRPr="00B231CC">
        <w:rPr>
          <w:rFonts w:ascii="Times New Roman" w:hAnsi="Times New Roman" w:cs="Times New Roman"/>
          <w:i/>
          <w:noProof/>
          <w:sz w:val="24"/>
        </w:rPr>
        <w:t>Study to support the preparation of an impact assessment on EU policy initiatives facilitating cross-border law enforcement cooperation</w:t>
      </w:r>
      <w:r>
        <w:rPr>
          <w:rFonts w:ascii="Times New Roman" w:hAnsi="Times New Roman" w:cs="Times New Roman"/>
          <w:noProof/>
          <w:sz w:val="24"/>
          <w:szCs w:val="24"/>
        </w:rPr>
        <w:t>"</w:t>
      </w:r>
      <w:r w:rsidRPr="00365433">
        <w:rPr>
          <w:rFonts w:ascii="Times New Roman" w:hAnsi="Times New Roman" w:cs="Times New Roman"/>
          <w:noProof/>
          <w:sz w:val="24"/>
          <w:szCs w:val="24"/>
        </w:rPr>
        <w:t>, which was commissioned by DG HOME and developed by the contractor based on desk research and the following stakeholder consultation methods: scoping interviews, questionnaire and online survey, semi-structured interviews</w:t>
      </w:r>
      <w:r>
        <w:rPr>
          <w:rFonts w:ascii="Times New Roman" w:hAnsi="Times New Roman" w:cs="Times New Roman"/>
          <w:noProof/>
          <w:sz w:val="24"/>
          <w:szCs w:val="24"/>
        </w:rPr>
        <w:t>, case-studies</w:t>
      </w:r>
      <w:r w:rsidRPr="00365433">
        <w:rPr>
          <w:rFonts w:ascii="Times New Roman" w:hAnsi="Times New Roman" w:cs="Times New Roman"/>
          <w:noProof/>
          <w:sz w:val="24"/>
          <w:szCs w:val="24"/>
        </w:rPr>
        <w:t xml:space="preserve"> and </w:t>
      </w:r>
      <w:r>
        <w:rPr>
          <w:rFonts w:ascii="Times New Roman" w:hAnsi="Times New Roman" w:cs="Times New Roman"/>
          <w:noProof/>
          <w:sz w:val="24"/>
          <w:szCs w:val="24"/>
        </w:rPr>
        <w:t xml:space="preserve">two </w:t>
      </w:r>
      <w:r w:rsidRPr="00365433">
        <w:rPr>
          <w:rFonts w:ascii="Times New Roman" w:hAnsi="Times New Roman" w:cs="Times New Roman"/>
          <w:noProof/>
          <w:sz w:val="24"/>
          <w:szCs w:val="24"/>
        </w:rPr>
        <w:t>online workshop</w:t>
      </w:r>
      <w:r>
        <w:rPr>
          <w:rFonts w:ascii="Times New Roman" w:hAnsi="Times New Roman" w:cs="Times New Roman"/>
          <w:noProof/>
          <w:sz w:val="24"/>
          <w:szCs w:val="24"/>
        </w:rPr>
        <w:t>s (see annex 2)</w:t>
      </w:r>
      <w:r w:rsidRPr="00365433">
        <w:rPr>
          <w:rFonts w:ascii="Times New Roman" w:hAnsi="Times New Roman" w:cs="Times New Roman"/>
          <w:noProof/>
          <w:sz w:val="24"/>
          <w:szCs w:val="24"/>
        </w:rPr>
        <w:t>.</w:t>
      </w:r>
    </w:p>
    <w:p w14:paraId="0C506022" w14:textId="77777777" w:rsidR="00C76702" w:rsidRDefault="00C76702" w:rsidP="00C76702">
      <w:pPr>
        <w:spacing w:line="240" w:lineRule="auto"/>
        <w:jc w:val="both"/>
        <w:rPr>
          <w:rFonts w:ascii="Times New Roman" w:hAnsi="Times New Roman" w:cs="Times New Roman"/>
          <w:noProof/>
          <w:sz w:val="24"/>
          <w:szCs w:val="24"/>
        </w:rPr>
      </w:pPr>
    </w:p>
    <w:p w14:paraId="0284AF81" w14:textId="77777777" w:rsidR="004E2E92" w:rsidRDefault="004E2E92">
      <w:pPr>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br w:type="page"/>
      </w:r>
    </w:p>
    <w:p w14:paraId="374D8F5A" w14:textId="77777777" w:rsidR="00C76702" w:rsidRPr="00AE777C" w:rsidRDefault="00C76702" w:rsidP="00AE777C">
      <w:pPr>
        <w:pStyle w:val="AnnexHeading1"/>
        <w:rPr>
          <w:noProof/>
        </w:rPr>
      </w:pPr>
      <w:bookmarkStart w:id="138" w:name="_Toc48897653"/>
      <w:bookmarkStart w:id="139" w:name="_Toc74838191"/>
      <w:bookmarkStart w:id="140" w:name="_Toc83801053"/>
      <w:r w:rsidRPr="00AE777C">
        <w:rPr>
          <w:noProof/>
        </w:rPr>
        <w:t>Annex 2: Stakeholder consultation</w:t>
      </w:r>
      <w:bookmarkEnd w:id="138"/>
      <w:bookmarkEnd w:id="139"/>
      <w:bookmarkEnd w:id="140"/>
      <w:r w:rsidRPr="00AE777C">
        <w:rPr>
          <w:noProof/>
        </w:rPr>
        <w:t xml:space="preserve"> </w:t>
      </w:r>
    </w:p>
    <w:p w14:paraId="35813EF9" w14:textId="77777777" w:rsidR="00C76702" w:rsidRDefault="00C76702" w:rsidP="00C76702">
      <w:pPr>
        <w:spacing w:after="120" w:line="240" w:lineRule="auto"/>
        <w:jc w:val="both"/>
        <w:rPr>
          <w:rFonts w:ascii="Times New Roman" w:hAnsi="Times New Roman" w:cs="Times New Roman"/>
          <w:noProof/>
          <w:sz w:val="24"/>
          <w:szCs w:val="24"/>
        </w:rPr>
      </w:pPr>
      <w:r w:rsidRPr="00365433">
        <w:rPr>
          <w:rFonts w:ascii="Times New Roman" w:hAnsi="Times New Roman" w:cs="Times New Roman"/>
          <w:noProof/>
          <w:sz w:val="24"/>
          <w:szCs w:val="24"/>
        </w:rPr>
        <w:t>This annex provides a synopsis report of all stakeholder consultation activities undertaken in the context of this impact assessment</w:t>
      </w:r>
      <w:r>
        <w:rPr>
          <w:rFonts w:ascii="Times New Roman" w:hAnsi="Times New Roman" w:cs="Times New Roman"/>
          <w:noProof/>
          <w:sz w:val="24"/>
          <w:szCs w:val="24"/>
        </w:rPr>
        <w:t>.</w:t>
      </w:r>
    </w:p>
    <w:p w14:paraId="3A59A7AE" w14:textId="77777777" w:rsidR="00C76702" w:rsidRPr="005478FC" w:rsidRDefault="00C76702" w:rsidP="00900BC7">
      <w:pPr>
        <w:pStyle w:val="ListParagraph"/>
        <w:numPr>
          <w:ilvl w:val="0"/>
          <w:numId w:val="40"/>
        </w:numPr>
        <w:rPr>
          <w:rFonts w:ascii="Times New Roman" w:hAnsi="Times New Roman" w:cs="Times New Roman"/>
          <w:b/>
          <w:smallCaps/>
          <w:noProof/>
          <w:sz w:val="24"/>
          <w:szCs w:val="24"/>
        </w:rPr>
      </w:pPr>
      <w:bookmarkStart w:id="141" w:name="_Toc75192681"/>
      <w:r w:rsidRPr="005478FC">
        <w:rPr>
          <w:rFonts w:ascii="Times New Roman" w:hAnsi="Times New Roman" w:cs="Times New Roman"/>
          <w:b/>
          <w:smallCaps/>
          <w:noProof/>
          <w:sz w:val="24"/>
          <w:szCs w:val="24"/>
        </w:rPr>
        <w:t>Consultation strategy</w:t>
      </w:r>
      <w:bookmarkEnd w:id="141"/>
    </w:p>
    <w:p w14:paraId="1C829428" w14:textId="77777777" w:rsidR="00C76702" w:rsidRPr="00B97D31" w:rsidRDefault="00C76702" w:rsidP="00C76702">
      <w:pPr>
        <w:spacing w:after="120" w:line="240" w:lineRule="auto"/>
        <w:jc w:val="both"/>
        <w:rPr>
          <w:rFonts w:ascii="Times New Roman" w:hAnsi="Times New Roman" w:cs="Times New Roman"/>
          <w:noProof/>
          <w:sz w:val="24"/>
          <w:szCs w:val="24"/>
        </w:rPr>
      </w:pPr>
      <w:r w:rsidRPr="00B97D31">
        <w:rPr>
          <w:rFonts w:ascii="Times New Roman" w:hAnsi="Times New Roman" w:cs="Times New Roman"/>
          <w:noProof/>
          <w:sz w:val="24"/>
          <w:szCs w:val="24"/>
        </w:rPr>
        <w:t xml:space="preserve">The aim of the consultation was to receive relevant input from stakeholders to enable an evidence-based preparation of the future Commission initiative on a </w:t>
      </w:r>
      <w:r>
        <w:rPr>
          <w:rFonts w:ascii="Times New Roman" w:hAnsi="Times New Roman" w:cs="Times New Roman"/>
          <w:noProof/>
          <w:sz w:val="24"/>
          <w:szCs w:val="24"/>
        </w:rPr>
        <w:t>improving law enforcement cooperation between Member States</w:t>
      </w:r>
      <w:r w:rsidRPr="00B97D31">
        <w:rPr>
          <w:rFonts w:ascii="Times New Roman" w:hAnsi="Times New Roman" w:cs="Times New Roman"/>
          <w:noProof/>
          <w:sz w:val="24"/>
          <w:szCs w:val="24"/>
        </w:rPr>
        <w:t>.</w:t>
      </w:r>
    </w:p>
    <w:p w14:paraId="587A831E" w14:textId="77777777" w:rsidR="00C76702" w:rsidRDefault="00C76702" w:rsidP="00C76702">
      <w:pPr>
        <w:spacing w:after="120" w:line="240" w:lineRule="auto"/>
        <w:jc w:val="both"/>
        <w:rPr>
          <w:rFonts w:ascii="Times New Roman" w:hAnsi="Times New Roman" w:cs="Times New Roman"/>
          <w:noProof/>
          <w:sz w:val="24"/>
          <w:szCs w:val="24"/>
        </w:rPr>
      </w:pPr>
      <w:r>
        <w:rPr>
          <w:noProof/>
          <w:szCs w:val="24"/>
        </w:rPr>
        <w:t xml:space="preserve"> </w:t>
      </w:r>
      <w:r w:rsidRPr="002B5008">
        <w:rPr>
          <w:rFonts w:ascii="Times New Roman" w:hAnsi="Times New Roman" w:cs="Times New Roman"/>
          <w:noProof/>
          <w:sz w:val="24"/>
        </w:rPr>
        <w:t xml:space="preserve">The stakeholders' consultation took place between </w:t>
      </w:r>
      <w:r>
        <w:rPr>
          <w:rFonts w:ascii="Times New Roman" w:hAnsi="Times New Roman" w:cs="Times New Roman"/>
          <w:noProof/>
          <w:sz w:val="24"/>
        </w:rPr>
        <w:t>September 2020 and July 2021</w:t>
      </w:r>
      <w:r w:rsidRPr="002B5008">
        <w:rPr>
          <w:rFonts w:ascii="Times New Roman" w:hAnsi="Times New Roman" w:cs="Times New Roman"/>
          <w:noProof/>
          <w:sz w:val="24"/>
        </w:rPr>
        <w:t xml:space="preserve"> and encompassed, primarily, targeted stakeholders by way of the </w:t>
      </w:r>
      <w:r>
        <w:rPr>
          <w:rFonts w:ascii="Times New Roman" w:hAnsi="Times New Roman" w:cs="Times New Roman"/>
          <w:noProof/>
          <w:sz w:val="24"/>
        </w:rPr>
        <w:t xml:space="preserve">Study and two workshops hosted by the Commission with Member States and Schengen </w:t>
      </w:r>
      <w:r w:rsidRPr="00B97D31">
        <w:rPr>
          <w:rFonts w:ascii="Times New Roman" w:hAnsi="Times New Roman" w:cs="Times New Roman"/>
          <w:noProof/>
          <w:sz w:val="24"/>
          <w:szCs w:val="24"/>
        </w:rPr>
        <w:t xml:space="preserve">Associated Countries' representatives. </w:t>
      </w:r>
    </w:p>
    <w:p w14:paraId="6F0505C4" w14:textId="77777777" w:rsidR="00C76702" w:rsidRDefault="00C76702" w:rsidP="00C76702">
      <w:pPr>
        <w:spacing w:after="120" w:line="240" w:lineRule="auto"/>
        <w:jc w:val="both"/>
        <w:rPr>
          <w:noProof/>
          <w:szCs w:val="24"/>
        </w:rPr>
      </w:pPr>
      <w:r w:rsidRPr="00B97D31">
        <w:rPr>
          <w:rFonts w:ascii="Times New Roman" w:hAnsi="Times New Roman" w:cs="Times New Roman"/>
          <w:noProof/>
          <w:sz w:val="24"/>
          <w:szCs w:val="24"/>
        </w:rPr>
        <w:t xml:space="preserve">To do this, the Commission services identified relevant stakeholders and consulted them throughout the development of its draft proposal. The Commission services sought views from a wide range of subject matter experts, national authorities, civil society organisations, and from members of the public on their expectations and concerns relating to </w:t>
      </w:r>
      <w:r>
        <w:rPr>
          <w:rFonts w:ascii="Times New Roman" w:hAnsi="Times New Roman" w:cs="Times New Roman"/>
          <w:noProof/>
          <w:sz w:val="24"/>
          <w:szCs w:val="24"/>
        </w:rPr>
        <w:t>strengenting law enforcement cooperation in the EU</w:t>
      </w:r>
      <w:r w:rsidRPr="00B97D31">
        <w:rPr>
          <w:rFonts w:ascii="Times New Roman" w:hAnsi="Times New Roman" w:cs="Times New Roman"/>
          <w:noProof/>
          <w:sz w:val="24"/>
          <w:szCs w:val="24"/>
        </w:rPr>
        <w:t>.</w:t>
      </w:r>
      <w:r>
        <w:rPr>
          <w:noProof/>
          <w:szCs w:val="24"/>
        </w:rPr>
        <w:t xml:space="preserve"> </w:t>
      </w:r>
    </w:p>
    <w:p w14:paraId="2EBB1150" w14:textId="77777777" w:rsidR="00C76702" w:rsidRPr="00B97D31" w:rsidRDefault="00C76702" w:rsidP="00C76702">
      <w:pPr>
        <w:spacing w:after="120" w:line="240" w:lineRule="auto"/>
        <w:rPr>
          <w:rFonts w:ascii="Times New Roman" w:hAnsi="Times New Roman" w:cs="Times New Roman"/>
          <w:noProof/>
          <w:sz w:val="24"/>
          <w:szCs w:val="24"/>
        </w:rPr>
      </w:pPr>
      <w:r w:rsidRPr="00B97D31">
        <w:rPr>
          <w:rFonts w:ascii="Times New Roman" w:hAnsi="Times New Roman" w:cs="Times New Roman"/>
          <w:noProof/>
          <w:sz w:val="24"/>
          <w:szCs w:val="24"/>
        </w:rPr>
        <w:t>During the consultation process, the Commission services applied a variety of methods and forms of consultation. They included:</w:t>
      </w:r>
    </w:p>
    <w:p w14:paraId="5993ED1F" w14:textId="77777777" w:rsidR="00C76702" w:rsidRPr="00B97D31" w:rsidRDefault="00C76702" w:rsidP="00E760E4">
      <w:pPr>
        <w:pStyle w:val="ListParagraph"/>
        <w:numPr>
          <w:ilvl w:val="0"/>
          <w:numId w:val="15"/>
        </w:numPr>
        <w:spacing w:line="240" w:lineRule="auto"/>
        <w:jc w:val="both"/>
        <w:rPr>
          <w:rFonts w:ascii="Times New Roman" w:hAnsi="Times New Roman" w:cs="Times New Roman"/>
          <w:noProof/>
          <w:sz w:val="24"/>
          <w:szCs w:val="24"/>
        </w:rPr>
      </w:pPr>
      <w:r w:rsidRPr="00B97D31">
        <w:rPr>
          <w:rFonts w:ascii="Times New Roman" w:hAnsi="Times New Roman" w:cs="Times New Roman"/>
          <w:noProof/>
          <w:sz w:val="24"/>
          <w:szCs w:val="24"/>
        </w:rPr>
        <w:t>the consultation on the Inception Impact Assessment, which sought views from all interested parties;</w:t>
      </w:r>
    </w:p>
    <w:p w14:paraId="1AFCADE8" w14:textId="77777777" w:rsidR="00C76702" w:rsidRPr="00B97D31" w:rsidRDefault="00C76702" w:rsidP="00E760E4">
      <w:pPr>
        <w:pStyle w:val="ListParagraph"/>
        <w:numPr>
          <w:ilvl w:val="0"/>
          <w:numId w:val="15"/>
        </w:numPr>
        <w:spacing w:line="240" w:lineRule="auto"/>
        <w:jc w:val="both"/>
        <w:rPr>
          <w:rFonts w:ascii="Times New Roman" w:hAnsi="Times New Roman" w:cs="Times New Roman"/>
          <w:noProof/>
          <w:sz w:val="24"/>
          <w:szCs w:val="24"/>
        </w:rPr>
      </w:pPr>
      <w:r w:rsidRPr="00B97D31">
        <w:rPr>
          <w:rFonts w:ascii="Times New Roman" w:hAnsi="Times New Roman" w:cs="Times New Roman"/>
          <w:noProof/>
          <w:sz w:val="24"/>
          <w:szCs w:val="24"/>
        </w:rPr>
        <w:t>targeted stakeholder consultation by way of a questionnaire;</w:t>
      </w:r>
    </w:p>
    <w:p w14:paraId="6AA8697B" w14:textId="77777777" w:rsidR="00C76702" w:rsidRPr="00B97D31" w:rsidRDefault="00C76702" w:rsidP="00E760E4">
      <w:pPr>
        <w:pStyle w:val="ListParagraph"/>
        <w:numPr>
          <w:ilvl w:val="0"/>
          <w:numId w:val="15"/>
        </w:numPr>
        <w:spacing w:line="240" w:lineRule="auto"/>
        <w:jc w:val="both"/>
        <w:rPr>
          <w:rFonts w:ascii="Times New Roman" w:hAnsi="Times New Roman" w:cs="Times New Roman"/>
          <w:noProof/>
          <w:sz w:val="24"/>
          <w:szCs w:val="24"/>
        </w:rPr>
      </w:pPr>
      <w:r w:rsidRPr="00B97D31">
        <w:rPr>
          <w:rFonts w:ascii="Times New Roman" w:hAnsi="Times New Roman" w:cs="Times New Roman"/>
          <w:noProof/>
          <w:sz w:val="24"/>
          <w:szCs w:val="24"/>
        </w:rPr>
        <w:t xml:space="preserve">expert interviews; and </w:t>
      </w:r>
    </w:p>
    <w:p w14:paraId="59E38978" w14:textId="77777777" w:rsidR="00C76702" w:rsidRPr="00B97D31" w:rsidRDefault="00C76702" w:rsidP="00E760E4">
      <w:pPr>
        <w:pStyle w:val="ListParagraph"/>
        <w:numPr>
          <w:ilvl w:val="0"/>
          <w:numId w:val="15"/>
        </w:numPr>
        <w:spacing w:line="240" w:lineRule="auto"/>
        <w:jc w:val="both"/>
        <w:rPr>
          <w:rFonts w:ascii="Times New Roman" w:hAnsi="Times New Roman" w:cs="Times New Roman"/>
          <w:noProof/>
          <w:sz w:val="24"/>
          <w:szCs w:val="24"/>
        </w:rPr>
      </w:pPr>
      <w:r w:rsidRPr="00B97D31">
        <w:rPr>
          <w:rFonts w:ascii="Times New Roman" w:hAnsi="Times New Roman" w:cs="Times New Roman"/>
          <w:noProof/>
          <w:sz w:val="24"/>
          <w:szCs w:val="24"/>
        </w:rPr>
        <w:t xml:space="preserve">targeted thematic stakeholder workshops that focused on subject matter experts, including practitioners at national level. Taking into account the technicalities and specificities of the subject, the Commission services focused on targeted consultations, addressing a broad range of stakeholders at national and EU level. </w:t>
      </w:r>
    </w:p>
    <w:p w14:paraId="091DAF1E" w14:textId="77777777" w:rsidR="00C76702" w:rsidRPr="00365433" w:rsidRDefault="00C76702" w:rsidP="00C7670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sidRPr="00B97D31">
        <w:rPr>
          <w:rFonts w:ascii="Times New Roman" w:hAnsi="Times New Roman" w:cs="Times New Roman"/>
          <w:noProof/>
          <w:sz w:val="24"/>
          <w:szCs w:val="24"/>
        </w:rPr>
        <w:t xml:space="preserve">he Commission also took into account the findings of the </w:t>
      </w:r>
      <w:r>
        <w:rPr>
          <w:rFonts w:ascii="Times New Roman" w:hAnsi="Times New Roman" w:cs="Times New Roman"/>
          <w:noProof/>
          <w:sz w:val="24"/>
          <w:szCs w:val="24"/>
        </w:rPr>
        <w:t>"</w:t>
      </w:r>
      <w:r w:rsidRPr="00B231CC">
        <w:rPr>
          <w:rFonts w:ascii="Times New Roman" w:hAnsi="Times New Roman" w:cs="Times New Roman"/>
          <w:i/>
          <w:noProof/>
          <w:sz w:val="24"/>
        </w:rPr>
        <w:t>Study to support the preparation of an impact assessment on EU policy initiatives facilitating cross-border law enforcement cooperation</w:t>
      </w:r>
      <w:r>
        <w:rPr>
          <w:rFonts w:ascii="Times New Roman" w:hAnsi="Times New Roman" w:cs="Times New Roman"/>
          <w:noProof/>
          <w:sz w:val="24"/>
          <w:szCs w:val="24"/>
        </w:rPr>
        <w:t>"</w:t>
      </w:r>
      <w:r w:rsidRPr="00365433">
        <w:rPr>
          <w:rFonts w:ascii="Times New Roman" w:hAnsi="Times New Roman" w:cs="Times New Roman"/>
          <w:noProof/>
          <w:sz w:val="24"/>
          <w:szCs w:val="24"/>
        </w:rPr>
        <w:t>, which was commissioned by DG HOME and developed by the contractor based on desk research and the following stakeholder consultation methods: scoping interviews, questionnaire and online survey, semi-structured interviews</w:t>
      </w:r>
      <w:r>
        <w:rPr>
          <w:rFonts w:ascii="Times New Roman" w:hAnsi="Times New Roman" w:cs="Times New Roman"/>
          <w:noProof/>
          <w:sz w:val="24"/>
          <w:szCs w:val="24"/>
        </w:rPr>
        <w:t>, case-studies</w:t>
      </w:r>
      <w:r w:rsidRPr="00365433">
        <w:rPr>
          <w:rFonts w:ascii="Times New Roman" w:hAnsi="Times New Roman" w:cs="Times New Roman"/>
          <w:noProof/>
          <w:sz w:val="24"/>
          <w:szCs w:val="24"/>
        </w:rPr>
        <w:t xml:space="preserve"> and </w:t>
      </w:r>
      <w:r>
        <w:rPr>
          <w:rFonts w:ascii="Times New Roman" w:hAnsi="Times New Roman" w:cs="Times New Roman"/>
          <w:noProof/>
          <w:sz w:val="24"/>
          <w:szCs w:val="24"/>
        </w:rPr>
        <w:t xml:space="preserve">two </w:t>
      </w:r>
      <w:r w:rsidRPr="00365433">
        <w:rPr>
          <w:rFonts w:ascii="Times New Roman" w:hAnsi="Times New Roman" w:cs="Times New Roman"/>
          <w:noProof/>
          <w:sz w:val="24"/>
          <w:szCs w:val="24"/>
        </w:rPr>
        <w:t>online workshop</w:t>
      </w:r>
      <w:r>
        <w:rPr>
          <w:rFonts w:ascii="Times New Roman" w:hAnsi="Times New Roman" w:cs="Times New Roman"/>
          <w:noProof/>
          <w:sz w:val="24"/>
          <w:szCs w:val="24"/>
        </w:rPr>
        <w:t>s</w:t>
      </w:r>
      <w:r w:rsidRPr="00365433">
        <w:rPr>
          <w:rFonts w:ascii="Times New Roman" w:hAnsi="Times New Roman" w:cs="Times New Roman"/>
          <w:noProof/>
          <w:sz w:val="24"/>
          <w:szCs w:val="24"/>
        </w:rPr>
        <w:t>.</w:t>
      </w:r>
    </w:p>
    <w:p w14:paraId="52D3C24D" w14:textId="77777777" w:rsidR="00C76702" w:rsidRDefault="00C76702" w:rsidP="00C76702">
      <w:pPr>
        <w:spacing w:after="120" w:line="240" w:lineRule="auto"/>
        <w:jc w:val="both"/>
        <w:rPr>
          <w:rFonts w:ascii="Times New Roman" w:hAnsi="Times New Roman" w:cs="Times New Roman"/>
          <w:noProof/>
          <w:sz w:val="24"/>
          <w:szCs w:val="24"/>
        </w:rPr>
      </w:pPr>
      <w:r w:rsidRPr="00B97D31">
        <w:rPr>
          <w:rFonts w:ascii="Times New Roman" w:hAnsi="Times New Roman" w:cs="Times New Roman"/>
          <w:noProof/>
          <w:sz w:val="24"/>
          <w:szCs w:val="24"/>
        </w:rPr>
        <w:t>The aforementioned diversity of perspectives proved valuable in supporting the Commission to ensure that its proposal address the needs, and took account of the concerns, of a wide range of stakeholders. Moreover, it allowed the Com</w:t>
      </w:r>
      <w:r>
        <w:rPr>
          <w:rFonts w:ascii="Times New Roman" w:hAnsi="Times New Roman" w:cs="Times New Roman"/>
          <w:noProof/>
          <w:sz w:val="24"/>
          <w:szCs w:val="24"/>
        </w:rPr>
        <w:t xml:space="preserve">mission to gather necessary </w:t>
      </w:r>
      <w:r w:rsidRPr="00B97D31">
        <w:rPr>
          <w:rFonts w:ascii="Times New Roman" w:hAnsi="Times New Roman" w:cs="Times New Roman"/>
          <w:noProof/>
          <w:sz w:val="24"/>
          <w:szCs w:val="24"/>
        </w:rPr>
        <w:t xml:space="preserve">data, facts and views on the relevance, effectiveness, efficiency, coherence and EU added value of the proposal. </w:t>
      </w:r>
    </w:p>
    <w:p w14:paraId="20D1EADA" w14:textId="77777777" w:rsidR="00C76702" w:rsidRDefault="00C76702" w:rsidP="00C76702">
      <w:pPr>
        <w:spacing w:after="120" w:line="240" w:lineRule="auto"/>
        <w:jc w:val="both"/>
        <w:rPr>
          <w:noProof/>
          <w:szCs w:val="24"/>
        </w:rPr>
      </w:pPr>
      <w:r w:rsidRPr="00B97D31">
        <w:rPr>
          <w:rFonts w:ascii="Times New Roman" w:hAnsi="Times New Roman" w:cs="Times New Roman"/>
          <w:noProof/>
          <w:sz w:val="24"/>
          <w:szCs w:val="24"/>
        </w:rPr>
        <w:t>Taking into consideration the Covid-19 pandemic and the related restrictions and inability to interact with relevant stakeholders in physical settings, the consultation activities focused on applicable alternatives such as online surveys, semi-structured phone interviews, as well as meetings via video conference.</w:t>
      </w:r>
    </w:p>
    <w:p w14:paraId="302B6FBC" w14:textId="77777777" w:rsidR="00C76702" w:rsidRDefault="00C76702" w:rsidP="00C76702">
      <w:pPr>
        <w:spacing w:after="120" w:line="240" w:lineRule="auto"/>
        <w:jc w:val="both"/>
        <w:rPr>
          <w:rFonts w:ascii="Times New Roman" w:hAnsi="Times New Roman" w:cs="Times New Roman"/>
          <w:noProof/>
          <w:sz w:val="24"/>
          <w:szCs w:val="24"/>
        </w:rPr>
      </w:pPr>
      <w:r w:rsidRPr="0002133C">
        <w:rPr>
          <w:rFonts w:ascii="Times New Roman" w:hAnsi="Times New Roman" w:cs="Times New Roman"/>
          <w:noProof/>
          <w:sz w:val="24"/>
          <w:szCs w:val="24"/>
        </w:rPr>
        <w:t>A public consultation as part of our consultation strategy for the new legislative proposal was carried out</w:t>
      </w:r>
      <w:r>
        <w:rPr>
          <w:rFonts w:ascii="Times New Roman" w:hAnsi="Times New Roman" w:cs="Times New Roman"/>
          <w:noProof/>
          <w:sz w:val="24"/>
          <w:szCs w:val="24"/>
        </w:rPr>
        <w:t>.</w:t>
      </w:r>
    </w:p>
    <w:p w14:paraId="0D6A3E2A" w14:textId="77777777" w:rsidR="000B0FC1" w:rsidRDefault="000B0FC1" w:rsidP="00C76702">
      <w:pPr>
        <w:spacing w:after="120" w:line="240" w:lineRule="auto"/>
        <w:jc w:val="both"/>
        <w:rPr>
          <w:rFonts w:ascii="Times New Roman" w:hAnsi="Times New Roman" w:cs="Times New Roman"/>
          <w:noProof/>
          <w:sz w:val="24"/>
          <w:szCs w:val="24"/>
        </w:rPr>
      </w:pPr>
    </w:p>
    <w:p w14:paraId="3FDF93F2" w14:textId="77777777" w:rsidR="002D38E7" w:rsidRDefault="002D38E7" w:rsidP="00C76702">
      <w:pPr>
        <w:spacing w:after="120" w:line="240" w:lineRule="auto"/>
        <w:jc w:val="both"/>
        <w:rPr>
          <w:rFonts w:ascii="Times New Roman" w:hAnsi="Times New Roman" w:cs="Times New Roman"/>
          <w:noProof/>
          <w:sz w:val="24"/>
          <w:szCs w:val="24"/>
        </w:rPr>
      </w:pPr>
    </w:p>
    <w:p w14:paraId="7F3B77B6" w14:textId="77777777" w:rsidR="009117A9" w:rsidRDefault="009117A9" w:rsidP="00C76702">
      <w:pPr>
        <w:spacing w:after="120" w:line="240" w:lineRule="auto"/>
        <w:jc w:val="both"/>
        <w:rPr>
          <w:rFonts w:ascii="Times New Roman" w:hAnsi="Times New Roman" w:cs="Times New Roman"/>
          <w:noProof/>
          <w:sz w:val="24"/>
          <w:szCs w:val="24"/>
        </w:rPr>
      </w:pPr>
    </w:p>
    <w:p w14:paraId="276C884A" w14:textId="77777777" w:rsidR="00C76702" w:rsidRPr="005478FC" w:rsidRDefault="00C76702" w:rsidP="00900BC7">
      <w:pPr>
        <w:pStyle w:val="ListParagraph"/>
        <w:numPr>
          <w:ilvl w:val="0"/>
          <w:numId w:val="40"/>
        </w:numPr>
        <w:rPr>
          <w:rFonts w:ascii="Times New Roman" w:hAnsi="Times New Roman" w:cs="Times New Roman"/>
          <w:b/>
          <w:smallCaps/>
          <w:noProof/>
          <w:sz w:val="24"/>
          <w:szCs w:val="24"/>
        </w:rPr>
      </w:pPr>
      <w:bookmarkStart w:id="142" w:name="_Toc75192682"/>
      <w:r w:rsidRPr="005478FC">
        <w:rPr>
          <w:rFonts w:ascii="Times New Roman" w:hAnsi="Times New Roman" w:cs="Times New Roman"/>
          <w:b/>
          <w:smallCaps/>
          <w:noProof/>
          <w:sz w:val="24"/>
          <w:szCs w:val="24"/>
        </w:rPr>
        <w:t>Consultation activities</w:t>
      </w:r>
      <w:bookmarkEnd w:id="142"/>
      <w:r w:rsidRPr="005478FC">
        <w:rPr>
          <w:rFonts w:ascii="Times New Roman" w:hAnsi="Times New Roman" w:cs="Times New Roman"/>
          <w:b/>
          <w:smallCaps/>
          <w:noProof/>
          <w:sz w:val="24"/>
          <w:szCs w:val="24"/>
        </w:rPr>
        <w:t xml:space="preserve"> </w:t>
      </w:r>
      <w:r w:rsidR="00E5110A">
        <w:rPr>
          <w:rFonts w:ascii="Times New Roman" w:hAnsi="Times New Roman" w:cs="Times New Roman"/>
          <w:b/>
          <w:smallCaps/>
          <w:noProof/>
          <w:sz w:val="24"/>
          <w:szCs w:val="24"/>
        </w:rPr>
        <w:t>(</w:t>
      </w:r>
      <w:r w:rsidR="00E5110A" w:rsidRPr="00A615EE">
        <w:rPr>
          <w:rFonts w:ascii="Times New Roman" w:hAnsi="Times New Roman" w:cs="Times New Roman"/>
          <w:b/>
          <w:smallCaps/>
          <w:noProof/>
          <w:sz w:val="24"/>
          <w:szCs w:val="24"/>
          <w:u w:val="single"/>
        </w:rPr>
        <w:t>summary</w:t>
      </w:r>
      <w:r w:rsidR="00E5110A">
        <w:rPr>
          <w:rFonts w:ascii="Times New Roman" w:hAnsi="Times New Roman" w:cs="Times New Roman"/>
          <w:b/>
          <w:smallCaps/>
          <w:noProof/>
          <w:sz w:val="24"/>
          <w:szCs w:val="24"/>
        </w:rPr>
        <w:t>)</w:t>
      </w:r>
    </w:p>
    <w:p w14:paraId="09B54C70" w14:textId="77777777" w:rsidR="00C76702" w:rsidRPr="0002133C" w:rsidRDefault="00C76702" w:rsidP="00C76702">
      <w:pPr>
        <w:spacing w:after="120" w:line="240" w:lineRule="auto"/>
        <w:jc w:val="both"/>
        <w:rPr>
          <w:rFonts w:ascii="Times New Roman" w:hAnsi="Times New Roman" w:cs="Times New Roman"/>
          <w:b/>
          <w:smallCaps/>
          <w:noProof/>
          <w:sz w:val="24"/>
          <w:szCs w:val="24"/>
        </w:rPr>
      </w:pPr>
      <w:r>
        <w:rPr>
          <w:rFonts w:ascii="Times New Roman Bold" w:hAnsi="Times New Roman Bold" w:cs="Times New Roman"/>
          <w:b/>
          <w:smallCaps/>
          <w:noProof/>
          <w:sz w:val="24"/>
          <w:szCs w:val="24"/>
        </w:rPr>
        <w:t xml:space="preserve">2.1. </w:t>
      </w:r>
      <w:r w:rsidRPr="0002133C">
        <w:rPr>
          <w:rFonts w:ascii="Times New Roman" w:hAnsi="Times New Roman" w:cs="Times New Roman"/>
          <w:b/>
          <w:noProof/>
          <w:sz w:val="24"/>
          <w:szCs w:val="24"/>
        </w:rPr>
        <w:t>Feedback on the Inception Impact Assessment</w:t>
      </w:r>
    </w:p>
    <w:p w14:paraId="0B421818" w14:textId="77777777" w:rsidR="00C76702" w:rsidRDefault="00C76702" w:rsidP="00C76702">
      <w:pPr>
        <w:spacing w:after="120" w:line="240" w:lineRule="auto"/>
        <w:jc w:val="both"/>
        <w:rPr>
          <w:rFonts w:ascii="Times New Roman" w:hAnsi="Times New Roman" w:cs="Times New Roman"/>
          <w:noProof/>
          <w:sz w:val="24"/>
          <w:szCs w:val="24"/>
        </w:rPr>
      </w:pPr>
      <w:r w:rsidRPr="005C225C">
        <w:rPr>
          <w:rFonts w:ascii="Times New Roman" w:hAnsi="Times New Roman" w:cs="Times New Roman"/>
          <w:noProof/>
          <w:sz w:val="24"/>
          <w:szCs w:val="24"/>
        </w:rPr>
        <w:t xml:space="preserve">A call for feedback, seeking views from any interested stakeholders, on the basis of the Inception Impact Assessment was organised </w:t>
      </w:r>
      <w:r>
        <w:rPr>
          <w:rFonts w:ascii="Times New Roman" w:hAnsi="Times New Roman" w:cs="Times New Roman"/>
          <w:noProof/>
          <w:sz w:val="24"/>
          <w:szCs w:val="24"/>
        </w:rPr>
        <w:t xml:space="preserve">from 28 September to 16 November 2020. </w:t>
      </w:r>
      <w:r w:rsidRPr="005C225C">
        <w:rPr>
          <w:rFonts w:ascii="Times New Roman" w:hAnsi="Times New Roman" w:cs="Times New Roman"/>
          <w:noProof/>
          <w:sz w:val="24"/>
          <w:szCs w:val="24"/>
        </w:rPr>
        <w:t>The consultation, sought feedback from public authorities, businesses, civil society organisations and the public, was open for response from 4 May 2020 to 09 July 2020. Participants of the consultation were able to provide online comments and submit short position papers, if they wished, to provide more background on their views</w:t>
      </w:r>
      <w:r>
        <w:rPr>
          <w:rFonts w:ascii="Times New Roman" w:hAnsi="Times New Roman" w:cs="Times New Roman"/>
          <w:noProof/>
          <w:sz w:val="24"/>
          <w:szCs w:val="24"/>
        </w:rPr>
        <w:t xml:space="preserve">. </w:t>
      </w:r>
      <w:r w:rsidRPr="00BC02CC">
        <w:rPr>
          <w:rFonts w:ascii="Times New Roman" w:hAnsi="Times New Roman" w:cs="Times New Roman"/>
          <w:b/>
          <w:noProof/>
          <w:sz w:val="24"/>
          <w:szCs w:val="24"/>
        </w:rPr>
        <w:t>4 contributions</w:t>
      </w:r>
      <w:r>
        <w:rPr>
          <w:rFonts w:ascii="Times New Roman" w:hAnsi="Times New Roman" w:cs="Times New Roman"/>
          <w:noProof/>
          <w:sz w:val="24"/>
          <w:szCs w:val="24"/>
        </w:rPr>
        <w:t xml:space="preserve"> were received</w:t>
      </w:r>
      <w:r w:rsidR="00F7188D">
        <w:rPr>
          <w:rStyle w:val="FootnoteReference"/>
          <w:rFonts w:ascii="Times New Roman" w:hAnsi="Times New Roman" w:cs="Times New Roman"/>
          <w:noProof/>
          <w:sz w:val="24"/>
          <w:szCs w:val="24"/>
        </w:rPr>
        <w:footnoteReference w:id="130"/>
      </w:r>
      <w:r>
        <w:rPr>
          <w:rFonts w:ascii="Times New Roman" w:hAnsi="Times New Roman" w:cs="Times New Roman"/>
          <w:noProof/>
          <w:sz w:val="24"/>
          <w:szCs w:val="24"/>
        </w:rPr>
        <w:t>. They were integrated as part of the study' findings.</w:t>
      </w:r>
    </w:p>
    <w:p w14:paraId="63A01DF5" w14:textId="77777777" w:rsidR="00C76702" w:rsidRDefault="00C76702" w:rsidP="00C76702">
      <w:pPr>
        <w:spacing w:after="120" w:line="240" w:lineRule="auto"/>
        <w:jc w:val="both"/>
        <w:rPr>
          <w:rFonts w:ascii="Times New Roman" w:hAnsi="Times New Roman" w:cs="Times New Roman"/>
          <w:b/>
          <w:noProof/>
          <w:sz w:val="24"/>
        </w:rPr>
      </w:pPr>
      <w:r>
        <w:rPr>
          <w:rFonts w:ascii="Times New Roman" w:hAnsi="Times New Roman" w:cs="Times New Roman"/>
          <w:b/>
          <w:noProof/>
          <w:sz w:val="24"/>
          <w:szCs w:val="24"/>
        </w:rPr>
        <w:t xml:space="preserve">2.2. </w:t>
      </w:r>
      <w:r w:rsidR="00375795" w:rsidRPr="00704502">
        <w:rPr>
          <w:rFonts w:ascii="Times New Roman" w:hAnsi="Times New Roman" w:cs="Times New Roman"/>
          <w:b/>
          <w:noProof/>
          <w:sz w:val="24"/>
        </w:rPr>
        <w:t>Consultations that took place during the study to support the preparation of an impact assessment on EU policy initiatives facilitating cross-border law enforcement cooperation</w:t>
      </w:r>
      <w:r w:rsidR="00375795" w:rsidRPr="00704502">
        <w:rPr>
          <w:noProof/>
          <w:sz w:val="24"/>
        </w:rPr>
        <w:t xml:space="preserve"> </w:t>
      </w:r>
    </w:p>
    <w:p w14:paraId="10AA3439" w14:textId="77777777" w:rsidR="00C76702" w:rsidRDefault="00C76702" w:rsidP="00C76702">
      <w:pPr>
        <w:spacing w:after="120" w:line="240" w:lineRule="auto"/>
        <w:jc w:val="both"/>
        <w:rPr>
          <w:noProof/>
        </w:rPr>
      </w:pPr>
      <w:r>
        <w:rPr>
          <w:rFonts w:ascii="Times New Roman" w:hAnsi="Times New Roman" w:cs="Times New Roman"/>
          <w:noProof/>
          <w:sz w:val="24"/>
        </w:rPr>
        <w:t>The Commission</w:t>
      </w:r>
      <w:r w:rsidRPr="00A5529E">
        <w:rPr>
          <w:rFonts w:ascii="Times New Roman" w:hAnsi="Times New Roman" w:cs="Times New Roman"/>
          <w:noProof/>
          <w:sz w:val="24"/>
        </w:rPr>
        <w:t xml:space="preserve"> contracted an external consultant to conduct a study</w:t>
      </w:r>
      <w:r>
        <w:rPr>
          <w:rFonts w:ascii="Times New Roman" w:hAnsi="Times New Roman" w:cs="Times New Roman"/>
          <w:noProof/>
          <w:sz w:val="24"/>
        </w:rPr>
        <w:t xml:space="preserve">. It took place from January to August 2021. </w:t>
      </w:r>
      <w:r w:rsidRPr="00A5529E">
        <w:rPr>
          <w:rFonts w:ascii="Times New Roman" w:hAnsi="Times New Roman" w:cs="Times New Roman"/>
          <w:noProof/>
          <w:sz w:val="24"/>
          <w:szCs w:val="24"/>
        </w:rPr>
        <w:t xml:space="preserve">It involved desk research, and stakeholder consultations by way of scoping interviews, targeted questionnaires, a survey, semi-structured interviews, </w:t>
      </w:r>
      <w:r>
        <w:rPr>
          <w:rFonts w:ascii="Times New Roman" w:hAnsi="Times New Roman" w:cs="Times New Roman"/>
          <w:noProof/>
          <w:sz w:val="24"/>
          <w:szCs w:val="24"/>
        </w:rPr>
        <w:t xml:space="preserve">case-studies, a public consultation </w:t>
      </w:r>
      <w:r w:rsidRPr="00A5529E">
        <w:rPr>
          <w:rFonts w:ascii="Times New Roman" w:hAnsi="Times New Roman" w:cs="Times New Roman"/>
          <w:noProof/>
          <w:sz w:val="24"/>
          <w:szCs w:val="24"/>
        </w:rPr>
        <w:t xml:space="preserve">and </w:t>
      </w:r>
      <w:r>
        <w:rPr>
          <w:rFonts w:ascii="Times New Roman" w:hAnsi="Times New Roman" w:cs="Times New Roman"/>
          <w:noProof/>
          <w:sz w:val="24"/>
          <w:szCs w:val="24"/>
        </w:rPr>
        <w:t xml:space="preserve">two </w:t>
      </w:r>
      <w:r w:rsidRPr="00A5529E">
        <w:rPr>
          <w:rFonts w:ascii="Times New Roman" w:hAnsi="Times New Roman" w:cs="Times New Roman"/>
          <w:i/>
          <w:noProof/>
          <w:sz w:val="24"/>
          <w:szCs w:val="24"/>
        </w:rPr>
        <w:t>ad hoc</w:t>
      </w:r>
      <w:r>
        <w:rPr>
          <w:rFonts w:ascii="Times New Roman" w:hAnsi="Times New Roman" w:cs="Times New Roman"/>
          <w:noProof/>
          <w:sz w:val="24"/>
          <w:szCs w:val="24"/>
        </w:rPr>
        <w:t xml:space="preserve"> workshops</w:t>
      </w:r>
      <w:r w:rsidRPr="00A5529E">
        <w:rPr>
          <w:rFonts w:ascii="Times New Roman" w:hAnsi="Times New Roman" w:cs="Times New Roman"/>
          <w:noProof/>
          <w:sz w:val="24"/>
          <w:szCs w:val="24"/>
        </w:rPr>
        <w:t>.</w:t>
      </w:r>
      <w:r>
        <w:rPr>
          <w:noProof/>
        </w:rPr>
        <w:t xml:space="preserve"> </w:t>
      </w:r>
    </w:p>
    <w:p w14:paraId="6CA22314" w14:textId="77777777" w:rsidR="00C76702" w:rsidRDefault="00C76702" w:rsidP="00C76702">
      <w:pPr>
        <w:spacing w:after="120" w:line="240" w:lineRule="auto"/>
        <w:ind w:firstLine="720"/>
        <w:jc w:val="both"/>
        <w:rPr>
          <w:rFonts w:ascii="Times New Roman" w:hAnsi="Times New Roman" w:cs="Times New Roman"/>
          <w:b/>
          <w:noProof/>
          <w:sz w:val="24"/>
          <w:szCs w:val="24"/>
        </w:rPr>
      </w:pPr>
      <w:r w:rsidRPr="00A5529E">
        <w:rPr>
          <w:rFonts w:ascii="Times New Roman" w:hAnsi="Times New Roman" w:cs="Times New Roman"/>
          <w:i/>
          <w:noProof/>
          <w:sz w:val="24"/>
          <w:szCs w:val="24"/>
        </w:rPr>
        <w:t>2.3.1. Feedback on the public consultation</w:t>
      </w:r>
      <w:r w:rsidRPr="0052119A">
        <w:rPr>
          <w:rFonts w:ascii="Times New Roman" w:hAnsi="Times New Roman" w:cs="Times New Roman"/>
          <w:b/>
          <w:noProof/>
          <w:sz w:val="24"/>
          <w:szCs w:val="24"/>
        </w:rPr>
        <w:t xml:space="preserve"> </w:t>
      </w:r>
    </w:p>
    <w:p w14:paraId="2328B532" w14:textId="77777777" w:rsidR="00C76702" w:rsidRDefault="00C76702" w:rsidP="00C7670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w:t>
      </w:r>
      <w:r w:rsidRPr="0002133C">
        <w:rPr>
          <w:rFonts w:ascii="Times New Roman" w:hAnsi="Times New Roman" w:cs="Times New Roman"/>
          <w:noProof/>
          <w:sz w:val="24"/>
          <w:szCs w:val="24"/>
        </w:rPr>
        <w:t xml:space="preserve"> public consultation was carried out</w:t>
      </w:r>
      <w:r>
        <w:rPr>
          <w:rFonts w:ascii="Times New Roman" w:hAnsi="Times New Roman" w:cs="Times New Roman"/>
          <w:noProof/>
          <w:sz w:val="24"/>
          <w:szCs w:val="24"/>
        </w:rPr>
        <w:t xml:space="preserve"> from 19 April to 14 June 2021. </w:t>
      </w:r>
      <w:r w:rsidR="00C926FE" w:rsidRPr="00C926FE">
        <w:rPr>
          <w:rFonts w:ascii="Times New Roman" w:hAnsi="Times New Roman" w:cs="Times New Roman"/>
          <w:b/>
          <w:noProof/>
          <w:sz w:val="24"/>
          <w:szCs w:val="24"/>
        </w:rPr>
        <w:t>20</w:t>
      </w:r>
      <w:r>
        <w:rPr>
          <w:rFonts w:ascii="Times New Roman" w:hAnsi="Times New Roman" w:cs="Times New Roman"/>
          <w:noProof/>
          <w:sz w:val="24"/>
          <w:szCs w:val="24"/>
        </w:rPr>
        <w:t xml:space="preserve"> </w:t>
      </w:r>
      <w:r w:rsidRPr="00C926FE">
        <w:rPr>
          <w:rFonts w:ascii="Times New Roman" w:hAnsi="Times New Roman" w:cs="Times New Roman"/>
          <w:b/>
          <w:noProof/>
          <w:sz w:val="24"/>
          <w:szCs w:val="24"/>
        </w:rPr>
        <w:t>contributions</w:t>
      </w:r>
      <w:r>
        <w:rPr>
          <w:rFonts w:ascii="Times New Roman" w:hAnsi="Times New Roman" w:cs="Times New Roman"/>
          <w:noProof/>
          <w:sz w:val="24"/>
          <w:szCs w:val="24"/>
        </w:rPr>
        <w:t xml:space="preserve"> were received</w:t>
      </w:r>
      <w:r w:rsidR="00F7188D">
        <w:rPr>
          <w:rStyle w:val="FootnoteReference"/>
          <w:rFonts w:ascii="Times New Roman" w:hAnsi="Times New Roman" w:cs="Times New Roman"/>
          <w:noProof/>
          <w:sz w:val="24"/>
          <w:szCs w:val="24"/>
        </w:rPr>
        <w:footnoteReference w:id="131"/>
      </w:r>
      <w:r>
        <w:rPr>
          <w:rFonts w:ascii="Times New Roman" w:hAnsi="Times New Roman" w:cs="Times New Roman"/>
          <w:noProof/>
          <w:sz w:val="24"/>
          <w:szCs w:val="24"/>
        </w:rPr>
        <w:t>. They were integrated as part of the study' findings.</w:t>
      </w:r>
    </w:p>
    <w:p w14:paraId="286320B2" w14:textId="77777777" w:rsidR="00C76702" w:rsidRPr="00A5529E" w:rsidRDefault="00C76702" w:rsidP="00C76702">
      <w:pPr>
        <w:spacing w:after="120" w:line="240" w:lineRule="auto"/>
        <w:ind w:firstLine="720"/>
        <w:jc w:val="both"/>
        <w:rPr>
          <w:rFonts w:ascii="Times New Roman" w:hAnsi="Times New Roman" w:cs="Times New Roman"/>
          <w:i/>
          <w:noProof/>
          <w:sz w:val="24"/>
          <w:szCs w:val="24"/>
        </w:rPr>
      </w:pPr>
      <w:r w:rsidRPr="00A5529E">
        <w:rPr>
          <w:rFonts w:ascii="Times New Roman" w:hAnsi="Times New Roman" w:cs="Times New Roman"/>
          <w:i/>
          <w:noProof/>
          <w:sz w:val="24"/>
          <w:szCs w:val="24"/>
        </w:rPr>
        <w:t>2.3.2. Targeted consultation by way of a questionnaire</w:t>
      </w:r>
    </w:p>
    <w:p w14:paraId="7DEA0C6D" w14:textId="77777777" w:rsidR="00C76702" w:rsidRPr="005C225C" w:rsidRDefault="00C76702" w:rsidP="00C76702">
      <w:pPr>
        <w:spacing w:after="120" w:line="240" w:lineRule="auto"/>
        <w:jc w:val="both"/>
        <w:rPr>
          <w:rFonts w:ascii="Times New Roman" w:hAnsi="Times New Roman" w:cs="Times New Roman"/>
          <w:noProof/>
          <w:sz w:val="24"/>
          <w:szCs w:val="24"/>
        </w:rPr>
      </w:pPr>
      <w:r w:rsidRPr="005C225C">
        <w:rPr>
          <w:rFonts w:ascii="Times New Roman" w:hAnsi="Times New Roman" w:cs="Times New Roman"/>
          <w:noProof/>
          <w:sz w:val="24"/>
          <w:szCs w:val="24"/>
        </w:rPr>
        <w:t>A</w:t>
      </w:r>
      <w:r>
        <w:rPr>
          <w:rFonts w:ascii="Times New Roman" w:hAnsi="Times New Roman" w:cs="Times New Roman"/>
          <w:noProof/>
          <w:sz w:val="24"/>
          <w:szCs w:val="24"/>
        </w:rPr>
        <w:t>n online survey in the form of</w:t>
      </w:r>
      <w:r w:rsidRPr="005C225C">
        <w:rPr>
          <w:rFonts w:ascii="Times New Roman" w:hAnsi="Times New Roman" w:cs="Times New Roman"/>
          <w:noProof/>
          <w:sz w:val="24"/>
          <w:szCs w:val="24"/>
        </w:rPr>
        <w:t xml:space="preserve"> questionnaire</w:t>
      </w:r>
      <w:r>
        <w:rPr>
          <w:rFonts w:ascii="Times New Roman" w:hAnsi="Times New Roman" w:cs="Times New Roman"/>
          <w:noProof/>
          <w:sz w:val="24"/>
          <w:szCs w:val="24"/>
        </w:rPr>
        <w:t>s</w:t>
      </w:r>
      <w:r w:rsidRPr="005C225C">
        <w:rPr>
          <w:rFonts w:ascii="Times New Roman" w:hAnsi="Times New Roman" w:cs="Times New Roman"/>
          <w:noProof/>
          <w:sz w:val="24"/>
          <w:szCs w:val="24"/>
        </w:rPr>
        <w:t xml:space="preserve"> made accessible to targeted stakeholders via the EUSurvey</w:t>
      </w:r>
      <w:r w:rsidRPr="005C225C">
        <w:rPr>
          <w:rStyle w:val="FootnoteReference"/>
          <w:rFonts w:ascii="Times New Roman" w:hAnsi="Times New Roman" w:cs="Times New Roman"/>
          <w:noProof/>
          <w:sz w:val="24"/>
          <w:szCs w:val="24"/>
        </w:rPr>
        <w:footnoteReference w:id="132"/>
      </w:r>
      <w:r w:rsidRPr="005C225C">
        <w:rPr>
          <w:rFonts w:ascii="Times New Roman" w:hAnsi="Times New Roman" w:cs="Times New Roman"/>
          <w:noProof/>
          <w:sz w:val="24"/>
          <w:szCs w:val="24"/>
        </w:rPr>
        <w:t xml:space="preserve"> tool was also held </w:t>
      </w:r>
      <w:r>
        <w:rPr>
          <w:rFonts w:ascii="Times New Roman" w:hAnsi="Times New Roman" w:cs="Times New Roman"/>
          <w:noProof/>
          <w:sz w:val="24"/>
          <w:szCs w:val="24"/>
        </w:rPr>
        <w:t xml:space="preserve">as part of the Study. </w:t>
      </w:r>
      <w:r w:rsidRPr="005C225C">
        <w:rPr>
          <w:rFonts w:ascii="Times New Roman" w:hAnsi="Times New Roman" w:cs="Times New Roman"/>
          <w:noProof/>
          <w:sz w:val="24"/>
          <w:szCs w:val="24"/>
        </w:rPr>
        <w:t xml:space="preserve">The objective of this consultation was to receive feedback, comments and observations on the challenges identified for the </w:t>
      </w:r>
      <w:r>
        <w:rPr>
          <w:rFonts w:ascii="Times New Roman" w:hAnsi="Times New Roman" w:cs="Times New Roman"/>
          <w:noProof/>
          <w:sz w:val="24"/>
          <w:szCs w:val="24"/>
        </w:rPr>
        <w:t>legal proposal</w:t>
      </w:r>
      <w:r w:rsidRPr="005C225C">
        <w:rPr>
          <w:rFonts w:ascii="Times New Roman" w:hAnsi="Times New Roman" w:cs="Times New Roman"/>
          <w:noProof/>
          <w:sz w:val="24"/>
          <w:szCs w:val="24"/>
        </w:rPr>
        <w:t>. The questionnaire</w:t>
      </w:r>
      <w:r>
        <w:rPr>
          <w:rFonts w:ascii="Times New Roman" w:hAnsi="Times New Roman" w:cs="Times New Roman"/>
          <w:noProof/>
          <w:sz w:val="24"/>
          <w:szCs w:val="24"/>
        </w:rPr>
        <w:t>s were tailored to different stakeholders.</w:t>
      </w:r>
    </w:p>
    <w:p w14:paraId="68A1135B" w14:textId="77777777" w:rsidR="00C76702" w:rsidRDefault="00C926FE" w:rsidP="00C76702">
      <w:pPr>
        <w:spacing w:after="120" w:line="240" w:lineRule="auto"/>
        <w:jc w:val="both"/>
        <w:rPr>
          <w:rFonts w:ascii="Times New Roman" w:hAnsi="Times New Roman" w:cs="Times New Roman"/>
          <w:noProof/>
          <w:sz w:val="24"/>
          <w:szCs w:val="24"/>
        </w:rPr>
      </w:pPr>
      <w:r w:rsidRPr="00C926FE">
        <w:rPr>
          <w:rFonts w:ascii="Times New Roman" w:hAnsi="Times New Roman" w:cs="Times New Roman"/>
          <w:b/>
          <w:noProof/>
          <w:sz w:val="24"/>
          <w:szCs w:val="24"/>
        </w:rPr>
        <w:t>2</w:t>
      </w:r>
      <w:r w:rsidR="006A538A">
        <w:rPr>
          <w:rFonts w:ascii="Times New Roman" w:hAnsi="Times New Roman" w:cs="Times New Roman"/>
          <w:b/>
          <w:noProof/>
          <w:sz w:val="24"/>
          <w:szCs w:val="24"/>
        </w:rPr>
        <w:t>39</w:t>
      </w:r>
      <w:r w:rsidR="00C76702" w:rsidRPr="00C926FE">
        <w:rPr>
          <w:rFonts w:ascii="Times New Roman" w:hAnsi="Times New Roman" w:cs="Times New Roman"/>
          <w:b/>
          <w:noProof/>
          <w:sz w:val="24"/>
          <w:szCs w:val="24"/>
        </w:rPr>
        <w:t xml:space="preserve"> contributions</w:t>
      </w:r>
      <w:r w:rsidR="00C76702">
        <w:rPr>
          <w:rFonts w:ascii="Times New Roman" w:hAnsi="Times New Roman" w:cs="Times New Roman"/>
          <w:noProof/>
          <w:sz w:val="24"/>
          <w:szCs w:val="24"/>
        </w:rPr>
        <w:t xml:space="preserve"> were received. They served as foundation for the study' findings.</w:t>
      </w:r>
    </w:p>
    <w:p w14:paraId="06707D4D" w14:textId="77777777" w:rsidR="00C76702" w:rsidRPr="00A5529E" w:rsidRDefault="00C76702" w:rsidP="00C76702">
      <w:pPr>
        <w:spacing w:after="120" w:line="240" w:lineRule="auto"/>
        <w:ind w:firstLine="720"/>
        <w:jc w:val="both"/>
        <w:rPr>
          <w:rFonts w:ascii="Times New Roman" w:hAnsi="Times New Roman" w:cs="Times New Roman"/>
          <w:i/>
          <w:noProof/>
          <w:sz w:val="24"/>
          <w:szCs w:val="24"/>
        </w:rPr>
      </w:pPr>
      <w:r w:rsidRPr="00A5529E">
        <w:rPr>
          <w:rFonts w:ascii="Times New Roman" w:hAnsi="Times New Roman" w:cs="Times New Roman"/>
          <w:i/>
          <w:noProof/>
          <w:sz w:val="24"/>
          <w:szCs w:val="24"/>
        </w:rPr>
        <w:t xml:space="preserve">2.3.3. </w:t>
      </w:r>
      <w:r w:rsidR="00375795">
        <w:rPr>
          <w:rFonts w:ascii="Times New Roman" w:hAnsi="Times New Roman" w:cs="Times New Roman"/>
          <w:i/>
          <w:noProof/>
          <w:sz w:val="24"/>
          <w:szCs w:val="24"/>
        </w:rPr>
        <w:t xml:space="preserve">Member State experts' </w:t>
      </w:r>
      <w:r w:rsidRPr="00A5529E">
        <w:rPr>
          <w:rFonts w:ascii="Times New Roman" w:hAnsi="Times New Roman" w:cs="Times New Roman"/>
          <w:i/>
          <w:noProof/>
          <w:sz w:val="24"/>
          <w:szCs w:val="24"/>
        </w:rPr>
        <w:t>consultation</w:t>
      </w:r>
      <w:r w:rsidR="00CB2B3A">
        <w:rPr>
          <w:rFonts w:ascii="Times New Roman" w:hAnsi="Times New Roman" w:cs="Times New Roman"/>
          <w:i/>
          <w:noProof/>
          <w:sz w:val="24"/>
          <w:szCs w:val="24"/>
        </w:rPr>
        <w:t xml:space="preserve"> by way of meetings</w:t>
      </w:r>
    </w:p>
    <w:p w14:paraId="2483B463" w14:textId="77777777" w:rsidR="00C76702" w:rsidRDefault="00C76702" w:rsidP="00C76702">
      <w:pPr>
        <w:spacing w:after="120" w:line="240" w:lineRule="auto"/>
        <w:jc w:val="both"/>
        <w:rPr>
          <w:rFonts w:ascii="Times New Roman" w:hAnsi="Times New Roman" w:cs="Times New Roman"/>
          <w:noProof/>
          <w:sz w:val="24"/>
          <w:szCs w:val="24"/>
        </w:rPr>
      </w:pPr>
      <w:r w:rsidRPr="006F3FF7">
        <w:rPr>
          <w:rFonts w:ascii="Times New Roman" w:hAnsi="Times New Roman" w:cs="Times New Roman"/>
          <w:noProof/>
          <w:sz w:val="24"/>
          <w:szCs w:val="24"/>
        </w:rPr>
        <w:t>In the course of th</w:t>
      </w:r>
      <w:r>
        <w:rPr>
          <w:rFonts w:ascii="Times New Roman" w:hAnsi="Times New Roman" w:cs="Times New Roman"/>
          <w:noProof/>
          <w:sz w:val="24"/>
          <w:szCs w:val="24"/>
        </w:rPr>
        <w:t xml:space="preserve">e consultation undertaken as part of the Study, the contractor organised two workshops held on 24 March and 25 May 2021 </w:t>
      </w:r>
      <w:r w:rsidRPr="006F3FF7">
        <w:rPr>
          <w:rFonts w:ascii="Times New Roman" w:hAnsi="Times New Roman" w:cs="Times New Roman"/>
          <w:noProof/>
          <w:sz w:val="24"/>
          <w:szCs w:val="24"/>
        </w:rPr>
        <w:t>to which representatives of the Member States, Counci</w:t>
      </w:r>
      <w:r>
        <w:rPr>
          <w:rFonts w:ascii="Times New Roman" w:hAnsi="Times New Roman" w:cs="Times New Roman"/>
          <w:noProof/>
          <w:sz w:val="24"/>
          <w:szCs w:val="24"/>
        </w:rPr>
        <w:t>l Secretariat and Co</w:t>
      </w:r>
      <w:r w:rsidRPr="006F3FF7">
        <w:rPr>
          <w:rFonts w:ascii="Times New Roman" w:hAnsi="Times New Roman" w:cs="Times New Roman"/>
          <w:noProof/>
          <w:sz w:val="24"/>
          <w:szCs w:val="24"/>
        </w:rPr>
        <w:t>mmission were invited</w:t>
      </w:r>
      <w:r w:rsidR="00C83EDA">
        <w:rPr>
          <w:rStyle w:val="FootnoteReference"/>
          <w:rFonts w:ascii="Times New Roman" w:hAnsi="Times New Roman" w:cs="Times New Roman"/>
          <w:noProof/>
          <w:sz w:val="24"/>
          <w:szCs w:val="24"/>
        </w:rPr>
        <w:footnoteReference w:id="133"/>
      </w:r>
      <w:r w:rsidRPr="006F3FF7">
        <w:rPr>
          <w:rFonts w:ascii="Times New Roman" w:hAnsi="Times New Roman" w:cs="Times New Roman"/>
          <w:noProof/>
          <w:sz w:val="24"/>
          <w:szCs w:val="24"/>
        </w:rPr>
        <w:t>.</w:t>
      </w:r>
    </w:p>
    <w:p w14:paraId="410B13D5" w14:textId="77777777" w:rsidR="00C76702" w:rsidRPr="00A5529E" w:rsidRDefault="00C76702" w:rsidP="00C76702">
      <w:pPr>
        <w:spacing w:after="120" w:line="240" w:lineRule="auto"/>
        <w:jc w:val="both"/>
        <w:rPr>
          <w:rFonts w:ascii="Times New Roman" w:hAnsi="Times New Roman" w:cs="Times New Roman"/>
          <w:noProof/>
          <w:sz w:val="24"/>
          <w:szCs w:val="24"/>
          <w:u w:val="single"/>
        </w:rPr>
      </w:pPr>
      <w:r w:rsidRPr="00A5529E">
        <w:rPr>
          <w:rFonts w:ascii="Times New Roman" w:hAnsi="Times New Roman" w:cs="Times New Roman"/>
          <w:noProof/>
          <w:sz w:val="24"/>
          <w:szCs w:val="24"/>
          <w:u w:val="single"/>
        </w:rPr>
        <w:t>Ad hoc workshop of 24 March 2021</w:t>
      </w:r>
    </w:p>
    <w:p w14:paraId="610499A2" w14:textId="77777777" w:rsidR="00C76702" w:rsidRDefault="00C76702" w:rsidP="00C7670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24 March 2021, the contractor organised an ad hoc workshop. </w:t>
      </w:r>
      <w:r w:rsidRPr="00DE5182">
        <w:rPr>
          <w:rFonts w:ascii="Times New Roman" w:hAnsi="Times New Roman" w:cs="Times New Roman"/>
          <w:noProof/>
          <w:sz w:val="24"/>
          <w:szCs w:val="24"/>
        </w:rPr>
        <w:t>The objective was to have an exchange of views</w:t>
      </w:r>
      <w:r>
        <w:rPr>
          <w:rFonts w:ascii="Times New Roman" w:hAnsi="Times New Roman" w:cs="Times New Roman"/>
          <w:noProof/>
          <w:sz w:val="24"/>
          <w:szCs w:val="24"/>
        </w:rPr>
        <w:t xml:space="preserve"> with and between Member States and Schengen associated countries on their current challenges when engaging in cross-border law enforcement cooperation. </w:t>
      </w:r>
    </w:p>
    <w:p w14:paraId="0886D218" w14:textId="77777777" w:rsidR="00C76702" w:rsidRPr="00DE5182" w:rsidRDefault="00C76702" w:rsidP="00C7670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27 Member States, 3</w:t>
      </w:r>
      <w:r w:rsidRPr="00DE5182">
        <w:rPr>
          <w:rFonts w:ascii="Times New Roman" w:hAnsi="Times New Roman" w:cs="Times New Roman"/>
          <w:noProof/>
          <w:sz w:val="24"/>
          <w:szCs w:val="24"/>
        </w:rPr>
        <w:t xml:space="preserve"> Schengen associated countries, the European Anti-Fraud Office (OLAF) and Commission Directorate-Generals participated in the workshop.</w:t>
      </w:r>
    </w:p>
    <w:p w14:paraId="373687F5" w14:textId="77777777" w:rsidR="00C76702" w:rsidRPr="00A5529E" w:rsidRDefault="00C76702" w:rsidP="00C76702">
      <w:pPr>
        <w:spacing w:after="120" w:line="240" w:lineRule="auto"/>
        <w:jc w:val="both"/>
        <w:rPr>
          <w:rFonts w:ascii="Times New Roman" w:hAnsi="Times New Roman" w:cs="Times New Roman"/>
          <w:noProof/>
          <w:sz w:val="24"/>
          <w:szCs w:val="24"/>
          <w:u w:val="single"/>
        </w:rPr>
      </w:pPr>
      <w:r w:rsidRPr="00A5529E">
        <w:rPr>
          <w:rFonts w:ascii="Times New Roman" w:hAnsi="Times New Roman" w:cs="Times New Roman"/>
          <w:noProof/>
          <w:sz w:val="24"/>
          <w:szCs w:val="24"/>
          <w:u w:val="single"/>
        </w:rPr>
        <w:t>Ad hoc workshop of 25 May 2021</w:t>
      </w:r>
    </w:p>
    <w:p w14:paraId="420AA668" w14:textId="77777777" w:rsidR="00C76702" w:rsidRDefault="00C76702" w:rsidP="00C76702">
      <w:pPr>
        <w:spacing w:after="120" w:line="240" w:lineRule="auto"/>
        <w:jc w:val="both"/>
        <w:rPr>
          <w:rFonts w:ascii="Times New Roman" w:hAnsi="Times New Roman" w:cs="Times New Roman"/>
          <w:noProof/>
          <w:sz w:val="24"/>
          <w:szCs w:val="24"/>
        </w:rPr>
      </w:pPr>
      <w:r w:rsidRPr="00DE5182">
        <w:rPr>
          <w:rFonts w:ascii="Times New Roman" w:hAnsi="Times New Roman" w:cs="Times New Roman"/>
          <w:noProof/>
          <w:sz w:val="24"/>
          <w:szCs w:val="24"/>
        </w:rPr>
        <w:t xml:space="preserve">On 25 May 2021, </w:t>
      </w:r>
      <w:r>
        <w:rPr>
          <w:rFonts w:ascii="Times New Roman" w:hAnsi="Times New Roman" w:cs="Times New Roman"/>
          <w:noProof/>
          <w:sz w:val="24"/>
          <w:szCs w:val="24"/>
        </w:rPr>
        <w:t xml:space="preserve">the contractor organised an ad hoc workshop. </w:t>
      </w:r>
      <w:r w:rsidRPr="00DE5182">
        <w:rPr>
          <w:rFonts w:ascii="Times New Roman" w:hAnsi="Times New Roman" w:cs="Times New Roman"/>
          <w:noProof/>
          <w:sz w:val="24"/>
          <w:szCs w:val="24"/>
        </w:rPr>
        <w:t>The objective was to have an exchange of views</w:t>
      </w:r>
      <w:r>
        <w:rPr>
          <w:rFonts w:ascii="Times New Roman" w:hAnsi="Times New Roman" w:cs="Times New Roman"/>
          <w:noProof/>
          <w:sz w:val="24"/>
          <w:szCs w:val="24"/>
        </w:rPr>
        <w:t xml:space="preserve"> with and between Member States and Schengen associated countries on possible options addressing identified challenges and their respective impacts.</w:t>
      </w:r>
    </w:p>
    <w:p w14:paraId="2D9ECCE8" w14:textId="77777777" w:rsidR="00C76702" w:rsidRPr="00A5529E" w:rsidRDefault="00C76702" w:rsidP="00C76702">
      <w:pPr>
        <w:spacing w:after="120" w:line="240" w:lineRule="auto"/>
        <w:jc w:val="both"/>
        <w:rPr>
          <w:rFonts w:ascii="Times New Roman" w:hAnsi="Times New Roman" w:cs="Times New Roman"/>
          <w:noProof/>
          <w:sz w:val="24"/>
          <w:szCs w:val="24"/>
          <w:u w:val="single"/>
        </w:rPr>
      </w:pPr>
      <w:r w:rsidRPr="00A5529E">
        <w:rPr>
          <w:rFonts w:ascii="Times New Roman" w:hAnsi="Times New Roman" w:cs="Times New Roman"/>
          <w:noProof/>
          <w:sz w:val="24"/>
          <w:szCs w:val="24"/>
          <w:u w:val="single"/>
        </w:rPr>
        <w:t>Council working groups</w:t>
      </w:r>
    </w:p>
    <w:p w14:paraId="4027B40D" w14:textId="77777777" w:rsidR="00C76702" w:rsidRDefault="00C76702" w:rsidP="00C76702">
      <w:pPr>
        <w:spacing w:after="120" w:line="240" w:lineRule="auto"/>
        <w:jc w:val="both"/>
        <w:rPr>
          <w:rFonts w:ascii="Times New Roman" w:hAnsi="Times New Roman" w:cs="Times New Roman"/>
          <w:noProof/>
          <w:sz w:val="24"/>
          <w:szCs w:val="24"/>
        </w:rPr>
      </w:pPr>
      <w:r w:rsidRPr="00294EED">
        <w:rPr>
          <w:rFonts w:ascii="Times New Roman" w:hAnsi="Times New Roman" w:cs="Times New Roman"/>
          <w:noProof/>
          <w:sz w:val="24"/>
          <w:szCs w:val="24"/>
        </w:rPr>
        <w:t>The Commission also made use of the Law Enforcement Working Party (LEWP)</w:t>
      </w:r>
      <w:r w:rsidRPr="00294EED">
        <w:rPr>
          <w:rStyle w:val="FootnoteReference"/>
          <w:rFonts w:ascii="Times New Roman" w:hAnsi="Times New Roman" w:cs="Times New Roman"/>
          <w:noProof/>
          <w:sz w:val="24"/>
          <w:szCs w:val="24"/>
        </w:rPr>
        <w:footnoteReference w:id="134"/>
      </w:r>
      <w:r>
        <w:rPr>
          <w:rFonts w:ascii="Times New Roman" w:hAnsi="Times New Roman" w:cs="Times New Roman"/>
          <w:noProof/>
          <w:sz w:val="24"/>
          <w:szCs w:val="24"/>
        </w:rPr>
        <w:t xml:space="preserve"> meetings of 22 February and 16 March 2021 </w:t>
      </w:r>
      <w:r w:rsidRPr="00294EED">
        <w:rPr>
          <w:rFonts w:ascii="Times New Roman" w:hAnsi="Times New Roman" w:cs="Times New Roman"/>
          <w:noProof/>
          <w:sz w:val="24"/>
          <w:szCs w:val="24"/>
        </w:rPr>
        <w:t xml:space="preserve">to brief Member States on its preparatory work and relevant technical deliberations, in the context of strengthening </w:t>
      </w:r>
      <w:r>
        <w:rPr>
          <w:rFonts w:ascii="Times New Roman" w:hAnsi="Times New Roman" w:cs="Times New Roman"/>
          <w:noProof/>
          <w:sz w:val="24"/>
          <w:szCs w:val="24"/>
        </w:rPr>
        <w:t>law enforcement cooperation</w:t>
      </w:r>
      <w:r w:rsidRPr="00294EED">
        <w:rPr>
          <w:rFonts w:ascii="Times New Roman" w:hAnsi="Times New Roman" w:cs="Times New Roman"/>
          <w:noProof/>
          <w:sz w:val="24"/>
          <w:szCs w:val="24"/>
        </w:rPr>
        <w:t>, and explore Member States</w:t>
      </w:r>
      <w:r>
        <w:rPr>
          <w:rFonts w:ascii="Times New Roman" w:hAnsi="Times New Roman" w:cs="Times New Roman"/>
          <w:noProof/>
          <w:sz w:val="24"/>
          <w:szCs w:val="24"/>
        </w:rPr>
        <w:t>'</w:t>
      </w:r>
      <w:r w:rsidRPr="00294EED">
        <w:rPr>
          <w:rFonts w:ascii="Times New Roman" w:hAnsi="Times New Roman" w:cs="Times New Roman"/>
          <w:noProof/>
          <w:sz w:val="24"/>
          <w:szCs w:val="24"/>
        </w:rPr>
        <w:t xml:space="preserve"> views on the problems and potential solutions</w:t>
      </w:r>
      <w:r>
        <w:rPr>
          <w:rFonts w:ascii="Times New Roman" w:hAnsi="Times New Roman" w:cs="Times New Roman"/>
          <w:noProof/>
          <w:sz w:val="24"/>
          <w:szCs w:val="24"/>
        </w:rPr>
        <w:t>. The same was done at the Customs Cooperation Working Party (CCWP)</w:t>
      </w:r>
      <w:r>
        <w:rPr>
          <w:rStyle w:val="FootnoteReference"/>
          <w:rFonts w:ascii="Times New Roman" w:hAnsi="Times New Roman" w:cs="Times New Roman"/>
          <w:noProof/>
          <w:sz w:val="24"/>
          <w:szCs w:val="24"/>
        </w:rPr>
        <w:footnoteReference w:id="135"/>
      </w:r>
      <w:r>
        <w:rPr>
          <w:rFonts w:ascii="Times New Roman" w:hAnsi="Times New Roman" w:cs="Times New Roman"/>
          <w:noProof/>
          <w:sz w:val="24"/>
          <w:szCs w:val="24"/>
        </w:rPr>
        <w:t xml:space="preserve"> of 23 March 2021.</w:t>
      </w:r>
    </w:p>
    <w:p w14:paraId="70C3B5C7" w14:textId="77777777" w:rsidR="00C76702" w:rsidRPr="00F80DE4" w:rsidRDefault="00C76702" w:rsidP="00C76702">
      <w:pPr>
        <w:pStyle w:val="Text2"/>
        <w:spacing w:after="120"/>
        <w:ind w:left="0"/>
        <w:rPr>
          <w:noProof/>
          <w:szCs w:val="24"/>
          <w:u w:val="single"/>
        </w:rPr>
      </w:pPr>
      <w:r w:rsidRPr="00F80DE4">
        <w:rPr>
          <w:noProof/>
          <w:szCs w:val="24"/>
          <w:u w:val="single"/>
        </w:rPr>
        <w:t>Head of Single Point Of Contact</w:t>
      </w:r>
      <w:r>
        <w:rPr>
          <w:noProof/>
          <w:szCs w:val="24"/>
          <w:u w:val="single"/>
        </w:rPr>
        <w:t xml:space="preserve"> (SPOC)</w:t>
      </w:r>
      <w:r w:rsidRPr="00F80DE4">
        <w:rPr>
          <w:noProof/>
          <w:szCs w:val="24"/>
          <w:u w:val="single"/>
        </w:rPr>
        <w:t xml:space="preserve"> meeting of 26 May 2021</w:t>
      </w:r>
    </w:p>
    <w:p w14:paraId="1F21961F" w14:textId="77777777" w:rsidR="00C76702" w:rsidRPr="00294EED" w:rsidRDefault="00C76702" w:rsidP="00C7670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26 May 2021, the contractor presented the findings from the questionnaire sent to national Single Point of Contact (SPOC) with a view to gather additional opinions and rationale. </w:t>
      </w:r>
    </w:p>
    <w:p w14:paraId="6688DC6E" w14:textId="77777777" w:rsidR="00C76702" w:rsidRPr="00F54D29" w:rsidRDefault="00C76702" w:rsidP="00C76702">
      <w:pPr>
        <w:spacing w:after="120" w:line="240" w:lineRule="auto"/>
        <w:ind w:firstLine="720"/>
        <w:jc w:val="both"/>
        <w:rPr>
          <w:rFonts w:ascii="Times New Roman" w:hAnsi="Times New Roman" w:cs="Times New Roman"/>
          <w:b/>
          <w:i/>
          <w:noProof/>
          <w:sz w:val="24"/>
          <w:szCs w:val="24"/>
        </w:rPr>
      </w:pPr>
      <w:r w:rsidRPr="00F54D29">
        <w:rPr>
          <w:rFonts w:ascii="Times New Roman" w:hAnsi="Times New Roman" w:cs="Times New Roman"/>
          <w:i/>
          <w:noProof/>
          <w:sz w:val="24"/>
          <w:szCs w:val="24"/>
        </w:rPr>
        <w:t>2.3.4. Semi-structured interviews</w:t>
      </w:r>
    </w:p>
    <w:p w14:paraId="2B7D5881" w14:textId="77777777" w:rsidR="00C76702" w:rsidRDefault="00C76702" w:rsidP="00C76702">
      <w:pPr>
        <w:pStyle w:val="Text2"/>
        <w:spacing w:after="120"/>
        <w:ind w:left="0"/>
        <w:rPr>
          <w:noProof/>
          <w:szCs w:val="24"/>
        </w:rPr>
      </w:pPr>
      <w:r>
        <w:rPr>
          <w:noProof/>
          <w:szCs w:val="24"/>
        </w:rPr>
        <w:t>The consultation conducted as per the Study, included targeted bilateral and multilateral semi-structured interviews with stakeholders on the basis of formalised and open-ended questions allowing for open and in depth discussions. These interviews were conducted from March to June 2020 via teleconferencing. They included in particular relevant EU agencies, services and Commission Directorates-general, national experts and academics.</w:t>
      </w:r>
    </w:p>
    <w:p w14:paraId="02B91FF6" w14:textId="77777777" w:rsidR="00C76702" w:rsidRPr="005478FC" w:rsidRDefault="00C76702" w:rsidP="00900BC7">
      <w:pPr>
        <w:pStyle w:val="ListParagraph"/>
        <w:numPr>
          <w:ilvl w:val="0"/>
          <w:numId w:val="40"/>
        </w:numPr>
        <w:rPr>
          <w:rFonts w:ascii="Times New Roman" w:hAnsi="Times New Roman" w:cs="Times New Roman"/>
          <w:b/>
          <w:smallCaps/>
          <w:noProof/>
          <w:sz w:val="24"/>
          <w:szCs w:val="24"/>
        </w:rPr>
      </w:pPr>
      <w:bookmarkStart w:id="143" w:name="_Toc75192683"/>
      <w:r w:rsidRPr="005478FC">
        <w:rPr>
          <w:rFonts w:ascii="Times New Roman" w:hAnsi="Times New Roman" w:cs="Times New Roman"/>
          <w:b/>
          <w:smallCaps/>
          <w:noProof/>
          <w:sz w:val="24"/>
          <w:szCs w:val="24"/>
        </w:rPr>
        <w:t>Stakeholder participation</w:t>
      </w:r>
      <w:bookmarkEnd w:id="143"/>
    </w:p>
    <w:p w14:paraId="130BE4B4" w14:textId="77777777" w:rsidR="00C76702" w:rsidRPr="00F54D29" w:rsidRDefault="00C76702" w:rsidP="00C76702">
      <w:pPr>
        <w:spacing w:after="120" w:line="240" w:lineRule="auto"/>
        <w:rPr>
          <w:rFonts w:ascii="Times New Roman" w:hAnsi="Times New Roman" w:cs="Times New Roman"/>
          <w:noProof/>
          <w:sz w:val="24"/>
          <w:szCs w:val="24"/>
        </w:rPr>
      </w:pPr>
      <w:r w:rsidRPr="00F54D29">
        <w:rPr>
          <w:rFonts w:ascii="Times New Roman" w:hAnsi="Times New Roman" w:cs="Times New Roman"/>
          <w:noProof/>
          <w:sz w:val="24"/>
          <w:szCs w:val="24"/>
        </w:rPr>
        <w:t>Stakeholders consulted</w:t>
      </w:r>
      <w:r w:rsidR="00456EEE">
        <w:rPr>
          <w:rStyle w:val="FootnoteReference"/>
          <w:rFonts w:ascii="Times New Roman" w:hAnsi="Times New Roman" w:cs="Times New Roman"/>
          <w:noProof/>
          <w:sz w:val="24"/>
          <w:szCs w:val="24"/>
        </w:rPr>
        <w:footnoteReference w:id="136"/>
      </w:r>
      <w:r w:rsidRPr="00F54D29">
        <w:rPr>
          <w:rFonts w:ascii="Times New Roman" w:hAnsi="Times New Roman" w:cs="Times New Roman"/>
          <w:noProof/>
          <w:sz w:val="24"/>
          <w:szCs w:val="24"/>
        </w:rPr>
        <w:t xml:space="preserve"> included: </w:t>
      </w:r>
    </w:p>
    <w:p w14:paraId="378F81DF" w14:textId="77777777" w:rsidR="00C76702" w:rsidRPr="00F54D29" w:rsidRDefault="00C76702" w:rsidP="00E760E4">
      <w:pPr>
        <w:pStyle w:val="ListParagraph"/>
        <w:numPr>
          <w:ilvl w:val="0"/>
          <w:numId w:val="16"/>
        </w:numPr>
        <w:tabs>
          <w:tab w:val="left" w:pos="0"/>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EU institutions,</w:t>
      </w:r>
      <w:r w:rsidRPr="00F54D29">
        <w:rPr>
          <w:rFonts w:ascii="Times New Roman" w:hAnsi="Times New Roman" w:cs="Times New Roman"/>
          <w:noProof/>
          <w:sz w:val="24"/>
          <w:szCs w:val="24"/>
        </w:rPr>
        <w:t xml:space="preserve"> agencies</w:t>
      </w:r>
      <w:r>
        <w:rPr>
          <w:rFonts w:ascii="Times New Roman" w:hAnsi="Times New Roman" w:cs="Times New Roman"/>
          <w:noProof/>
          <w:sz w:val="24"/>
          <w:szCs w:val="24"/>
        </w:rPr>
        <w:t xml:space="preserve"> and bodies</w:t>
      </w:r>
      <w:r w:rsidRPr="00F54D29">
        <w:rPr>
          <w:rFonts w:ascii="Times New Roman" w:hAnsi="Times New Roman" w:cs="Times New Roman"/>
          <w:noProof/>
          <w:sz w:val="24"/>
          <w:szCs w:val="24"/>
        </w:rPr>
        <w:t xml:space="preserve">;  </w:t>
      </w:r>
    </w:p>
    <w:p w14:paraId="177614BE" w14:textId="77777777" w:rsidR="00C76702" w:rsidRPr="00F54D29" w:rsidRDefault="00C76702" w:rsidP="00E760E4">
      <w:pPr>
        <w:pStyle w:val="ListParagraph"/>
        <w:numPr>
          <w:ilvl w:val="0"/>
          <w:numId w:val="16"/>
        </w:numPr>
        <w:tabs>
          <w:tab w:val="left" w:pos="0"/>
        </w:tabs>
        <w:spacing w:line="240" w:lineRule="auto"/>
        <w:jc w:val="both"/>
        <w:rPr>
          <w:rFonts w:ascii="Times New Roman" w:hAnsi="Times New Roman" w:cs="Times New Roman"/>
          <w:noProof/>
          <w:sz w:val="24"/>
          <w:szCs w:val="24"/>
        </w:rPr>
      </w:pPr>
      <w:r w:rsidRPr="00F54D29">
        <w:rPr>
          <w:rFonts w:ascii="Times New Roman" w:hAnsi="Times New Roman" w:cs="Times New Roman"/>
          <w:noProof/>
          <w:sz w:val="24"/>
          <w:szCs w:val="24"/>
        </w:rPr>
        <w:t xml:space="preserve">law enforcement authorities in the Member States (e.g. police, customs);  </w:t>
      </w:r>
    </w:p>
    <w:p w14:paraId="28067080" w14:textId="77777777" w:rsidR="00C76702" w:rsidRPr="00F54D29" w:rsidRDefault="00C76702" w:rsidP="00F2536C">
      <w:pPr>
        <w:pStyle w:val="ListParagraph"/>
        <w:numPr>
          <w:ilvl w:val="0"/>
          <w:numId w:val="16"/>
        </w:numPr>
        <w:tabs>
          <w:tab w:val="left" w:pos="0"/>
        </w:tabs>
        <w:spacing w:line="240" w:lineRule="auto"/>
        <w:jc w:val="both"/>
        <w:rPr>
          <w:rFonts w:ascii="Times New Roman" w:hAnsi="Times New Roman" w:cs="Times New Roman"/>
          <w:noProof/>
          <w:sz w:val="24"/>
          <w:szCs w:val="24"/>
        </w:rPr>
      </w:pPr>
      <w:r w:rsidRPr="00F54D29">
        <w:rPr>
          <w:rFonts w:ascii="Times New Roman" w:hAnsi="Times New Roman" w:cs="Times New Roman"/>
          <w:noProof/>
          <w:sz w:val="24"/>
          <w:szCs w:val="24"/>
        </w:rPr>
        <w:t xml:space="preserve">judicial authorities in the Member States; </w:t>
      </w:r>
    </w:p>
    <w:p w14:paraId="1A16B02D" w14:textId="77777777" w:rsidR="00C76702" w:rsidRPr="00F54D29" w:rsidRDefault="00C76702" w:rsidP="00A21B15">
      <w:pPr>
        <w:pStyle w:val="ListParagraph"/>
        <w:numPr>
          <w:ilvl w:val="0"/>
          <w:numId w:val="16"/>
        </w:numPr>
        <w:tabs>
          <w:tab w:val="left" w:pos="0"/>
        </w:tabs>
        <w:spacing w:line="240" w:lineRule="auto"/>
        <w:jc w:val="both"/>
        <w:rPr>
          <w:rFonts w:ascii="Times New Roman" w:hAnsi="Times New Roman" w:cs="Times New Roman"/>
          <w:noProof/>
          <w:sz w:val="24"/>
          <w:szCs w:val="24"/>
        </w:rPr>
      </w:pPr>
      <w:r w:rsidRPr="00F54D29">
        <w:rPr>
          <w:rFonts w:ascii="Times New Roman" w:hAnsi="Times New Roman" w:cs="Times New Roman"/>
          <w:noProof/>
          <w:sz w:val="24"/>
          <w:szCs w:val="24"/>
        </w:rPr>
        <w:t xml:space="preserve">data protection authorities; </w:t>
      </w:r>
    </w:p>
    <w:p w14:paraId="7371615F" w14:textId="77777777" w:rsidR="00C76702" w:rsidRPr="00F54D29" w:rsidRDefault="00C76702" w:rsidP="00A21B15">
      <w:pPr>
        <w:pStyle w:val="ListParagraph"/>
        <w:numPr>
          <w:ilvl w:val="0"/>
          <w:numId w:val="16"/>
        </w:numPr>
        <w:tabs>
          <w:tab w:val="left" w:pos="0"/>
        </w:tabs>
        <w:spacing w:line="240" w:lineRule="auto"/>
        <w:jc w:val="both"/>
        <w:rPr>
          <w:rFonts w:ascii="Times New Roman" w:hAnsi="Times New Roman" w:cs="Times New Roman"/>
          <w:noProof/>
          <w:sz w:val="24"/>
          <w:szCs w:val="24"/>
        </w:rPr>
      </w:pPr>
      <w:r w:rsidRPr="00F54D29">
        <w:rPr>
          <w:rFonts w:ascii="Times New Roman" w:hAnsi="Times New Roman" w:cs="Times New Roman"/>
          <w:noProof/>
          <w:sz w:val="24"/>
          <w:szCs w:val="24"/>
        </w:rPr>
        <w:t xml:space="preserve">non-governmental organisation, </w:t>
      </w:r>
      <w:r>
        <w:rPr>
          <w:rFonts w:ascii="Times New Roman" w:hAnsi="Times New Roman" w:cs="Times New Roman"/>
          <w:noProof/>
          <w:sz w:val="24"/>
          <w:szCs w:val="24"/>
        </w:rPr>
        <w:t>academias, civil society.</w:t>
      </w:r>
    </w:p>
    <w:p w14:paraId="5FB16E19" w14:textId="77777777" w:rsidR="00C76702" w:rsidRPr="00F54D29" w:rsidRDefault="00C76702" w:rsidP="00DD4232">
      <w:pPr>
        <w:spacing w:after="120" w:line="240" w:lineRule="auto"/>
        <w:jc w:val="both"/>
        <w:rPr>
          <w:rFonts w:ascii="Times New Roman" w:hAnsi="Times New Roman" w:cs="Times New Roman"/>
          <w:noProof/>
          <w:sz w:val="24"/>
          <w:szCs w:val="24"/>
        </w:rPr>
      </w:pPr>
      <w:r w:rsidRPr="00F54D29">
        <w:rPr>
          <w:rFonts w:ascii="Times New Roman" w:hAnsi="Times New Roman" w:cs="Times New Roman"/>
          <w:noProof/>
          <w:sz w:val="24"/>
          <w:szCs w:val="24"/>
        </w:rPr>
        <w:t xml:space="preserve">The feedback on the Inception Impact Assessment included responses from members of the public, and non-governmental associations with an interest in this field. </w:t>
      </w:r>
    </w:p>
    <w:p w14:paraId="34D9A733" w14:textId="77777777" w:rsidR="00C76702" w:rsidRPr="005478FC" w:rsidRDefault="00C76702" w:rsidP="004A4A48">
      <w:pPr>
        <w:pStyle w:val="ListParagraph"/>
        <w:numPr>
          <w:ilvl w:val="0"/>
          <w:numId w:val="40"/>
        </w:numPr>
        <w:spacing w:line="240" w:lineRule="auto"/>
        <w:rPr>
          <w:rFonts w:ascii="Times New Roman" w:hAnsi="Times New Roman" w:cs="Times New Roman"/>
          <w:b/>
          <w:smallCaps/>
          <w:noProof/>
          <w:sz w:val="24"/>
          <w:szCs w:val="24"/>
        </w:rPr>
      </w:pPr>
      <w:bookmarkStart w:id="144" w:name="_Toc75192684"/>
      <w:r w:rsidRPr="005478FC">
        <w:rPr>
          <w:rFonts w:ascii="Times New Roman" w:hAnsi="Times New Roman" w:cs="Times New Roman"/>
          <w:b/>
          <w:smallCaps/>
          <w:noProof/>
          <w:sz w:val="24"/>
          <w:szCs w:val="24"/>
        </w:rPr>
        <w:t>Methodology and tools</w:t>
      </w:r>
      <w:bookmarkEnd w:id="144"/>
    </w:p>
    <w:p w14:paraId="1CF01B82" w14:textId="77777777" w:rsidR="00C76702" w:rsidRDefault="00C76702" w:rsidP="00F2536C">
      <w:pPr>
        <w:spacing w:after="120" w:line="240" w:lineRule="auto"/>
        <w:jc w:val="both"/>
        <w:rPr>
          <w:rFonts w:ascii="Times New Roman" w:hAnsi="Times New Roman" w:cs="Times New Roman"/>
          <w:noProof/>
          <w:sz w:val="24"/>
          <w:szCs w:val="24"/>
        </w:rPr>
      </w:pPr>
      <w:r w:rsidRPr="00F54D29">
        <w:rPr>
          <w:rFonts w:ascii="Times New Roman" w:hAnsi="Times New Roman" w:cs="Times New Roman"/>
          <w:noProof/>
          <w:sz w:val="24"/>
          <w:szCs w:val="24"/>
        </w:rPr>
        <w:t>Given the small number of results in the</w:t>
      </w:r>
      <w:r>
        <w:rPr>
          <w:rFonts w:ascii="Times New Roman" w:hAnsi="Times New Roman" w:cs="Times New Roman"/>
          <w:noProof/>
          <w:sz w:val="24"/>
          <w:szCs w:val="24"/>
        </w:rPr>
        <w:t xml:space="preserve"> public consultation results have been proceed manually. </w:t>
      </w:r>
    </w:p>
    <w:p w14:paraId="425C04BF" w14:textId="77777777" w:rsidR="00C76702" w:rsidRPr="00F54D29" w:rsidRDefault="00C76702" w:rsidP="00A21B15">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Debate and answers to the surveys, interviews, case-studies, and ad hoc workhops </w:t>
      </w:r>
      <w:r w:rsidRPr="00F54D29">
        <w:rPr>
          <w:rFonts w:ascii="Times New Roman" w:hAnsi="Times New Roman" w:cs="Times New Roman"/>
          <w:noProof/>
          <w:sz w:val="24"/>
          <w:szCs w:val="24"/>
        </w:rPr>
        <w:t xml:space="preserve">involved </w:t>
      </w:r>
      <w:r>
        <w:rPr>
          <w:rFonts w:ascii="Times New Roman" w:hAnsi="Times New Roman" w:cs="Times New Roman"/>
          <w:noProof/>
          <w:sz w:val="24"/>
          <w:szCs w:val="24"/>
        </w:rPr>
        <w:t xml:space="preserve">the </w:t>
      </w:r>
      <w:r w:rsidRPr="00F54D29">
        <w:rPr>
          <w:rFonts w:ascii="Times New Roman" w:hAnsi="Times New Roman" w:cs="Times New Roman"/>
          <w:noProof/>
          <w:sz w:val="24"/>
          <w:szCs w:val="24"/>
        </w:rPr>
        <w:t>reading</w:t>
      </w:r>
      <w:r>
        <w:rPr>
          <w:rFonts w:ascii="Times New Roman" w:hAnsi="Times New Roman" w:cs="Times New Roman"/>
          <w:noProof/>
          <w:sz w:val="24"/>
          <w:szCs w:val="24"/>
        </w:rPr>
        <w:t xml:space="preserve"> of </w:t>
      </w:r>
      <w:r w:rsidRPr="00F54D29">
        <w:rPr>
          <w:rFonts w:ascii="Times New Roman" w:hAnsi="Times New Roman" w:cs="Times New Roman"/>
          <w:noProof/>
          <w:sz w:val="24"/>
          <w:szCs w:val="24"/>
        </w:rPr>
        <w:t xml:space="preserve">the consultation responses in full, </w:t>
      </w:r>
      <w:r>
        <w:rPr>
          <w:rFonts w:ascii="Times New Roman" w:hAnsi="Times New Roman" w:cs="Times New Roman"/>
          <w:noProof/>
          <w:sz w:val="24"/>
          <w:szCs w:val="24"/>
        </w:rPr>
        <w:t xml:space="preserve">the drafting of minutes and the </w:t>
      </w:r>
      <w:r w:rsidRPr="00F54D29">
        <w:rPr>
          <w:rFonts w:ascii="Times New Roman" w:hAnsi="Times New Roman" w:cs="Times New Roman"/>
          <w:noProof/>
          <w:sz w:val="24"/>
          <w:szCs w:val="24"/>
        </w:rPr>
        <w:t xml:space="preserve">noting </w:t>
      </w:r>
      <w:r>
        <w:rPr>
          <w:rFonts w:ascii="Times New Roman" w:hAnsi="Times New Roman" w:cs="Times New Roman"/>
          <w:noProof/>
          <w:sz w:val="24"/>
          <w:szCs w:val="24"/>
        </w:rPr>
        <w:t>of</w:t>
      </w:r>
      <w:r w:rsidRPr="00F54D29">
        <w:rPr>
          <w:rFonts w:ascii="Times New Roman" w:hAnsi="Times New Roman" w:cs="Times New Roman"/>
          <w:noProof/>
          <w:sz w:val="24"/>
          <w:szCs w:val="24"/>
        </w:rPr>
        <w:t xml:space="preserve"> any issues and concerns</w:t>
      </w:r>
      <w:r>
        <w:rPr>
          <w:rFonts w:ascii="Times New Roman" w:hAnsi="Times New Roman" w:cs="Times New Roman"/>
          <w:noProof/>
          <w:sz w:val="24"/>
          <w:szCs w:val="24"/>
        </w:rPr>
        <w:t>. They</w:t>
      </w:r>
      <w:r w:rsidRPr="00F54D29">
        <w:rPr>
          <w:rFonts w:ascii="Times New Roman" w:hAnsi="Times New Roman" w:cs="Times New Roman"/>
          <w:noProof/>
          <w:sz w:val="24"/>
          <w:szCs w:val="24"/>
        </w:rPr>
        <w:t xml:space="preserve"> </w:t>
      </w:r>
      <w:r>
        <w:rPr>
          <w:rFonts w:ascii="Times New Roman" w:hAnsi="Times New Roman" w:cs="Times New Roman"/>
          <w:noProof/>
          <w:sz w:val="24"/>
          <w:szCs w:val="24"/>
        </w:rPr>
        <w:t>were factored in as part of the Study on which this impact assessment is based.</w:t>
      </w:r>
    </w:p>
    <w:p w14:paraId="5F2EE7E7" w14:textId="77777777" w:rsidR="00C76702" w:rsidRPr="005478FC" w:rsidRDefault="00C76702" w:rsidP="004A4A48">
      <w:pPr>
        <w:pStyle w:val="ListParagraph"/>
        <w:numPr>
          <w:ilvl w:val="0"/>
          <w:numId w:val="40"/>
        </w:numPr>
        <w:spacing w:line="240" w:lineRule="auto"/>
        <w:rPr>
          <w:rFonts w:ascii="Times New Roman" w:hAnsi="Times New Roman" w:cs="Times New Roman"/>
          <w:b/>
          <w:smallCaps/>
          <w:noProof/>
          <w:sz w:val="24"/>
          <w:szCs w:val="24"/>
        </w:rPr>
      </w:pPr>
      <w:bookmarkStart w:id="145" w:name="_Toc75192685"/>
      <w:r w:rsidRPr="005478FC">
        <w:rPr>
          <w:rFonts w:ascii="Times New Roman" w:hAnsi="Times New Roman" w:cs="Times New Roman"/>
          <w:b/>
          <w:smallCaps/>
          <w:noProof/>
          <w:sz w:val="24"/>
          <w:szCs w:val="24"/>
        </w:rPr>
        <w:t>Results</w:t>
      </w:r>
      <w:bookmarkEnd w:id="145"/>
    </w:p>
    <w:p w14:paraId="258384ED" w14:textId="77777777" w:rsidR="00C76702" w:rsidRPr="00ED2BB2" w:rsidRDefault="00C76702" w:rsidP="004A4A48">
      <w:pPr>
        <w:spacing w:line="240" w:lineRule="auto"/>
        <w:rPr>
          <w:rFonts w:ascii="Times New Roman" w:hAnsi="Times New Roman" w:cs="Times New Roman"/>
          <w:b/>
          <w:noProof/>
          <w:sz w:val="24"/>
        </w:rPr>
      </w:pPr>
      <w:r w:rsidRPr="00ED2BB2">
        <w:rPr>
          <w:rFonts w:ascii="Times New Roman" w:hAnsi="Times New Roman" w:cs="Times New Roman"/>
          <w:b/>
          <w:noProof/>
          <w:sz w:val="24"/>
        </w:rPr>
        <w:t xml:space="preserve">5.1. Consultation on the Inception Impact Assessment </w:t>
      </w:r>
    </w:p>
    <w:p w14:paraId="418F432D" w14:textId="77777777" w:rsidR="00C76702" w:rsidRDefault="00C76702" w:rsidP="00F2536C">
      <w:pPr>
        <w:pStyle w:val="Text2"/>
        <w:spacing w:after="120"/>
        <w:ind w:left="0"/>
        <w:rPr>
          <w:noProof/>
          <w:szCs w:val="24"/>
        </w:rPr>
      </w:pPr>
      <w:r>
        <w:rPr>
          <w:noProof/>
          <w:szCs w:val="24"/>
        </w:rPr>
        <w:t>This public consultation on the Inception Impact Assesssment received four answers. Two from members of the public, one from a private company and one from a European police trade unions association. All the responses have been published in full online</w:t>
      </w:r>
      <w:r>
        <w:rPr>
          <w:rStyle w:val="FootnoteReference"/>
          <w:noProof/>
          <w:szCs w:val="24"/>
        </w:rPr>
        <w:footnoteReference w:id="137"/>
      </w:r>
      <w:r>
        <w:rPr>
          <w:noProof/>
          <w:szCs w:val="24"/>
        </w:rPr>
        <w:t>.</w:t>
      </w:r>
    </w:p>
    <w:p w14:paraId="14BA95DB" w14:textId="77777777" w:rsidR="00C76702" w:rsidRDefault="00C76702" w:rsidP="00F2536C">
      <w:pPr>
        <w:pStyle w:val="Text2"/>
        <w:spacing w:after="120"/>
        <w:ind w:left="0"/>
        <w:rPr>
          <w:noProof/>
          <w:szCs w:val="24"/>
        </w:rPr>
      </w:pPr>
      <w:r>
        <w:rPr>
          <w:noProof/>
          <w:szCs w:val="24"/>
        </w:rPr>
        <w:t>The European police trade unions association</w:t>
      </w:r>
      <w:r>
        <w:rPr>
          <w:noProof/>
        </w:rPr>
        <w:t xml:space="preserve"> indicated that</w:t>
      </w:r>
      <w:r w:rsidR="00B86F0E">
        <w:rPr>
          <w:noProof/>
        </w:rPr>
        <w:t>:</w:t>
      </w:r>
      <w:r>
        <w:rPr>
          <w:noProof/>
        </w:rPr>
        <w:t xml:space="preserve"> "</w:t>
      </w:r>
      <w:r w:rsidRPr="00A87AA6">
        <w:rPr>
          <w:i/>
          <w:noProof/>
        </w:rPr>
        <w:t>obtaining relevant information quickly at the time when it is needed is essential</w:t>
      </w:r>
      <w:r>
        <w:rPr>
          <w:noProof/>
        </w:rPr>
        <w:t>". "</w:t>
      </w:r>
      <w:r w:rsidRPr="00A87AA6">
        <w:rPr>
          <w:i/>
          <w:noProof/>
        </w:rPr>
        <w:t>Under the current fragmented legal framework for law enforcement, information received by national police forces is not readily accessible by officers on the ground</w:t>
      </w:r>
      <w:r>
        <w:rPr>
          <w:noProof/>
        </w:rPr>
        <w:t>". It supported</w:t>
      </w:r>
      <w:r w:rsidR="00B86F0E">
        <w:rPr>
          <w:noProof/>
        </w:rPr>
        <w:t>:</w:t>
      </w:r>
      <w:r>
        <w:rPr>
          <w:noProof/>
        </w:rPr>
        <w:t xml:space="preserve"> "</w:t>
      </w:r>
      <w:r w:rsidRPr="00A87AA6">
        <w:rPr>
          <w:i/>
          <w:noProof/>
        </w:rPr>
        <w:t>the Commission's initiative to streamline and consolidate existing instruments for cross-border police cooperation</w:t>
      </w:r>
      <w:r>
        <w:rPr>
          <w:noProof/>
        </w:rPr>
        <w:t>".</w:t>
      </w:r>
    </w:p>
    <w:p w14:paraId="55139D57" w14:textId="77777777" w:rsidR="00C76702" w:rsidRDefault="00C76702" w:rsidP="00A21B15">
      <w:pPr>
        <w:pStyle w:val="Text2"/>
        <w:spacing w:after="120"/>
        <w:ind w:left="0"/>
        <w:rPr>
          <w:noProof/>
        </w:rPr>
      </w:pPr>
      <w:r>
        <w:rPr>
          <w:noProof/>
          <w:szCs w:val="24"/>
        </w:rPr>
        <w:t>The private company, involved in cyber-security issue, indicated "</w:t>
      </w:r>
      <w:r w:rsidRPr="00A87AA6">
        <w:rPr>
          <w:i/>
          <w:noProof/>
        </w:rPr>
        <w:t>the possibility to provide police with the possibility for a transfer of the investigation from the jurisdiction of the victim to that of the police in the jurisdiction of the suspect</w:t>
      </w:r>
      <w:r>
        <w:rPr>
          <w:noProof/>
        </w:rPr>
        <w:t xml:space="preserve">" as an avenue to be explored. </w:t>
      </w:r>
    </w:p>
    <w:p w14:paraId="6C8807F1" w14:textId="77777777" w:rsidR="00C76702" w:rsidRDefault="00C76702" w:rsidP="00A21B15">
      <w:pPr>
        <w:pStyle w:val="Text2"/>
        <w:spacing w:after="120"/>
        <w:ind w:left="0"/>
        <w:rPr>
          <w:noProof/>
        </w:rPr>
      </w:pPr>
      <w:r>
        <w:rPr>
          <w:noProof/>
        </w:rPr>
        <w:t>A member of the public mentioned the relevance of the European Arrest Warrant. The last answer was irrelevant.</w:t>
      </w:r>
    </w:p>
    <w:p w14:paraId="39A593A0" w14:textId="77777777" w:rsidR="00C76702" w:rsidRPr="005478FC" w:rsidRDefault="00C76702" w:rsidP="004A4A48">
      <w:pPr>
        <w:pStyle w:val="ListParagraph"/>
        <w:numPr>
          <w:ilvl w:val="0"/>
          <w:numId w:val="40"/>
        </w:numPr>
        <w:spacing w:line="240" w:lineRule="auto"/>
        <w:rPr>
          <w:rFonts w:ascii="Times New Roman" w:hAnsi="Times New Roman" w:cs="Times New Roman"/>
          <w:b/>
          <w:smallCaps/>
          <w:noProof/>
          <w:sz w:val="24"/>
          <w:szCs w:val="24"/>
        </w:rPr>
      </w:pPr>
      <w:bookmarkStart w:id="146" w:name="_Toc75192686"/>
      <w:r w:rsidRPr="005478FC">
        <w:rPr>
          <w:rFonts w:ascii="Times New Roman" w:hAnsi="Times New Roman" w:cs="Times New Roman"/>
          <w:b/>
          <w:smallCaps/>
          <w:noProof/>
          <w:sz w:val="24"/>
          <w:szCs w:val="24"/>
        </w:rPr>
        <w:t>How the results have been taken into account</w:t>
      </w:r>
      <w:bookmarkEnd w:id="146"/>
    </w:p>
    <w:p w14:paraId="201D2A55" w14:textId="77777777" w:rsidR="00C76702" w:rsidRDefault="00C76702" w:rsidP="00F2536C">
      <w:pPr>
        <w:spacing w:after="120" w:line="240" w:lineRule="auto"/>
        <w:jc w:val="both"/>
        <w:rPr>
          <w:rFonts w:ascii="Times New Roman" w:hAnsi="Times New Roman" w:cs="Times New Roman"/>
          <w:noProof/>
          <w:sz w:val="24"/>
          <w:szCs w:val="24"/>
        </w:rPr>
      </w:pPr>
      <w:r w:rsidRPr="0002133C">
        <w:rPr>
          <w:rFonts w:ascii="Times New Roman" w:hAnsi="Times New Roman" w:cs="Times New Roman"/>
          <w:noProof/>
          <w:sz w:val="24"/>
          <w:szCs w:val="24"/>
        </w:rPr>
        <w:t xml:space="preserve">The results of the consultation activities have been incorporated throughout the impact assessment in each of the sections in which feedback was received. The consultation activities were designed to follow the same logical sequence as the impact assessment, starting with the problem definition and then moving on to possible options and their impacts. </w:t>
      </w:r>
    </w:p>
    <w:p w14:paraId="19EDC41E" w14:textId="77777777" w:rsidR="00C76702" w:rsidRDefault="00C76702" w:rsidP="00A21B15">
      <w:pPr>
        <w:spacing w:after="120" w:line="240" w:lineRule="auto"/>
        <w:jc w:val="both"/>
        <w:rPr>
          <w:rFonts w:ascii="Times New Roman" w:hAnsi="Times New Roman" w:cs="Times New Roman"/>
          <w:noProof/>
          <w:sz w:val="24"/>
          <w:szCs w:val="24"/>
        </w:rPr>
      </w:pPr>
      <w:r w:rsidRPr="0002133C">
        <w:rPr>
          <w:rFonts w:ascii="Times New Roman" w:hAnsi="Times New Roman" w:cs="Times New Roman"/>
          <w:noProof/>
          <w:sz w:val="24"/>
          <w:szCs w:val="24"/>
        </w:rPr>
        <w:t>Using the same logical sequence in the consultation activities as in the impact assessment itself, facilitated the in</w:t>
      </w:r>
      <w:r>
        <w:rPr>
          <w:rFonts w:ascii="Times New Roman" w:hAnsi="Times New Roman" w:cs="Times New Roman"/>
          <w:noProof/>
          <w:sz w:val="24"/>
          <w:szCs w:val="24"/>
        </w:rPr>
        <w:t>corporation of the stakeholders'</w:t>
      </w:r>
      <w:r w:rsidRPr="0002133C">
        <w:rPr>
          <w:rFonts w:ascii="Times New Roman" w:hAnsi="Times New Roman" w:cs="Times New Roman"/>
          <w:noProof/>
          <w:sz w:val="24"/>
          <w:szCs w:val="24"/>
        </w:rPr>
        <w:t xml:space="preserve"> feedback – where relevant – into the different sections of the impact assessment.</w:t>
      </w:r>
    </w:p>
    <w:p w14:paraId="1E37CD6A" w14:textId="77777777" w:rsidR="001246D3" w:rsidRPr="00F41111" w:rsidRDefault="00E5110A" w:rsidP="004A4A48">
      <w:pPr>
        <w:spacing w:line="240" w:lineRule="auto"/>
        <w:rPr>
          <w:rFonts w:ascii="Times New Roman" w:hAnsi="Times New Roman" w:cs="Times New Roman"/>
          <w:b/>
          <w:noProof/>
          <w:sz w:val="24"/>
          <w:szCs w:val="24"/>
        </w:rPr>
      </w:pPr>
      <w:r w:rsidRPr="00F41111">
        <w:rPr>
          <w:rFonts w:ascii="Times New Roman" w:hAnsi="Times New Roman" w:cs="Times New Roman"/>
          <w:b/>
          <w:noProof/>
          <w:sz w:val="24"/>
          <w:szCs w:val="24"/>
          <w:u w:val="single"/>
        </w:rPr>
        <w:t>Exhaustive</w:t>
      </w:r>
      <w:r w:rsidRPr="004A4A48">
        <w:rPr>
          <w:rFonts w:ascii="Times New Roman" w:hAnsi="Times New Roman" w:cs="Times New Roman"/>
          <w:b/>
          <w:noProof/>
          <w:sz w:val="24"/>
          <w:szCs w:val="24"/>
        </w:rPr>
        <w:t xml:space="preserve"> </w:t>
      </w:r>
      <w:r w:rsidR="00CB2B3A">
        <w:rPr>
          <w:rFonts w:ascii="Times New Roman" w:hAnsi="Times New Roman" w:cs="Times New Roman"/>
          <w:b/>
          <w:noProof/>
          <w:sz w:val="24"/>
          <w:szCs w:val="24"/>
        </w:rPr>
        <w:t xml:space="preserve">presentation of the </w:t>
      </w:r>
      <w:r w:rsidRPr="00F41111">
        <w:rPr>
          <w:rFonts w:ascii="Times New Roman" w:hAnsi="Times New Roman" w:cs="Times New Roman"/>
          <w:b/>
          <w:noProof/>
          <w:sz w:val="24"/>
          <w:szCs w:val="24"/>
        </w:rPr>
        <w:t xml:space="preserve">consultation activities as part of </w:t>
      </w:r>
      <w:r w:rsidR="00A615EE" w:rsidRPr="00F41111">
        <w:rPr>
          <w:rFonts w:ascii="Times New Roman" w:hAnsi="Times New Roman" w:cs="Times New Roman"/>
          <w:b/>
          <w:noProof/>
          <w:sz w:val="24"/>
          <w:szCs w:val="24"/>
        </w:rPr>
        <w:t xml:space="preserve">the </w:t>
      </w:r>
      <w:r w:rsidRPr="00704502">
        <w:rPr>
          <w:rFonts w:ascii="Times New Roman" w:hAnsi="Times New Roman" w:cs="Times New Roman"/>
          <w:b/>
          <w:noProof/>
          <w:sz w:val="24"/>
          <w:szCs w:val="24"/>
          <w:u w:val="single"/>
        </w:rPr>
        <w:t>support study</w:t>
      </w:r>
      <w:r w:rsidRPr="00F41111">
        <w:rPr>
          <w:rFonts w:ascii="Times New Roman" w:hAnsi="Times New Roman" w:cs="Times New Roman"/>
          <w:b/>
          <w:noProof/>
          <w:sz w:val="24"/>
          <w:szCs w:val="24"/>
        </w:rPr>
        <w:t xml:space="preserve"> </w:t>
      </w:r>
    </w:p>
    <w:p w14:paraId="5DD00F6E" w14:textId="77777777" w:rsidR="001246D3" w:rsidRPr="00F41111" w:rsidRDefault="001246D3" w:rsidP="00F2536C">
      <w:pPr>
        <w:pStyle w:val="Body"/>
        <w:jc w:val="both"/>
        <w:rPr>
          <w:rFonts w:ascii="Times New Roman" w:hAnsi="Times New Roman"/>
          <w:noProof/>
          <w:sz w:val="24"/>
          <w:szCs w:val="24"/>
          <w:lang w:val="en-US"/>
        </w:rPr>
      </w:pPr>
      <w:r w:rsidRPr="00F41111">
        <w:rPr>
          <w:rFonts w:ascii="Times New Roman" w:hAnsi="Times New Roman"/>
          <w:noProof/>
          <w:sz w:val="24"/>
          <w:szCs w:val="24"/>
          <w:lang w:val="en-US"/>
        </w:rPr>
        <w:t xml:space="preserve">This document presents </w:t>
      </w:r>
      <w:r w:rsidR="00CB2B3A">
        <w:rPr>
          <w:rFonts w:ascii="Times New Roman" w:hAnsi="Times New Roman"/>
          <w:noProof/>
          <w:sz w:val="24"/>
          <w:szCs w:val="24"/>
          <w:lang w:val="en-US"/>
        </w:rPr>
        <w:t xml:space="preserve">the exhaustive findings from the consultation activities carried out as part of the </w:t>
      </w:r>
      <w:r w:rsidRPr="00F41111">
        <w:rPr>
          <w:rFonts w:ascii="Times New Roman" w:hAnsi="Times New Roman"/>
          <w:i/>
          <w:iCs/>
          <w:noProof/>
          <w:sz w:val="24"/>
          <w:szCs w:val="24"/>
          <w:lang w:val="en-US"/>
        </w:rPr>
        <w:t xml:space="preserve">Study </w:t>
      </w:r>
      <w:r w:rsidRPr="00F41111">
        <w:rPr>
          <w:rFonts w:ascii="Times New Roman" w:hAnsi="Times New Roman"/>
          <w:i/>
          <w:iCs/>
          <w:noProof/>
          <w:sz w:val="24"/>
          <w:szCs w:val="24"/>
        </w:rPr>
        <w:t>to support the preparation of an impact assessment on EU policy initiatives facilitating cross-border law enforcement cooperation</w:t>
      </w:r>
      <w:r w:rsidRPr="00F41111">
        <w:rPr>
          <w:rFonts w:ascii="Times New Roman" w:hAnsi="Times New Roman"/>
          <w:noProof/>
          <w:sz w:val="24"/>
          <w:szCs w:val="24"/>
          <w:lang w:val="en-US"/>
        </w:rPr>
        <w:t xml:space="preserve">. </w:t>
      </w:r>
    </w:p>
    <w:p w14:paraId="11ECEA72" w14:textId="77777777" w:rsidR="001246D3" w:rsidRPr="00F41111" w:rsidRDefault="001246D3" w:rsidP="004A4A48">
      <w:pPr>
        <w:spacing w:line="240" w:lineRule="auto"/>
        <w:rPr>
          <w:rFonts w:ascii="Times New Roman" w:hAnsi="Times New Roman" w:cs="Times New Roman"/>
          <w:b/>
          <w:noProof/>
          <w:sz w:val="24"/>
          <w:szCs w:val="24"/>
        </w:rPr>
      </w:pPr>
      <w:r w:rsidRPr="00F41111">
        <w:rPr>
          <w:rFonts w:ascii="Times New Roman" w:hAnsi="Times New Roman" w:cs="Times New Roman"/>
          <w:b/>
          <w:noProof/>
          <w:sz w:val="24"/>
          <w:szCs w:val="24"/>
        </w:rPr>
        <w:t xml:space="preserve">Objectives and types of stakeholders consulted </w:t>
      </w:r>
    </w:p>
    <w:p w14:paraId="48EAD814" w14:textId="77777777" w:rsidR="001246D3" w:rsidRPr="00300764" w:rsidRDefault="001246D3" w:rsidP="004A4A48">
      <w:pPr>
        <w:spacing w:line="240" w:lineRule="auto"/>
        <w:jc w:val="both"/>
        <w:rPr>
          <w:rFonts w:ascii="Verdana" w:hAnsi="Verdana"/>
          <w:noProof/>
          <w:szCs w:val="24"/>
          <w:lang w:val="en-GB"/>
        </w:rPr>
      </w:pPr>
      <w:r w:rsidRPr="00F41111">
        <w:rPr>
          <w:rFonts w:ascii="Times New Roman" w:hAnsi="Times New Roman" w:cs="Times New Roman"/>
          <w:noProof/>
          <w:sz w:val="24"/>
          <w:szCs w:val="24"/>
          <w:lang w:val="en-GB"/>
        </w:rPr>
        <w:t>As part of th</w:t>
      </w:r>
      <w:r w:rsidR="000E42F1" w:rsidRPr="00F41111">
        <w:rPr>
          <w:rFonts w:ascii="Times New Roman" w:hAnsi="Times New Roman" w:cs="Times New Roman"/>
          <w:noProof/>
          <w:sz w:val="24"/>
          <w:szCs w:val="24"/>
          <w:lang w:val="en-GB"/>
        </w:rPr>
        <w:t>e</w:t>
      </w:r>
      <w:r w:rsidRPr="00F41111">
        <w:rPr>
          <w:rFonts w:ascii="Times New Roman" w:hAnsi="Times New Roman" w:cs="Times New Roman"/>
          <w:noProof/>
          <w:sz w:val="24"/>
          <w:szCs w:val="24"/>
          <w:lang w:val="en-GB"/>
        </w:rPr>
        <w:t xml:space="preserve"> study, various consultations, both with key stakeholders and the public at large, were carried out. The aim of these consultations was to provide the European Commission with factual evidence concerning possible problems and additional measures in the area of intra-EU law enforcement cooperation. A wide range of stakeholders operating both at the EU and the national levels was consulted, using a combination of different consultation tools. The stakeholders can be organised into a number of general categories described in the Table below.</w:t>
      </w:r>
    </w:p>
    <w:p w14:paraId="747047BC" w14:textId="77777777" w:rsidR="001246D3" w:rsidRPr="00F41111" w:rsidRDefault="001246D3" w:rsidP="00F2536C">
      <w:pPr>
        <w:pStyle w:val="Caption"/>
        <w:keepNext/>
        <w:jc w:val="center"/>
        <w:rPr>
          <w:rFonts w:ascii="Times New Roman" w:hAnsi="Times New Roman"/>
          <w:noProof/>
          <w:sz w:val="24"/>
          <w:szCs w:val="24"/>
          <w:lang w:val="en-GB"/>
        </w:rPr>
      </w:pPr>
      <w:r w:rsidRPr="00F41111">
        <w:rPr>
          <w:rFonts w:ascii="Times New Roman" w:hAnsi="Times New Roman"/>
          <w:noProof/>
          <w:sz w:val="24"/>
          <w:szCs w:val="24"/>
          <w:lang w:val="en-GB"/>
        </w:rPr>
        <w:t>Categories of stakeholders involved</w:t>
      </w:r>
    </w:p>
    <w:tbl>
      <w:tblPr>
        <w:tblStyle w:val="TableGrid"/>
        <w:tblW w:w="5000" w:type="pct"/>
        <w:tblLook w:val="04A0" w:firstRow="1" w:lastRow="0" w:firstColumn="1" w:lastColumn="0" w:noHBand="0" w:noVBand="1"/>
      </w:tblPr>
      <w:tblGrid>
        <w:gridCol w:w="3186"/>
        <w:gridCol w:w="6661"/>
      </w:tblGrid>
      <w:tr w:rsidR="001246D3" w:rsidRPr="00300764" w14:paraId="5FA875D0" w14:textId="77777777" w:rsidTr="00386871">
        <w:trPr>
          <w:trHeight w:val="170"/>
        </w:trPr>
        <w:tc>
          <w:tcPr>
            <w:tcW w:w="5000" w:type="pct"/>
            <w:gridSpan w:val="2"/>
            <w:shd w:val="clear" w:color="auto" w:fill="00B0F0"/>
          </w:tcPr>
          <w:p w14:paraId="127CFAA6" w14:textId="77777777" w:rsidR="001246D3" w:rsidRPr="00DD7880" w:rsidRDefault="001246D3" w:rsidP="004A4A48">
            <w:pPr>
              <w:spacing w:after="0" w:line="240" w:lineRule="auto"/>
              <w:rPr>
                <w:rFonts w:ascii="Verdana" w:hAnsi="Verdana"/>
                <w:noProof/>
                <w:sz w:val="18"/>
                <w:szCs w:val="18"/>
              </w:rPr>
            </w:pPr>
            <w:r w:rsidRPr="00DD7880">
              <w:rPr>
                <w:rFonts w:ascii="Verdana" w:hAnsi="Verdana"/>
                <w:noProof/>
                <w:sz w:val="18"/>
                <w:szCs w:val="18"/>
              </w:rPr>
              <w:t>Stakeholder category</w:t>
            </w:r>
          </w:p>
        </w:tc>
      </w:tr>
      <w:tr w:rsidR="001246D3" w:rsidRPr="00300764" w14:paraId="499E83E6" w14:textId="77777777" w:rsidTr="00386871">
        <w:trPr>
          <w:trHeight w:val="170"/>
        </w:trPr>
        <w:tc>
          <w:tcPr>
            <w:tcW w:w="1618" w:type="pct"/>
            <w:vMerge w:val="restart"/>
            <w:vAlign w:val="center"/>
          </w:tcPr>
          <w:p w14:paraId="5CBC9FA7" w14:textId="77777777" w:rsidR="001246D3" w:rsidRPr="00DD7880" w:rsidRDefault="001246D3" w:rsidP="00704502">
            <w:pPr>
              <w:spacing w:after="0" w:line="240" w:lineRule="auto"/>
              <w:rPr>
                <w:rFonts w:ascii="Verdana" w:hAnsi="Verdana"/>
                <w:b/>
                <w:noProof/>
                <w:sz w:val="18"/>
                <w:szCs w:val="18"/>
              </w:rPr>
            </w:pPr>
            <w:r w:rsidRPr="00DD7880">
              <w:rPr>
                <w:rFonts w:ascii="Verdana" w:hAnsi="Verdana"/>
                <w:noProof/>
                <w:sz w:val="18"/>
                <w:szCs w:val="18"/>
              </w:rPr>
              <w:t>EU Agencies, Bodies and Networks</w:t>
            </w:r>
          </w:p>
        </w:tc>
        <w:tc>
          <w:tcPr>
            <w:tcW w:w="3382" w:type="pct"/>
          </w:tcPr>
          <w:p w14:paraId="4B45A382"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European Commission</w:t>
            </w:r>
          </w:p>
        </w:tc>
      </w:tr>
      <w:tr w:rsidR="001246D3" w:rsidRPr="0061036C" w14:paraId="7A3819D4" w14:textId="77777777" w:rsidTr="00386871">
        <w:trPr>
          <w:trHeight w:val="170"/>
        </w:trPr>
        <w:tc>
          <w:tcPr>
            <w:tcW w:w="1618" w:type="pct"/>
            <w:vMerge/>
            <w:vAlign w:val="center"/>
          </w:tcPr>
          <w:p w14:paraId="6136E7F1" w14:textId="77777777" w:rsidR="001246D3" w:rsidRPr="00DD7880" w:rsidRDefault="001246D3" w:rsidP="00704502">
            <w:pPr>
              <w:spacing w:after="0" w:line="240" w:lineRule="auto"/>
              <w:rPr>
                <w:rFonts w:ascii="Verdana" w:hAnsi="Verdana"/>
                <w:b/>
                <w:noProof/>
                <w:sz w:val="18"/>
                <w:szCs w:val="18"/>
              </w:rPr>
            </w:pPr>
          </w:p>
        </w:tc>
        <w:tc>
          <w:tcPr>
            <w:tcW w:w="3382" w:type="pct"/>
          </w:tcPr>
          <w:p w14:paraId="126CFD24"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EU bodies with relevant expertise</w:t>
            </w:r>
          </w:p>
        </w:tc>
      </w:tr>
      <w:tr w:rsidR="001246D3" w:rsidRPr="00300764" w14:paraId="172174D0" w14:textId="77777777" w:rsidTr="00386871">
        <w:trPr>
          <w:trHeight w:val="170"/>
        </w:trPr>
        <w:tc>
          <w:tcPr>
            <w:tcW w:w="1618" w:type="pct"/>
            <w:vMerge/>
            <w:vAlign w:val="center"/>
          </w:tcPr>
          <w:p w14:paraId="5543CC5B" w14:textId="77777777" w:rsidR="001246D3" w:rsidRPr="00DD7880" w:rsidRDefault="001246D3" w:rsidP="00704502">
            <w:pPr>
              <w:spacing w:after="0" w:line="240" w:lineRule="auto"/>
              <w:rPr>
                <w:rFonts w:ascii="Verdana" w:hAnsi="Verdana"/>
                <w:b/>
                <w:i/>
                <w:noProof/>
                <w:sz w:val="18"/>
                <w:szCs w:val="18"/>
              </w:rPr>
            </w:pPr>
          </w:p>
        </w:tc>
        <w:tc>
          <w:tcPr>
            <w:tcW w:w="3382" w:type="pct"/>
          </w:tcPr>
          <w:p w14:paraId="2503A018"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LEWP members</w:t>
            </w:r>
          </w:p>
        </w:tc>
      </w:tr>
      <w:tr w:rsidR="001246D3" w:rsidRPr="00300764" w14:paraId="66D96FE5" w14:textId="77777777" w:rsidTr="00386871">
        <w:trPr>
          <w:trHeight w:val="170"/>
        </w:trPr>
        <w:tc>
          <w:tcPr>
            <w:tcW w:w="1618" w:type="pct"/>
            <w:vMerge w:val="restart"/>
            <w:vAlign w:val="center"/>
          </w:tcPr>
          <w:p w14:paraId="798B1CF6" w14:textId="77777777" w:rsidR="001246D3" w:rsidRPr="00DD7880" w:rsidRDefault="001246D3" w:rsidP="00704502">
            <w:pPr>
              <w:spacing w:after="0" w:line="240" w:lineRule="auto"/>
              <w:rPr>
                <w:rFonts w:ascii="Verdana" w:hAnsi="Verdana"/>
                <w:b/>
                <w:noProof/>
                <w:sz w:val="18"/>
                <w:szCs w:val="18"/>
              </w:rPr>
            </w:pPr>
            <w:r w:rsidRPr="00DD7880">
              <w:rPr>
                <w:rFonts w:ascii="Verdana" w:hAnsi="Verdana"/>
                <w:noProof/>
                <w:sz w:val="18"/>
                <w:szCs w:val="18"/>
              </w:rPr>
              <w:t>National authorities</w:t>
            </w:r>
          </w:p>
        </w:tc>
        <w:tc>
          <w:tcPr>
            <w:tcW w:w="3382" w:type="pct"/>
          </w:tcPr>
          <w:p w14:paraId="68E2FB8E"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National LEAs</w:t>
            </w:r>
          </w:p>
        </w:tc>
      </w:tr>
      <w:tr w:rsidR="001246D3" w:rsidRPr="00300764" w14:paraId="6E4B8AE3" w14:textId="77777777" w:rsidTr="00386871">
        <w:trPr>
          <w:trHeight w:val="170"/>
        </w:trPr>
        <w:tc>
          <w:tcPr>
            <w:tcW w:w="1618" w:type="pct"/>
            <w:vMerge/>
            <w:vAlign w:val="center"/>
          </w:tcPr>
          <w:p w14:paraId="3EA680F4" w14:textId="77777777" w:rsidR="001246D3" w:rsidRPr="00DD7880" w:rsidRDefault="001246D3" w:rsidP="00704502">
            <w:pPr>
              <w:spacing w:after="0" w:line="240" w:lineRule="auto"/>
              <w:rPr>
                <w:rFonts w:ascii="Verdana" w:hAnsi="Verdana"/>
                <w:b/>
                <w:noProof/>
                <w:sz w:val="18"/>
                <w:szCs w:val="18"/>
              </w:rPr>
            </w:pPr>
          </w:p>
        </w:tc>
        <w:tc>
          <w:tcPr>
            <w:tcW w:w="3382" w:type="pct"/>
          </w:tcPr>
          <w:p w14:paraId="14ADE58A"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National judicial authorities</w:t>
            </w:r>
          </w:p>
        </w:tc>
      </w:tr>
      <w:tr w:rsidR="001246D3" w:rsidRPr="00300764" w14:paraId="5B1393A2" w14:textId="77777777" w:rsidTr="00386871">
        <w:trPr>
          <w:trHeight w:val="170"/>
        </w:trPr>
        <w:tc>
          <w:tcPr>
            <w:tcW w:w="1618" w:type="pct"/>
            <w:vMerge/>
            <w:vAlign w:val="center"/>
          </w:tcPr>
          <w:p w14:paraId="631C29AA" w14:textId="77777777" w:rsidR="001246D3" w:rsidRPr="00DD7880" w:rsidRDefault="001246D3" w:rsidP="00704502">
            <w:pPr>
              <w:spacing w:after="0" w:line="240" w:lineRule="auto"/>
              <w:rPr>
                <w:rFonts w:ascii="Verdana" w:hAnsi="Verdana"/>
                <w:b/>
                <w:noProof/>
                <w:sz w:val="18"/>
                <w:szCs w:val="18"/>
              </w:rPr>
            </w:pPr>
          </w:p>
        </w:tc>
        <w:tc>
          <w:tcPr>
            <w:tcW w:w="3382" w:type="pct"/>
          </w:tcPr>
          <w:p w14:paraId="4A773AB2"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National data protection authorities</w:t>
            </w:r>
          </w:p>
        </w:tc>
      </w:tr>
      <w:tr w:rsidR="001246D3" w:rsidRPr="0061036C" w14:paraId="54A6A0F0" w14:textId="77777777" w:rsidTr="00386871">
        <w:trPr>
          <w:trHeight w:val="170"/>
        </w:trPr>
        <w:tc>
          <w:tcPr>
            <w:tcW w:w="1618" w:type="pct"/>
            <w:vMerge w:val="restart"/>
            <w:vAlign w:val="center"/>
          </w:tcPr>
          <w:p w14:paraId="191386F2" w14:textId="77777777" w:rsidR="001246D3" w:rsidRPr="00DD7880" w:rsidRDefault="001246D3" w:rsidP="00704502">
            <w:pPr>
              <w:spacing w:after="0" w:line="240" w:lineRule="auto"/>
              <w:rPr>
                <w:rFonts w:ascii="Verdana" w:hAnsi="Verdana"/>
                <w:b/>
                <w:noProof/>
                <w:sz w:val="18"/>
                <w:szCs w:val="18"/>
              </w:rPr>
            </w:pPr>
            <w:r w:rsidRPr="00DD7880">
              <w:rPr>
                <w:rFonts w:ascii="Verdana" w:hAnsi="Verdana"/>
                <w:noProof/>
                <w:sz w:val="18"/>
                <w:szCs w:val="18"/>
              </w:rPr>
              <w:t>Mixed EU level and national level stakeholders</w:t>
            </w:r>
          </w:p>
        </w:tc>
        <w:tc>
          <w:tcPr>
            <w:tcW w:w="3382" w:type="pct"/>
          </w:tcPr>
          <w:p w14:paraId="1D2CA445"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EMPACT Support Managers</w:t>
            </w:r>
          </w:p>
        </w:tc>
      </w:tr>
      <w:tr w:rsidR="001246D3" w:rsidRPr="0061036C" w14:paraId="4365F2CE" w14:textId="77777777" w:rsidTr="00386871">
        <w:trPr>
          <w:trHeight w:val="170"/>
        </w:trPr>
        <w:tc>
          <w:tcPr>
            <w:tcW w:w="1618" w:type="pct"/>
            <w:vMerge/>
            <w:vAlign w:val="center"/>
          </w:tcPr>
          <w:p w14:paraId="17790808" w14:textId="77777777" w:rsidR="001246D3" w:rsidRPr="00DD7880" w:rsidRDefault="001246D3" w:rsidP="00704502">
            <w:pPr>
              <w:spacing w:after="0" w:line="240" w:lineRule="auto"/>
              <w:rPr>
                <w:rFonts w:ascii="Verdana" w:hAnsi="Verdana"/>
                <w:b/>
                <w:noProof/>
                <w:sz w:val="18"/>
                <w:szCs w:val="18"/>
              </w:rPr>
            </w:pPr>
          </w:p>
        </w:tc>
        <w:tc>
          <w:tcPr>
            <w:tcW w:w="3382" w:type="pct"/>
          </w:tcPr>
          <w:p w14:paraId="1935E384"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 xml:space="preserve">EMPACT Drivers </w:t>
            </w:r>
          </w:p>
        </w:tc>
      </w:tr>
      <w:tr w:rsidR="001246D3" w:rsidRPr="00954FAA" w14:paraId="55B878C3" w14:textId="77777777" w:rsidTr="00386871">
        <w:trPr>
          <w:trHeight w:val="170"/>
        </w:trPr>
        <w:tc>
          <w:tcPr>
            <w:tcW w:w="1618" w:type="pct"/>
            <w:vMerge w:val="restart"/>
            <w:vAlign w:val="center"/>
          </w:tcPr>
          <w:p w14:paraId="392096FD" w14:textId="77777777" w:rsidR="001246D3" w:rsidRPr="00DD7880" w:rsidRDefault="001246D3" w:rsidP="00704502">
            <w:pPr>
              <w:spacing w:after="0" w:line="240" w:lineRule="auto"/>
              <w:rPr>
                <w:rFonts w:ascii="Verdana" w:hAnsi="Verdana"/>
                <w:b/>
                <w:noProof/>
                <w:sz w:val="18"/>
                <w:szCs w:val="18"/>
              </w:rPr>
            </w:pPr>
            <w:r w:rsidRPr="00DD7880">
              <w:rPr>
                <w:rFonts w:ascii="Verdana" w:hAnsi="Verdana"/>
                <w:noProof/>
                <w:sz w:val="18"/>
                <w:szCs w:val="18"/>
              </w:rPr>
              <w:t>Other</w:t>
            </w:r>
          </w:p>
        </w:tc>
        <w:tc>
          <w:tcPr>
            <w:tcW w:w="3382" w:type="pct"/>
          </w:tcPr>
          <w:p w14:paraId="324D2CB2"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Members of the Academia and think tanks</w:t>
            </w:r>
          </w:p>
        </w:tc>
      </w:tr>
      <w:tr w:rsidR="001246D3" w:rsidRPr="00954FAA" w14:paraId="184ED5C3" w14:textId="77777777" w:rsidTr="00386871">
        <w:trPr>
          <w:trHeight w:val="170"/>
        </w:trPr>
        <w:tc>
          <w:tcPr>
            <w:tcW w:w="1618" w:type="pct"/>
            <w:vMerge/>
          </w:tcPr>
          <w:p w14:paraId="20FDB15A" w14:textId="77777777" w:rsidR="001246D3" w:rsidRPr="00DD7880" w:rsidRDefault="001246D3" w:rsidP="00704502">
            <w:pPr>
              <w:spacing w:after="0" w:line="240" w:lineRule="auto"/>
              <w:rPr>
                <w:rFonts w:ascii="Verdana" w:hAnsi="Verdana"/>
                <w:b/>
                <w:noProof/>
                <w:sz w:val="18"/>
                <w:szCs w:val="18"/>
              </w:rPr>
            </w:pPr>
          </w:p>
        </w:tc>
        <w:tc>
          <w:tcPr>
            <w:tcW w:w="3382" w:type="pct"/>
          </w:tcPr>
          <w:p w14:paraId="3F897B60"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Members of the general public</w:t>
            </w:r>
          </w:p>
        </w:tc>
      </w:tr>
    </w:tbl>
    <w:p w14:paraId="236B630C" w14:textId="10C18B3E" w:rsidR="001246D3" w:rsidRPr="006D4CE5" w:rsidRDefault="001246D3" w:rsidP="00704502">
      <w:pPr>
        <w:spacing w:after="160" w:line="240" w:lineRule="auto"/>
        <w:jc w:val="center"/>
        <w:rPr>
          <w:rFonts w:ascii="Verdana" w:hAnsi="Verdana" w:cstheme="minorHAnsi"/>
          <w:i/>
          <w:iCs/>
          <w:noProof/>
          <w:color w:val="7F7F7F" w:themeColor="text1" w:themeTint="80"/>
          <w:sz w:val="18"/>
          <w:szCs w:val="18"/>
        </w:rPr>
      </w:pPr>
      <w:r w:rsidRPr="006D4CE5">
        <w:rPr>
          <w:rFonts w:ascii="Verdana" w:hAnsi="Verdana" w:cstheme="minorHAnsi"/>
          <w:i/>
          <w:iCs/>
          <w:noProof/>
          <w:color w:val="7F7F7F" w:themeColor="text1" w:themeTint="80"/>
          <w:sz w:val="18"/>
          <w:szCs w:val="18"/>
        </w:rPr>
        <w:t xml:space="preserve">Source: </w:t>
      </w:r>
      <w:r w:rsidR="000F0DE5" w:rsidRPr="00645701">
        <w:rPr>
          <w:rFonts w:ascii="Verdana" w:hAnsi="Verdana"/>
          <w:i/>
          <w:noProof/>
          <w:color w:val="7F7F7F" w:themeColor="text1" w:themeTint="80"/>
          <w:sz w:val="18"/>
          <w:szCs w:val="16"/>
        </w:rPr>
        <w:t>EY/RAND Europe Study’s elaboration</w:t>
      </w:r>
    </w:p>
    <w:p w14:paraId="23DDFDD6" w14:textId="77777777" w:rsidR="001246D3" w:rsidRPr="00F41111" w:rsidRDefault="001246D3" w:rsidP="00704502">
      <w:pPr>
        <w:spacing w:line="240" w:lineRule="auto"/>
        <w:rPr>
          <w:rFonts w:ascii="Times New Roman" w:hAnsi="Times New Roman" w:cs="Times New Roman"/>
          <w:b/>
          <w:noProof/>
          <w:sz w:val="24"/>
          <w:szCs w:val="24"/>
        </w:rPr>
      </w:pPr>
      <w:r w:rsidRPr="00F41111">
        <w:rPr>
          <w:rFonts w:ascii="Times New Roman" w:hAnsi="Times New Roman" w:cs="Times New Roman"/>
          <w:b/>
          <w:noProof/>
          <w:sz w:val="24"/>
          <w:szCs w:val="24"/>
        </w:rPr>
        <w:t>C</w:t>
      </w:r>
      <w:r w:rsidRPr="00F41111">
        <w:rPr>
          <w:rFonts w:ascii="Times New Roman" w:hAnsi="Times New Roman" w:cs="Times New Roman"/>
          <w:b/>
          <w:smallCaps/>
          <w:noProof/>
          <w:sz w:val="24"/>
          <w:szCs w:val="24"/>
        </w:rPr>
        <w:t>o</w:t>
      </w:r>
      <w:r w:rsidRPr="00F41111">
        <w:rPr>
          <w:rFonts w:ascii="Times New Roman" w:hAnsi="Times New Roman" w:cs="Times New Roman"/>
          <w:b/>
          <w:noProof/>
          <w:sz w:val="24"/>
          <w:szCs w:val="24"/>
        </w:rPr>
        <w:t>nsultation methods and tools</w:t>
      </w:r>
    </w:p>
    <w:p w14:paraId="165FCFDD"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The following consultation methods were used as part of the study:</w:t>
      </w:r>
    </w:p>
    <w:p w14:paraId="74B611F2" w14:textId="77777777" w:rsidR="001246D3" w:rsidRPr="00F41111" w:rsidRDefault="001246D3" w:rsidP="00F2536C">
      <w:pPr>
        <w:pStyle w:val="ListParagraph"/>
        <w:numPr>
          <w:ilvl w:val="0"/>
          <w:numId w:val="1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40" w:after="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Online survey with LEAs, data protection authorities and judicial authorities;</w:t>
      </w:r>
    </w:p>
    <w:p w14:paraId="07DB67C1" w14:textId="77777777" w:rsidR="001246D3" w:rsidRPr="00F41111" w:rsidRDefault="001246D3" w:rsidP="00A21B15">
      <w:pPr>
        <w:pStyle w:val="ListParagraph"/>
        <w:numPr>
          <w:ilvl w:val="0"/>
          <w:numId w:val="1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40" w:after="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Interviews with:</w:t>
      </w:r>
    </w:p>
    <w:p w14:paraId="07280DE4" w14:textId="77777777" w:rsidR="001246D3" w:rsidRPr="00F41111" w:rsidRDefault="001246D3" w:rsidP="00A21B15">
      <w:pPr>
        <w:pStyle w:val="ListParagraph"/>
        <w:numPr>
          <w:ilvl w:val="1"/>
          <w:numId w:val="126"/>
        </w:num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40" w:after="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EU bodies;</w:t>
      </w:r>
    </w:p>
    <w:p w14:paraId="26A98ED7" w14:textId="77777777" w:rsidR="001246D3" w:rsidRPr="00F41111" w:rsidRDefault="001246D3" w:rsidP="00DD4232">
      <w:pPr>
        <w:pStyle w:val="ListParagraph"/>
        <w:numPr>
          <w:ilvl w:val="1"/>
          <w:numId w:val="126"/>
        </w:num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40" w:after="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EMPACT actors;</w:t>
      </w:r>
    </w:p>
    <w:p w14:paraId="51D98B9F" w14:textId="77777777" w:rsidR="001246D3" w:rsidRPr="00F41111" w:rsidRDefault="001246D3">
      <w:pPr>
        <w:pStyle w:val="ListParagraph"/>
        <w:numPr>
          <w:ilvl w:val="1"/>
          <w:numId w:val="126"/>
        </w:num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40" w:after="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Member State representatives (case studies);</w:t>
      </w:r>
    </w:p>
    <w:p w14:paraId="21CE3179" w14:textId="77777777" w:rsidR="001246D3" w:rsidRPr="00F41111" w:rsidRDefault="001246D3">
      <w:pPr>
        <w:pStyle w:val="ListParagraph"/>
        <w:numPr>
          <w:ilvl w:val="1"/>
          <w:numId w:val="126"/>
        </w:num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40" w:after="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Academia;</w:t>
      </w:r>
    </w:p>
    <w:p w14:paraId="7E4CB935" w14:textId="77777777" w:rsidR="001246D3" w:rsidRPr="00F41111" w:rsidRDefault="001246D3">
      <w:pPr>
        <w:pStyle w:val="ListParagraph"/>
        <w:numPr>
          <w:ilvl w:val="0"/>
          <w:numId w:val="128"/>
        </w:numPr>
        <w:spacing w:after="2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Focus groups with representatives of Member States that cooperate within the framework of bi-/tri-/ multilateral agreements; and</w:t>
      </w:r>
    </w:p>
    <w:p w14:paraId="606A26AE" w14:textId="77777777" w:rsidR="001246D3" w:rsidRPr="00F41111" w:rsidRDefault="001246D3">
      <w:pPr>
        <w:pStyle w:val="ListParagraph"/>
        <w:numPr>
          <w:ilvl w:val="0"/>
          <w:numId w:val="128"/>
        </w:numPr>
        <w:spacing w:after="2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Technical workshops with representatives of Member States and Schengen Associated Countries, as well as EU-level stakeholders.</w:t>
      </w:r>
    </w:p>
    <w:p w14:paraId="635AC7F0"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 addition to these methods, in line with its </w:t>
      </w:r>
      <w:r w:rsidRPr="00F41111">
        <w:rPr>
          <w:rFonts w:ascii="Times New Roman" w:hAnsi="Times New Roman" w:cs="Times New Roman"/>
          <w:i/>
          <w:iCs/>
          <w:noProof/>
          <w:sz w:val="24"/>
          <w:szCs w:val="24"/>
          <w:lang w:val="en-GB"/>
        </w:rPr>
        <w:t>Better Regulation Guidelines</w:t>
      </w:r>
      <w:r w:rsidRPr="00F41111">
        <w:rPr>
          <w:rFonts w:ascii="Times New Roman" w:hAnsi="Times New Roman" w:cs="Times New Roman"/>
          <w:noProof/>
          <w:sz w:val="24"/>
          <w:szCs w:val="24"/>
          <w:lang w:val="en-GB"/>
        </w:rPr>
        <w:t>, the European Commission implemented a</w:t>
      </w:r>
      <w:r w:rsidRPr="00F41111">
        <w:rPr>
          <w:rFonts w:ascii="Times New Roman" w:hAnsi="Times New Roman" w:cs="Times New Roman"/>
          <w:i/>
          <w:iCs/>
          <w:noProof/>
          <w:sz w:val="24"/>
          <w:szCs w:val="24"/>
          <w:lang w:val="en-GB"/>
        </w:rPr>
        <w:t xml:space="preserve"> Public Consultation </w:t>
      </w:r>
      <w:r w:rsidRPr="00F41111">
        <w:rPr>
          <w:rFonts w:ascii="Times New Roman" w:hAnsi="Times New Roman" w:cs="Times New Roman"/>
          <w:noProof/>
          <w:sz w:val="24"/>
          <w:szCs w:val="24"/>
          <w:lang w:val="en-GB"/>
        </w:rPr>
        <w:t>(PC) of all relevant stakeholders interested, including members of the general public. The consultation was hosted on the European Commission’s website (</w:t>
      </w:r>
      <w:hyperlink r:id="rId34" w:history="1">
        <w:r w:rsidRPr="00F41111">
          <w:rPr>
            <w:rStyle w:val="Hyperlink"/>
            <w:rFonts w:ascii="Times New Roman" w:hAnsi="Times New Roman" w:cs="Times New Roman"/>
            <w:noProof/>
            <w:sz w:val="24"/>
            <w:szCs w:val="24"/>
            <w:lang w:val="en-GB"/>
          </w:rPr>
          <w:t>ec.europa.eu</w:t>
        </w:r>
      </w:hyperlink>
      <w:r w:rsidRPr="00F41111">
        <w:rPr>
          <w:rFonts w:ascii="Times New Roman" w:hAnsi="Times New Roman" w:cs="Times New Roman"/>
          <w:noProof/>
          <w:sz w:val="24"/>
          <w:szCs w:val="24"/>
          <w:lang w:val="en-GB"/>
        </w:rPr>
        <w:t xml:space="preserve">) in all EU official languages. </w:t>
      </w:r>
      <w:r w:rsidRPr="00F41111">
        <w:rPr>
          <w:rFonts w:ascii="Times New Roman" w:hAnsi="Times New Roman" w:cs="Times New Roman"/>
          <w:iCs/>
          <w:noProof/>
          <w:sz w:val="24"/>
          <w:szCs w:val="24"/>
          <w:lang w:val="en-GB"/>
        </w:rPr>
        <w:t>The PC</w:t>
      </w:r>
      <w:r w:rsidRPr="00F41111">
        <w:rPr>
          <w:rFonts w:ascii="Times New Roman" w:hAnsi="Times New Roman" w:cs="Times New Roman"/>
          <w:noProof/>
          <w:sz w:val="24"/>
          <w:szCs w:val="24"/>
          <w:lang w:val="en-GB"/>
        </w:rPr>
        <w:t xml:space="preserve"> ran for eight weeks, from 19 April 2021 to 14 June 2021. In total, 20 replies were received.</w:t>
      </w:r>
    </w:p>
    <w:p w14:paraId="2CB51D27" w14:textId="77777777" w:rsidR="001246D3" w:rsidRPr="00F41111" w:rsidRDefault="001246D3" w:rsidP="0070450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120" w:after="120" w:line="240" w:lineRule="auto"/>
        <w:rPr>
          <w:rFonts w:ascii="Times New Roman" w:hAnsi="Times New Roman" w:cs="Times New Roman"/>
          <w:b/>
          <w:bCs/>
          <w:i/>
          <w:iCs/>
          <w:noProof/>
          <w:color w:val="44546A" w:themeColor="text2"/>
          <w:sz w:val="24"/>
          <w:szCs w:val="24"/>
          <w:u w:val="single"/>
          <w:lang w:val="en-GB"/>
        </w:rPr>
      </w:pPr>
      <w:r w:rsidRPr="00F41111">
        <w:rPr>
          <w:rFonts w:ascii="Times New Roman" w:hAnsi="Times New Roman" w:cs="Times New Roman"/>
          <w:b/>
          <w:bCs/>
          <w:i/>
          <w:iCs/>
          <w:noProof/>
          <w:color w:val="44546A" w:themeColor="text2"/>
          <w:sz w:val="24"/>
          <w:szCs w:val="24"/>
          <w:u w:val="single"/>
          <w:lang w:val="en-GB"/>
        </w:rPr>
        <w:t>Online survey with LEAs, judicial authorities and data protection authorities</w:t>
      </w:r>
    </w:p>
    <w:p w14:paraId="3B2C2847" w14:textId="77777777" w:rsidR="001246D3" w:rsidRPr="00F41111" w:rsidRDefault="001246D3" w:rsidP="00704502">
      <w:pPr>
        <w:keepNext/>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An </w:t>
      </w:r>
      <w:r w:rsidRPr="00F41111">
        <w:rPr>
          <w:rFonts w:ascii="Times New Roman" w:hAnsi="Times New Roman" w:cs="Times New Roman"/>
          <w:b/>
          <w:bCs/>
          <w:noProof/>
          <w:sz w:val="24"/>
          <w:szCs w:val="24"/>
          <w:lang w:val="en-GB"/>
        </w:rPr>
        <w:t>online</w:t>
      </w:r>
      <w:r w:rsidRPr="00F41111">
        <w:rPr>
          <w:rFonts w:ascii="Times New Roman" w:hAnsi="Times New Roman" w:cs="Times New Roman"/>
          <w:noProof/>
          <w:sz w:val="24"/>
          <w:szCs w:val="24"/>
          <w:lang w:val="en-GB"/>
        </w:rPr>
        <w:t xml:space="preserve"> </w:t>
      </w:r>
      <w:r w:rsidRPr="00F41111">
        <w:rPr>
          <w:rFonts w:ascii="Times New Roman" w:hAnsi="Times New Roman" w:cs="Times New Roman"/>
          <w:b/>
          <w:noProof/>
          <w:sz w:val="24"/>
          <w:szCs w:val="24"/>
          <w:lang w:val="en-GB"/>
        </w:rPr>
        <w:t>survey</w:t>
      </w:r>
      <w:r w:rsidRPr="00F41111">
        <w:rPr>
          <w:rFonts w:ascii="Times New Roman" w:hAnsi="Times New Roman" w:cs="Times New Roman"/>
          <w:noProof/>
          <w:sz w:val="24"/>
          <w:szCs w:val="24"/>
          <w:lang w:val="en-GB"/>
        </w:rPr>
        <w:t xml:space="preserve"> was deployed using the contractor’s survey tool. The survey targeted national LEAs, national judicial authorities (specifically, Eurojust national desks and European Judicial Network contact points) and national data protection authorities. The consultation ran for eight weeks, from 5 March 2021 to 30 April 2021. In total, 239 responses were received: 216 from national LEAs’ representatives, 13 from national judicial authorities and 10 from national data protection authorities.</w:t>
      </w:r>
    </w:p>
    <w:p w14:paraId="2811EDBB" w14:textId="77777777" w:rsidR="001246D3" w:rsidRPr="00F41111" w:rsidRDefault="001246D3" w:rsidP="00704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120" w:after="120" w:line="240" w:lineRule="auto"/>
        <w:rPr>
          <w:rFonts w:ascii="Times New Roman" w:hAnsi="Times New Roman" w:cs="Times New Roman"/>
          <w:b/>
          <w:bCs/>
          <w:i/>
          <w:iCs/>
          <w:noProof/>
          <w:color w:val="44546A" w:themeColor="text2"/>
          <w:sz w:val="24"/>
          <w:szCs w:val="24"/>
          <w:u w:val="single"/>
          <w:lang w:val="en-GB"/>
        </w:rPr>
      </w:pPr>
      <w:r w:rsidRPr="00F41111">
        <w:rPr>
          <w:rFonts w:ascii="Times New Roman" w:hAnsi="Times New Roman" w:cs="Times New Roman"/>
          <w:b/>
          <w:bCs/>
          <w:i/>
          <w:iCs/>
          <w:noProof/>
          <w:color w:val="44546A" w:themeColor="text2"/>
          <w:sz w:val="24"/>
          <w:szCs w:val="24"/>
          <w:u w:val="single"/>
          <w:lang w:val="en-GB"/>
        </w:rPr>
        <w:t>Interviews with EU bodies, EMPACT actors, Member States, and Academia</w:t>
      </w:r>
    </w:p>
    <w:p w14:paraId="52D9F2C7"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 total 48 individual </w:t>
      </w:r>
      <w:r w:rsidRPr="00F41111">
        <w:rPr>
          <w:rFonts w:ascii="Times New Roman" w:hAnsi="Times New Roman" w:cs="Times New Roman"/>
          <w:b/>
          <w:noProof/>
          <w:sz w:val="24"/>
          <w:szCs w:val="24"/>
          <w:lang w:val="en-GB"/>
        </w:rPr>
        <w:t>interviews</w:t>
      </w:r>
      <w:r w:rsidRPr="00F41111">
        <w:rPr>
          <w:rFonts w:ascii="Times New Roman" w:hAnsi="Times New Roman" w:cs="Times New Roman"/>
          <w:noProof/>
          <w:sz w:val="24"/>
          <w:szCs w:val="24"/>
          <w:lang w:val="en-GB"/>
        </w:rPr>
        <w:t xml:space="preserve"> were conducted with key stakeholders. These included:</w:t>
      </w:r>
    </w:p>
    <w:p w14:paraId="0E439FF3" w14:textId="77777777" w:rsidR="001246D3" w:rsidRPr="00F41111" w:rsidRDefault="001246D3" w:rsidP="00F2536C">
      <w:pPr>
        <w:pStyle w:val="ListParagraph"/>
        <w:numPr>
          <w:ilvl w:val="0"/>
          <w:numId w:val="128"/>
        </w:numPr>
        <w:spacing w:after="2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20 interviews with EU bodies; </w:t>
      </w:r>
    </w:p>
    <w:p w14:paraId="535BF715" w14:textId="77777777" w:rsidR="001246D3" w:rsidRPr="00F41111" w:rsidRDefault="001246D3" w:rsidP="00A21B15">
      <w:pPr>
        <w:pStyle w:val="ListParagraph"/>
        <w:numPr>
          <w:ilvl w:val="0"/>
          <w:numId w:val="128"/>
        </w:numPr>
        <w:spacing w:after="2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10 interviews with EMPACT drivers and two group interviews with EMPACT support managers (in total 21 interviewees); and</w:t>
      </w:r>
    </w:p>
    <w:p w14:paraId="0A22B740" w14:textId="77777777" w:rsidR="001246D3" w:rsidRPr="00F41111" w:rsidRDefault="001246D3" w:rsidP="00A21B15">
      <w:pPr>
        <w:pStyle w:val="ListParagraph"/>
        <w:numPr>
          <w:ilvl w:val="0"/>
          <w:numId w:val="128"/>
        </w:numPr>
        <w:spacing w:after="2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4 interviews with academics and members of think tanks.</w:t>
      </w:r>
    </w:p>
    <w:p w14:paraId="70DCC4D3" w14:textId="77777777" w:rsidR="001246D3" w:rsidRPr="00F41111" w:rsidRDefault="001246D3" w:rsidP="00DD4232">
      <w:pPr>
        <w:pStyle w:val="ListParagraph"/>
        <w:numPr>
          <w:ilvl w:val="0"/>
          <w:numId w:val="128"/>
        </w:numPr>
        <w:spacing w:after="2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12 group interviews with Member State representatives for the case studies.</w:t>
      </w:r>
    </w:p>
    <w:p w14:paraId="6077C3CB"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The interviewees were selected in agreement with the Commission. The interviews were conducted online, for most part via Teams. The interviews were used to collect data on the problems, possible solutions and the impacts of these. </w:t>
      </w:r>
    </w:p>
    <w:p w14:paraId="6D9F275F"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The </w:t>
      </w:r>
      <w:r w:rsidRPr="00F41111">
        <w:rPr>
          <w:rFonts w:ascii="Times New Roman" w:hAnsi="Times New Roman" w:cs="Times New Roman"/>
          <w:b/>
          <w:bCs/>
          <w:noProof/>
          <w:sz w:val="24"/>
          <w:szCs w:val="24"/>
          <w:lang w:val="en-GB"/>
        </w:rPr>
        <w:t>interviews with EU bodies, academia and think tanks</w:t>
      </w:r>
      <w:r w:rsidRPr="00F41111">
        <w:rPr>
          <w:rFonts w:ascii="Times New Roman" w:hAnsi="Times New Roman" w:cs="Times New Roman"/>
          <w:noProof/>
          <w:sz w:val="24"/>
          <w:szCs w:val="24"/>
          <w:lang w:val="en-GB"/>
        </w:rPr>
        <w:t xml:space="preserve"> were focused on collecting expert views on gaps and deficiencies affecting the current EU framework for law enforcement cooperation, as well as qualitative and quantitative information concerning possible impacts of additional measures. The interviews with members of academia served to provide relevant inputs based on their knowledge and past research on cross-border police cooperation.</w:t>
      </w:r>
    </w:p>
    <w:p w14:paraId="0DB6658B"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The involvement of </w:t>
      </w:r>
      <w:r w:rsidRPr="00F41111">
        <w:rPr>
          <w:rFonts w:ascii="Times New Roman" w:hAnsi="Times New Roman" w:cs="Times New Roman"/>
          <w:b/>
          <w:bCs/>
          <w:noProof/>
          <w:sz w:val="24"/>
          <w:szCs w:val="24"/>
          <w:lang w:val="en-GB"/>
        </w:rPr>
        <w:t>EMPACT support mangers and operational action plan (OAP) drivers</w:t>
      </w:r>
      <w:r w:rsidRPr="00F41111">
        <w:rPr>
          <w:rFonts w:ascii="Times New Roman" w:hAnsi="Times New Roman" w:cs="Times New Roman"/>
          <w:noProof/>
          <w:sz w:val="24"/>
          <w:szCs w:val="24"/>
          <w:lang w:val="en-GB"/>
        </w:rPr>
        <w:t xml:space="preserve"> helped gaining a better understanding on the state play in the use, implementation and effectiveness of cross-border law enforcement cooperation measures/practices and investigative tools with regard to each specific priority crime area of the EU Policy Cycle, in order to understand whether there are measures/tools that are particularly used and effective in certain crime areas, but not in others. In other words, this data collection exercise allowed the Study Team to change the angle of the analysis from the legal basis (EU/national/international) to the area of utilisation of specific measures/tools (i.e. priority crimes). </w:t>
      </w:r>
    </w:p>
    <w:p w14:paraId="29624D0E"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In addition</w:t>
      </w:r>
      <w:r w:rsidRPr="00F41111">
        <w:rPr>
          <w:rFonts w:ascii="Times New Roman" w:hAnsi="Times New Roman" w:cs="Times New Roman"/>
          <w:b/>
          <w:bCs/>
          <w:noProof/>
          <w:sz w:val="24"/>
          <w:szCs w:val="24"/>
          <w:lang w:val="en-GB"/>
        </w:rPr>
        <w:t>, interviews with national LEAs</w:t>
      </w:r>
      <w:r w:rsidRPr="00F41111">
        <w:rPr>
          <w:rFonts w:ascii="Times New Roman" w:hAnsi="Times New Roman" w:cs="Times New Roman"/>
          <w:noProof/>
          <w:sz w:val="24"/>
          <w:szCs w:val="24"/>
          <w:lang w:val="en-GB"/>
        </w:rPr>
        <w:t xml:space="preserve"> were performed at the end of phase 1 of the study in order to follow up on specific findings and issues identified during the assessment of the problems.</w:t>
      </w:r>
    </w:p>
    <w:p w14:paraId="3B32D778"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To account for possible national differences in the assessment of the impacts of the policy options, the Study Team undertook case study interviews with national stakeholders from a selected number of Member States to better comprehend the heterogeneity of the institutional and regulatory law enforcement frameworks in the Member States and SAC, and related impacts of the options. Within this framework, an additional </w:t>
      </w:r>
      <w:r w:rsidRPr="00F41111">
        <w:rPr>
          <w:rFonts w:ascii="Times New Roman" w:hAnsi="Times New Roman" w:cs="Times New Roman"/>
          <w:b/>
          <w:bCs/>
          <w:noProof/>
          <w:sz w:val="24"/>
          <w:szCs w:val="24"/>
          <w:lang w:val="en-GB"/>
        </w:rPr>
        <w:t>12 interviews with 26 participants from five countries (Austria, France, Slovenia, Sweden and Switzerland)</w:t>
      </w:r>
      <w:r w:rsidRPr="00F41111">
        <w:rPr>
          <w:rFonts w:ascii="Times New Roman" w:hAnsi="Times New Roman" w:cs="Times New Roman"/>
          <w:noProof/>
          <w:sz w:val="24"/>
          <w:szCs w:val="24"/>
          <w:lang w:val="en-GB"/>
        </w:rPr>
        <w:t xml:space="preserve"> were conducted to provide Member State-level deep dives concerning the expected impacts of the policy options in their country. </w:t>
      </w:r>
    </w:p>
    <w:p w14:paraId="2880F814" w14:textId="77777777" w:rsidR="001246D3" w:rsidRPr="00F41111" w:rsidRDefault="001246D3" w:rsidP="00704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120" w:after="120" w:line="240" w:lineRule="auto"/>
        <w:jc w:val="both"/>
        <w:rPr>
          <w:rFonts w:ascii="Times New Roman" w:hAnsi="Times New Roman" w:cs="Times New Roman"/>
          <w:b/>
          <w:bCs/>
          <w:i/>
          <w:iCs/>
          <w:noProof/>
          <w:color w:val="44546A" w:themeColor="text2"/>
          <w:sz w:val="24"/>
          <w:szCs w:val="24"/>
          <w:u w:val="single"/>
          <w:lang w:val="en-GB"/>
        </w:rPr>
      </w:pPr>
      <w:r w:rsidRPr="00F41111">
        <w:rPr>
          <w:rFonts w:ascii="Times New Roman" w:hAnsi="Times New Roman" w:cs="Times New Roman"/>
          <w:b/>
          <w:bCs/>
          <w:i/>
          <w:iCs/>
          <w:noProof/>
          <w:color w:val="44546A" w:themeColor="text2"/>
          <w:sz w:val="24"/>
          <w:szCs w:val="24"/>
          <w:u w:val="single"/>
          <w:lang w:val="en-GB"/>
        </w:rPr>
        <w:t>Focus groups with representatives of Member States and SAC</w:t>
      </w:r>
    </w:p>
    <w:p w14:paraId="76B9D6CD"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 order to collect first-hand information on the use, practical implementation and effectiveness of four relevant bi/tri/multilateral agreements (i.e. the Benelux agreement; DE-CZ agreement; CH-FR agreement; and Nordic countries agreement), the Study Team organised </w:t>
      </w:r>
      <w:r w:rsidRPr="00F41111">
        <w:rPr>
          <w:rFonts w:ascii="Times New Roman" w:hAnsi="Times New Roman" w:cs="Times New Roman"/>
          <w:b/>
          <w:bCs/>
          <w:noProof/>
          <w:sz w:val="24"/>
          <w:szCs w:val="24"/>
          <w:lang w:val="en-GB"/>
        </w:rPr>
        <w:t>four separate focus groups</w:t>
      </w:r>
      <w:r w:rsidRPr="00F41111">
        <w:rPr>
          <w:rFonts w:ascii="Times New Roman" w:hAnsi="Times New Roman" w:cs="Times New Roman"/>
          <w:noProof/>
          <w:sz w:val="24"/>
          <w:szCs w:val="24"/>
          <w:lang w:val="en-GB"/>
        </w:rPr>
        <w:t xml:space="preserve"> convening the parties involved in each agreement. The focus groups allowed the Study Team to develop an in-depth understanding of the content and scope of said agreements, as well as of their practical implications, including both strengths and weaknesses. The Study Team collected the necessary information to understand whether the agreements are outdated/underused or, on the opposite, whether they include measures on cooperation mechanisms or investigative tools that are innovative or have proved to be particularly effective in combating cross-border crime. The focus groups involved a total of 48 participants. Each group included participants from each Member State and SAC who has signed the agreement and included stakeholders from different agencies (for example, police, customs, and other specialist departments).</w:t>
      </w:r>
    </w:p>
    <w:p w14:paraId="527277DF" w14:textId="77777777" w:rsidR="001246D3" w:rsidRPr="00F41111" w:rsidRDefault="001246D3" w:rsidP="001246D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120" w:after="120"/>
        <w:jc w:val="both"/>
        <w:rPr>
          <w:rFonts w:ascii="Times New Roman" w:hAnsi="Times New Roman" w:cs="Times New Roman"/>
          <w:b/>
          <w:bCs/>
          <w:i/>
          <w:iCs/>
          <w:noProof/>
          <w:color w:val="44546A" w:themeColor="text2"/>
          <w:sz w:val="24"/>
          <w:szCs w:val="24"/>
          <w:u w:val="single"/>
          <w:lang w:val="en-GB"/>
        </w:rPr>
      </w:pPr>
      <w:r w:rsidRPr="00F41111">
        <w:rPr>
          <w:rFonts w:ascii="Times New Roman" w:hAnsi="Times New Roman" w:cs="Times New Roman"/>
          <w:b/>
          <w:bCs/>
          <w:i/>
          <w:iCs/>
          <w:noProof/>
          <w:color w:val="44546A" w:themeColor="text2"/>
          <w:sz w:val="24"/>
          <w:szCs w:val="24"/>
          <w:u w:val="single"/>
          <w:lang w:val="en-GB"/>
        </w:rPr>
        <w:t>Technical workshops with representatives of Member States and SAC</w:t>
      </w:r>
    </w:p>
    <w:p w14:paraId="0C6D9A87" w14:textId="77777777" w:rsidR="001246D3" w:rsidRPr="00F41111" w:rsidRDefault="001246D3" w:rsidP="001246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40" w:after="40"/>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 xml:space="preserve">Two full-days technical workshops </w:t>
      </w:r>
      <w:r w:rsidRPr="00F41111">
        <w:rPr>
          <w:rFonts w:ascii="Times New Roman" w:hAnsi="Times New Roman" w:cs="Times New Roman"/>
          <w:bCs/>
          <w:noProof/>
          <w:sz w:val="24"/>
          <w:szCs w:val="24"/>
          <w:lang w:val="en-GB"/>
        </w:rPr>
        <w:t xml:space="preserve">were </w:t>
      </w:r>
      <w:r w:rsidRPr="00F41111">
        <w:rPr>
          <w:rFonts w:ascii="Times New Roman" w:hAnsi="Times New Roman" w:cs="Times New Roman"/>
          <w:noProof/>
          <w:sz w:val="24"/>
          <w:szCs w:val="24"/>
          <w:lang w:val="en-GB"/>
        </w:rPr>
        <w:t>organised and animated by the Study Team. Each workshop involved close to 200 participants. The objectives of each workshop were as follows:</w:t>
      </w:r>
    </w:p>
    <w:p w14:paraId="63CDF1D3" w14:textId="77777777" w:rsidR="001246D3" w:rsidRPr="00F41111" w:rsidRDefault="001246D3" w:rsidP="00900BC7">
      <w:pPr>
        <w:pStyle w:val="ListParagraph"/>
        <w:numPr>
          <w:ilvl w:val="0"/>
          <w:numId w:val="1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40" w:after="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The </w:t>
      </w:r>
      <w:r w:rsidRPr="00F41111">
        <w:rPr>
          <w:rFonts w:ascii="Times New Roman" w:hAnsi="Times New Roman" w:cs="Times New Roman"/>
          <w:b/>
          <w:bCs/>
          <w:noProof/>
          <w:sz w:val="24"/>
          <w:szCs w:val="24"/>
          <w:lang w:val="en-GB"/>
        </w:rPr>
        <w:t>first technical workshop</w:t>
      </w:r>
      <w:r w:rsidRPr="00F41111">
        <w:rPr>
          <w:rFonts w:ascii="Times New Roman" w:hAnsi="Times New Roman" w:cs="Times New Roman"/>
          <w:noProof/>
          <w:sz w:val="24"/>
          <w:szCs w:val="24"/>
          <w:lang w:val="en-GB"/>
        </w:rPr>
        <w:t xml:space="preserve"> took place on 24 March 2021 in Phase 1 of the study and involved representatives from DG HOME, DG JUST, the Council, Europol and Cepol, as well as representatives from all EU Member States and SAC. The participants were asked to provide their feedback on the nature and scale of identified problems, the EU dimension of the problems and the effective need for further EU action, thus allowing the Study Team to fine-tune the problem definition and the analysis of the evolution of the problem in the absence of any additional EU action. The first technical workshop also allowed the Study Team to cross-check information collected through other sources and collect missing data and information to develop a more complete evidence-base. Finally, this meeting was also used by the Study Team to discuss and explore possible policy options addressing identified problems to be taken into consideration.</w:t>
      </w:r>
    </w:p>
    <w:p w14:paraId="6EC3221D" w14:textId="77777777" w:rsidR="001246D3" w:rsidRPr="00F41111" w:rsidRDefault="001246D3" w:rsidP="00900BC7">
      <w:pPr>
        <w:pStyle w:val="ListParagraph"/>
        <w:numPr>
          <w:ilvl w:val="0"/>
          <w:numId w:val="1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240" w:line="240" w:lineRule="auto"/>
        <w:ind w:left="714" w:hanging="357"/>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The </w:t>
      </w:r>
      <w:r w:rsidRPr="00F41111">
        <w:rPr>
          <w:rFonts w:ascii="Times New Roman" w:hAnsi="Times New Roman" w:cs="Times New Roman"/>
          <w:b/>
          <w:bCs/>
          <w:noProof/>
          <w:sz w:val="24"/>
          <w:szCs w:val="24"/>
          <w:lang w:val="en-GB"/>
        </w:rPr>
        <w:t>second technical workshop</w:t>
      </w:r>
      <w:r w:rsidRPr="00F41111">
        <w:rPr>
          <w:rFonts w:ascii="Times New Roman" w:hAnsi="Times New Roman" w:cs="Times New Roman"/>
          <w:noProof/>
          <w:sz w:val="24"/>
          <w:szCs w:val="24"/>
          <w:lang w:val="en-GB"/>
        </w:rPr>
        <w:t xml:space="preserve"> took place on 24 May 2021 in phase 2 of the study. This workshop involved the same types of stakeholders as the first workshop, namely representatives from DG HOME, DG JUST and the Council, as well as representatives from all EU Member States and SAC. The participants involved in this workshop had the possibility to both give their feedback on the preliminary content of the policy options to address the current problems affecting cross-border law enforcement cooperation and to provide additional information on the likely impacts of the options, thus allowing the Study Team to fine-tune the definition of the options and the assessment of their impacts.</w:t>
      </w:r>
    </w:p>
    <w:p w14:paraId="4F00930B" w14:textId="77777777" w:rsidR="001246D3" w:rsidRPr="00F41111" w:rsidRDefault="001246D3" w:rsidP="001246D3">
      <w:pPr>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Each workshop included:</w:t>
      </w:r>
    </w:p>
    <w:p w14:paraId="6415E509" w14:textId="77777777" w:rsidR="001246D3" w:rsidRPr="00F41111" w:rsidRDefault="001246D3" w:rsidP="00900BC7">
      <w:pPr>
        <w:pStyle w:val="ListParagraph"/>
        <w:numPr>
          <w:ilvl w:val="0"/>
          <w:numId w:val="127"/>
        </w:numPr>
        <w:spacing w:after="24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Plenary sessions</w:t>
      </w:r>
      <w:r w:rsidRPr="00F41111">
        <w:rPr>
          <w:rFonts w:ascii="Times New Roman" w:hAnsi="Times New Roman" w:cs="Times New Roman"/>
          <w:noProof/>
          <w:sz w:val="24"/>
          <w:szCs w:val="24"/>
          <w:lang w:val="en-GB"/>
        </w:rPr>
        <w:t xml:space="preserve"> for the discussion of the study interim findings and preliminary results; and</w:t>
      </w:r>
    </w:p>
    <w:p w14:paraId="37007485" w14:textId="77777777" w:rsidR="001246D3" w:rsidRPr="00F41111" w:rsidRDefault="001246D3" w:rsidP="00900BC7">
      <w:pPr>
        <w:pStyle w:val="ListParagraph"/>
        <w:numPr>
          <w:ilvl w:val="0"/>
          <w:numId w:val="127"/>
        </w:numPr>
        <w:spacing w:after="24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Break-out sessions</w:t>
      </w:r>
      <w:r w:rsidRPr="00F41111">
        <w:rPr>
          <w:rFonts w:ascii="Times New Roman" w:hAnsi="Times New Roman" w:cs="Times New Roman"/>
          <w:noProof/>
          <w:sz w:val="24"/>
          <w:szCs w:val="24"/>
          <w:lang w:val="en-GB"/>
        </w:rPr>
        <w:t xml:space="preserve"> in smaller groups according to information exchange.</w:t>
      </w:r>
    </w:p>
    <w:p w14:paraId="2782DB86" w14:textId="77777777" w:rsidR="001246D3" w:rsidRPr="00F41111" w:rsidRDefault="001246D3" w:rsidP="001246D3">
      <w:pPr>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In addition to both technical workshops, the study team gave a presentation at the law enforcement working party (LEWP) meeting on 16 March 2021. The presentation focused on the study’s objectives and methodology. This synopsis report does not include a detailed summary of this meeting since the study team was only present for its own presentation.</w:t>
      </w:r>
    </w:p>
    <w:p w14:paraId="622C68E9" w14:textId="77777777" w:rsidR="001246D3" w:rsidRPr="00F41111" w:rsidRDefault="00CB2B3A" w:rsidP="001246D3">
      <w:pPr>
        <w:rPr>
          <w:rFonts w:ascii="Times New Roman" w:hAnsi="Times New Roman" w:cs="Times New Roman"/>
          <w:b/>
          <w:noProof/>
          <w:sz w:val="24"/>
          <w:szCs w:val="24"/>
        </w:rPr>
      </w:pPr>
      <w:r w:rsidRPr="00704502">
        <w:rPr>
          <w:rFonts w:ascii="Times New Roman" w:hAnsi="Times New Roman" w:cs="Times New Roman"/>
          <w:b/>
          <w:noProof/>
          <w:sz w:val="24"/>
          <w:szCs w:val="24"/>
          <w:u w:val="single"/>
        </w:rPr>
        <w:t>Exhaustive r</w:t>
      </w:r>
      <w:r w:rsidR="001246D3" w:rsidRPr="00704502">
        <w:rPr>
          <w:rFonts w:ascii="Times New Roman" w:hAnsi="Times New Roman" w:cs="Times New Roman"/>
          <w:b/>
          <w:noProof/>
          <w:sz w:val="24"/>
          <w:szCs w:val="24"/>
          <w:u w:val="single"/>
        </w:rPr>
        <w:t>esults</w:t>
      </w:r>
      <w:r w:rsidR="001246D3" w:rsidRPr="00F41111">
        <w:rPr>
          <w:rFonts w:ascii="Times New Roman" w:hAnsi="Times New Roman" w:cs="Times New Roman"/>
          <w:b/>
          <w:noProof/>
          <w:sz w:val="24"/>
          <w:szCs w:val="24"/>
        </w:rPr>
        <w:t xml:space="preserve"> of the consultation activities</w:t>
      </w:r>
      <w:r>
        <w:rPr>
          <w:rFonts w:ascii="Times New Roman" w:hAnsi="Times New Roman" w:cs="Times New Roman"/>
          <w:b/>
          <w:noProof/>
          <w:sz w:val="24"/>
          <w:szCs w:val="24"/>
        </w:rPr>
        <w:t xml:space="preserve"> carried out as part of </w:t>
      </w:r>
      <w:r w:rsidRPr="00704502">
        <w:rPr>
          <w:rFonts w:ascii="Times New Roman" w:hAnsi="Times New Roman" w:cs="Times New Roman"/>
          <w:b/>
          <w:noProof/>
          <w:sz w:val="24"/>
          <w:szCs w:val="24"/>
          <w:u w:val="single"/>
        </w:rPr>
        <w:t>the support Study</w:t>
      </w:r>
    </w:p>
    <w:p w14:paraId="5CC1AC8D" w14:textId="77777777" w:rsidR="001246D3" w:rsidRPr="00F41111" w:rsidRDefault="001246D3" w:rsidP="001246D3">
      <w:pPr>
        <w:pStyle w:val="Body"/>
        <w:rPr>
          <w:rFonts w:ascii="Times New Roman" w:hAnsi="Times New Roman"/>
          <w:noProof/>
          <w:sz w:val="24"/>
          <w:szCs w:val="24"/>
          <w:lang w:val="en-US"/>
        </w:rPr>
      </w:pPr>
      <w:r w:rsidRPr="00F41111">
        <w:rPr>
          <w:rFonts w:ascii="Times New Roman" w:hAnsi="Times New Roman"/>
          <w:noProof/>
          <w:sz w:val="24"/>
          <w:szCs w:val="24"/>
          <w:lang w:val="en-US"/>
        </w:rPr>
        <w:t>This chapter presents the main findings derived from the various consultation methods.</w:t>
      </w:r>
    </w:p>
    <w:p w14:paraId="0D058B5F" w14:textId="77777777" w:rsidR="001246D3" w:rsidRPr="00F41111" w:rsidRDefault="001246D3" w:rsidP="001246D3">
      <w:pPr>
        <w:rPr>
          <w:rFonts w:ascii="Times New Roman" w:hAnsi="Times New Roman" w:cs="Times New Roman"/>
          <w:b/>
          <w:noProof/>
          <w:sz w:val="24"/>
          <w:szCs w:val="24"/>
        </w:rPr>
      </w:pPr>
      <w:r w:rsidRPr="00F41111">
        <w:rPr>
          <w:rFonts w:ascii="Times New Roman" w:hAnsi="Times New Roman" w:cs="Times New Roman"/>
          <w:b/>
          <w:noProof/>
          <w:sz w:val="24"/>
          <w:szCs w:val="24"/>
        </w:rPr>
        <w:t>Online survey with LEAs, judicial authorities and data protection authorities</w:t>
      </w:r>
    </w:p>
    <w:p w14:paraId="28C06F70" w14:textId="77777777" w:rsidR="001246D3" w:rsidRPr="00F41111" w:rsidRDefault="001246D3" w:rsidP="001246D3">
      <w:pPr>
        <w:pStyle w:val="Body"/>
        <w:jc w:val="both"/>
        <w:rPr>
          <w:rFonts w:ascii="Times New Roman" w:hAnsi="Times New Roman"/>
          <w:noProof/>
          <w:sz w:val="24"/>
          <w:szCs w:val="24"/>
        </w:rPr>
      </w:pPr>
      <w:r w:rsidRPr="00F41111">
        <w:rPr>
          <w:rFonts w:ascii="Times New Roman" w:hAnsi="Times New Roman"/>
          <w:noProof/>
          <w:sz w:val="24"/>
          <w:szCs w:val="24"/>
        </w:rPr>
        <w:t>As indicated above in section 1, in total 239 responses were received to the online survey: 216 responses were received from national LEAs’ representatives, 13 from national judicial authorities and 10 from national data protection authorities.</w:t>
      </w:r>
    </w:p>
    <w:p w14:paraId="797FF0CE" w14:textId="77777777" w:rsidR="001246D3" w:rsidRPr="00F41111" w:rsidRDefault="001246D3" w:rsidP="001246D3">
      <w:pPr>
        <w:pStyle w:val="Body"/>
        <w:keepNext/>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Measures/practices existing at EU and national levels including investigative tools</w:t>
      </w:r>
    </w:p>
    <w:p w14:paraId="3C45F5DD" w14:textId="77777777" w:rsidR="001246D3" w:rsidRPr="00F41111" w:rsidRDefault="001246D3" w:rsidP="001246D3">
      <w:pPr>
        <w:pStyle w:val="Body"/>
        <w:jc w:val="both"/>
        <w:rPr>
          <w:rFonts w:ascii="Times New Roman" w:hAnsi="Times New Roman"/>
          <w:noProof/>
          <w:color w:val="000000" w:themeColor="text1"/>
          <w:sz w:val="24"/>
          <w:szCs w:val="24"/>
        </w:rPr>
      </w:pPr>
      <w:r w:rsidRPr="00F41111">
        <w:rPr>
          <w:rFonts w:ascii="Times New Roman" w:hAnsi="Times New Roman"/>
          <w:noProof/>
          <w:color w:val="000000" w:themeColor="text1"/>
          <w:sz w:val="24"/>
          <w:szCs w:val="24"/>
        </w:rPr>
        <w:t xml:space="preserve">As concerns the </w:t>
      </w:r>
      <w:r w:rsidRPr="00F41111">
        <w:rPr>
          <w:rFonts w:ascii="Times New Roman" w:hAnsi="Times New Roman"/>
          <w:b/>
          <w:bCs/>
          <w:noProof/>
          <w:color w:val="000000" w:themeColor="text1"/>
          <w:sz w:val="24"/>
          <w:szCs w:val="24"/>
        </w:rPr>
        <w:t>existence of bi-/tri-/multilateral agreements</w:t>
      </w:r>
      <w:r w:rsidRPr="00F41111">
        <w:rPr>
          <w:rFonts w:ascii="Times New Roman" w:hAnsi="Times New Roman"/>
          <w:noProof/>
          <w:color w:val="000000" w:themeColor="text1"/>
          <w:sz w:val="24"/>
          <w:szCs w:val="24"/>
        </w:rPr>
        <w:t xml:space="preserve"> concerning law enforcement cooperation, almost all of the survey respondents among LEAs (98%, n=62</w:t>
      </w:r>
      <w:r w:rsidRPr="00F41111">
        <w:rPr>
          <w:rStyle w:val="FootnoteReference"/>
          <w:rFonts w:ascii="Times New Roman" w:hAnsi="Times New Roman"/>
          <w:noProof/>
          <w:color w:val="000000" w:themeColor="text1"/>
          <w:sz w:val="24"/>
          <w:szCs w:val="24"/>
        </w:rPr>
        <w:footnoteReference w:id="138"/>
      </w:r>
      <w:r w:rsidRPr="00F41111">
        <w:rPr>
          <w:rFonts w:ascii="Times New Roman" w:hAnsi="Times New Roman"/>
          <w:noProof/>
          <w:color w:val="000000" w:themeColor="text1"/>
          <w:sz w:val="24"/>
          <w:szCs w:val="24"/>
        </w:rPr>
        <w:t>) confirmed that their country is part of at least one agreement with one or more countries. Moreover, numerous LEAs also confirmed that the agreements in many cases go beyond the provisions in EU instruments (n=19). A lower number of respondents indicated that they address specific legal challenges countries may face when cooperating on specific topics or using specific tools (n=5).</w:t>
      </w:r>
      <w:r w:rsidRPr="00F41111">
        <w:rPr>
          <w:rFonts w:ascii="Times New Roman" w:hAnsi="Times New Roman"/>
          <w:noProof/>
          <w:sz w:val="24"/>
          <w:szCs w:val="24"/>
        </w:rPr>
        <w:t xml:space="preserve"> </w:t>
      </w:r>
      <w:r w:rsidRPr="00F41111">
        <w:rPr>
          <w:rFonts w:ascii="Times New Roman" w:hAnsi="Times New Roman"/>
          <w:noProof/>
          <w:color w:val="000000" w:themeColor="text1"/>
          <w:sz w:val="24"/>
          <w:szCs w:val="24"/>
        </w:rPr>
        <w:t>A very limited number of respondents stated that the agreements they have entered into with other countries were an affirmation of cooperation, which either already existed prior to Schengen or is based on cultural values (n=3). Furthermore, according to a limited number of respondents, the perceived added value of the agreements included the clear outlining of rules and competencies (n=5), and fast information exchange and additional competencies beyond what is outlined in EU documents (n=3). Three respondents explained in this regard that the agreements in their country had more added value when they were created, compared to now, but that there is still value in them now. One respondent described the agreements as a daily manual for their tasks.</w:t>
      </w:r>
    </w:p>
    <w:p w14:paraId="0FFEA256" w14:textId="77777777" w:rsidR="001246D3" w:rsidRDefault="001246D3" w:rsidP="001246D3">
      <w:pPr>
        <w:pStyle w:val="Body"/>
        <w:jc w:val="both"/>
        <w:rPr>
          <w:noProof/>
          <w:color w:val="000000" w:themeColor="text1"/>
        </w:rPr>
      </w:pPr>
      <w:r w:rsidRPr="00F41111">
        <w:rPr>
          <w:rFonts w:ascii="Times New Roman" w:hAnsi="Times New Roman"/>
          <w:noProof/>
          <w:color w:val="000000" w:themeColor="text1"/>
          <w:sz w:val="24"/>
          <w:szCs w:val="24"/>
        </w:rPr>
        <w:t xml:space="preserve">The online survey also included questions on </w:t>
      </w:r>
      <w:r w:rsidRPr="00F41111">
        <w:rPr>
          <w:rFonts w:ascii="Times New Roman" w:hAnsi="Times New Roman"/>
          <w:b/>
          <w:bCs/>
          <w:noProof/>
          <w:color w:val="000000" w:themeColor="text1"/>
          <w:sz w:val="24"/>
          <w:szCs w:val="24"/>
        </w:rPr>
        <w:t>data protection in relation to bi-/tri-/multilateral agreements</w:t>
      </w:r>
      <w:r w:rsidRPr="00F41111">
        <w:rPr>
          <w:rFonts w:ascii="Times New Roman" w:hAnsi="Times New Roman"/>
          <w:noProof/>
          <w:color w:val="000000" w:themeColor="text1"/>
          <w:sz w:val="24"/>
          <w:szCs w:val="24"/>
        </w:rPr>
        <w:t>, which were targeted at data protection authorities. Two thirds of the respondents from this stakeholder group (66% (n=6) confirmed that they had previously been asked to advise or comment on a bi-/tri- or multilateral agreement their country is part of. More than two thirds (70%; n=7) stated that there are no differences in breaches between the implementation of multilateral agreements and the implementation of other cross-border cooperation matters.</w:t>
      </w:r>
    </w:p>
    <w:p w14:paraId="36A67C8F" w14:textId="77777777" w:rsidR="001246D3" w:rsidRPr="00F41111" w:rsidRDefault="001246D3" w:rsidP="001246D3">
      <w:pPr>
        <w:pStyle w:val="Body"/>
        <w:jc w:val="both"/>
        <w:rPr>
          <w:rFonts w:ascii="Times New Roman" w:hAnsi="Times New Roman"/>
          <w:noProof/>
          <w:color w:val="000000" w:themeColor="text1"/>
          <w:sz w:val="24"/>
          <w:szCs w:val="24"/>
        </w:rPr>
      </w:pPr>
      <w:r w:rsidRPr="00F41111">
        <w:rPr>
          <w:rFonts w:ascii="Times New Roman" w:hAnsi="Times New Roman"/>
          <w:noProof/>
          <w:color w:val="000000" w:themeColor="text1"/>
          <w:sz w:val="24"/>
          <w:szCs w:val="24"/>
        </w:rPr>
        <w:t xml:space="preserve">Finally, according to the judicial authorities that responded to the survey, 9% (n=1) of the respondents stated that </w:t>
      </w:r>
      <w:r w:rsidRPr="00F41111">
        <w:rPr>
          <w:rFonts w:ascii="Times New Roman" w:hAnsi="Times New Roman"/>
          <w:b/>
          <w:bCs/>
          <w:noProof/>
          <w:color w:val="000000" w:themeColor="text1"/>
          <w:sz w:val="24"/>
          <w:szCs w:val="24"/>
        </w:rPr>
        <w:t>judicial authorities</w:t>
      </w:r>
      <w:r w:rsidRPr="00F41111">
        <w:rPr>
          <w:rFonts w:ascii="Times New Roman" w:hAnsi="Times New Roman"/>
          <w:noProof/>
          <w:color w:val="000000" w:themeColor="text1"/>
          <w:sz w:val="24"/>
          <w:szCs w:val="24"/>
        </w:rPr>
        <w:t xml:space="preserve"> always need to be </w:t>
      </w:r>
      <w:r w:rsidRPr="00F41111">
        <w:rPr>
          <w:rFonts w:ascii="Times New Roman" w:hAnsi="Times New Roman"/>
          <w:b/>
          <w:bCs/>
          <w:noProof/>
          <w:color w:val="000000" w:themeColor="text1"/>
          <w:sz w:val="24"/>
          <w:szCs w:val="24"/>
        </w:rPr>
        <w:t>involved in the authorisation of investigative tools</w:t>
      </w:r>
      <w:r w:rsidRPr="00F41111">
        <w:rPr>
          <w:rFonts w:ascii="Times New Roman" w:hAnsi="Times New Roman"/>
          <w:noProof/>
          <w:color w:val="000000" w:themeColor="text1"/>
          <w:sz w:val="24"/>
          <w:szCs w:val="24"/>
        </w:rPr>
        <w:t xml:space="preserve">, while 27% (n=3) confirmed an occasional involvement. However, equally many respondents (37%; n=4) stated that no involvement of judicial authorities is required, while 27% (n=3) indicated that they do not know. Regarding the </w:t>
      </w:r>
      <w:r w:rsidRPr="00F41111">
        <w:rPr>
          <w:rFonts w:ascii="Times New Roman" w:hAnsi="Times New Roman"/>
          <w:b/>
          <w:bCs/>
          <w:noProof/>
          <w:color w:val="000000" w:themeColor="text1"/>
          <w:sz w:val="24"/>
          <w:szCs w:val="24"/>
        </w:rPr>
        <w:t>supervision of investigative tools</w:t>
      </w:r>
      <w:r w:rsidRPr="00F41111">
        <w:rPr>
          <w:rFonts w:ascii="Times New Roman" w:hAnsi="Times New Roman"/>
          <w:noProof/>
          <w:color w:val="000000" w:themeColor="text1"/>
          <w:sz w:val="24"/>
          <w:szCs w:val="24"/>
        </w:rPr>
        <w:t>, 43% (n=3) stated that judges or prosecutors are involved in supervising the measures, while an even higher number (57%; n=4) stated that they are not.</w:t>
      </w:r>
    </w:p>
    <w:p w14:paraId="2C054015" w14:textId="77777777" w:rsidR="001246D3" w:rsidRPr="00F41111" w:rsidRDefault="001246D3" w:rsidP="00F2536C">
      <w:pPr>
        <w:pStyle w:val="Body"/>
        <w:keepNext/>
        <w:jc w:val="both"/>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The need to harmonise investigative tools and for EU action</w:t>
      </w:r>
    </w:p>
    <w:p w14:paraId="60784011" w14:textId="77777777" w:rsidR="001246D3" w:rsidRPr="00F41111" w:rsidRDefault="001246D3" w:rsidP="00A21B15">
      <w:pPr>
        <w:pStyle w:val="Body"/>
        <w:jc w:val="both"/>
        <w:rPr>
          <w:rFonts w:ascii="Times New Roman" w:hAnsi="Times New Roman"/>
          <w:noProof/>
          <w:sz w:val="24"/>
          <w:szCs w:val="24"/>
        </w:rPr>
      </w:pPr>
      <w:r w:rsidRPr="00F41111">
        <w:rPr>
          <w:rFonts w:ascii="Times New Roman" w:hAnsi="Times New Roman"/>
          <w:noProof/>
          <w:sz w:val="24"/>
          <w:szCs w:val="24"/>
        </w:rPr>
        <w:t xml:space="preserve">The </w:t>
      </w:r>
      <w:r w:rsidRPr="00F41111">
        <w:rPr>
          <w:rFonts w:ascii="Times New Roman" w:hAnsi="Times New Roman"/>
          <w:b/>
          <w:bCs/>
          <w:noProof/>
          <w:sz w:val="24"/>
          <w:szCs w:val="24"/>
        </w:rPr>
        <w:t>need for EU intervention</w:t>
      </w:r>
      <w:r w:rsidRPr="00F41111">
        <w:rPr>
          <w:rFonts w:ascii="Times New Roman" w:hAnsi="Times New Roman"/>
          <w:noProof/>
          <w:sz w:val="24"/>
          <w:szCs w:val="24"/>
        </w:rPr>
        <w:t xml:space="preserve"> in the field of </w:t>
      </w:r>
      <w:r w:rsidRPr="00F41111">
        <w:rPr>
          <w:rFonts w:ascii="Times New Roman" w:hAnsi="Times New Roman"/>
          <w:b/>
          <w:bCs/>
          <w:noProof/>
          <w:sz w:val="24"/>
          <w:szCs w:val="24"/>
        </w:rPr>
        <w:t>cross-border exchange of and access to information</w:t>
      </w:r>
      <w:r w:rsidRPr="00F41111">
        <w:rPr>
          <w:rFonts w:ascii="Times New Roman" w:hAnsi="Times New Roman"/>
          <w:noProof/>
          <w:sz w:val="24"/>
          <w:szCs w:val="24"/>
        </w:rPr>
        <w:t xml:space="preserve"> is widely supported by the LEAs answering the survey, with 82% (n=131) of the respondents reporting a need for EU action from a ‘moderate’ to a ‘very high’ extent. The percentage of those supporting EU intervention to </w:t>
      </w:r>
      <w:r w:rsidRPr="00F41111">
        <w:rPr>
          <w:rFonts w:ascii="Times New Roman" w:hAnsi="Times New Roman"/>
          <w:b/>
          <w:bCs/>
          <w:noProof/>
          <w:sz w:val="24"/>
          <w:szCs w:val="24"/>
        </w:rPr>
        <w:t>strengthen operational cooperation</w:t>
      </w:r>
      <w:r w:rsidRPr="00F41111">
        <w:rPr>
          <w:rFonts w:ascii="Times New Roman" w:hAnsi="Times New Roman"/>
          <w:noProof/>
          <w:sz w:val="24"/>
          <w:szCs w:val="24"/>
        </w:rPr>
        <w:t xml:space="preserve"> </w:t>
      </w:r>
      <w:r w:rsidRPr="00F41111">
        <w:rPr>
          <w:rFonts w:ascii="Times New Roman" w:hAnsi="Times New Roman"/>
          <w:b/>
          <w:bCs/>
          <w:noProof/>
          <w:sz w:val="24"/>
          <w:szCs w:val="24"/>
        </w:rPr>
        <w:t>for public order and safety</w:t>
      </w:r>
      <w:r w:rsidRPr="00F41111">
        <w:rPr>
          <w:rFonts w:ascii="Times New Roman" w:hAnsi="Times New Roman"/>
          <w:noProof/>
          <w:sz w:val="24"/>
          <w:szCs w:val="24"/>
        </w:rPr>
        <w:t xml:space="preserve"> was somewhat lower, with 52% (n=44), reporting a need to intervene from a ‘moderate’ to a ‘high’ extent. Similarly, 54% (n=83) of LEAs answering the survey reported a strong need for EU intervention to </w:t>
      </w:r>
      <w:r w:rsidRPr="00F41111">
        <w:rPr>
          <w:rFonts w:ascii="Times New Roman" w:hAnsi="Times New Roman"/>
          <w:b/>
          <w:bCs/>
          <w:noProof/>
          <w:sz w:val="24"/>
          <w:szCs w:val="24"/>
        </w:rPr>
        <w:t>improve operational cooperation to fight SOC</w:t>
      </w:r>
      <w:r w:rsidRPr="00F41111">
        <w:rPr>
          <w:rFonts w:ascii="Times New Roman" w:hAnsi="Times New Roman"/>
          <w:noProof/>
          <w:sz w:val="24"/>
          <w:szCs w:val="24"/>
        </w:rPr>
        <w:t>.</w:t>
      </w:r>
    </w:p>
    <w:p w14:paraId="003EAF3C" w14:textId="77777777" w:rsidR="001246D3" w:rsidRPr="00F41111" w:rsidRDefault="001246D3" w:rsidP="00A21B15">
      <w:pPr>
        <w:pStyle w:val="Body"/>
        <w:keepNext/>
        <w:jc w:val="both"/>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The problem definition</w:t>
      </w:r>
    </w:p>
    <w:p w14:paraId="7FD54937" w14:textId="6E283AA5" w:rsidR="001246D3" w:rsidRPr="00F41111" w:rsidRDefault="001246D3" w:rsidP="00DD4232">
      <w:pPr>
        <w:pStyle w:val="Body"/>
        <w:jc w:val="both"/>
        <w:rPr>
          <w:rFonts w:ascii="Times New Roman" w:hAnsi="Times New Roman"/>
          <w:noProof/>
          <w:sz w:val="24"/>
          <w:szCs w:val="24"/>
        </w:rPr>
      </w:pPr>
      <w:r w:rsidRPr="00F41111">
        <w:rPr>
          <w:rFonts w:ascii="Times New Roman" w:hAnsi="Times New Roman"/>
          <w:noProof/>
          <w:sz w:val="24"/>
          <w:szCs w:val="24"/>
        </w:rPr>
        <w:t xml:space="preserve">Considering the issue of </w:t>
      </w:r>
      <w:r w:rsidRPr="00F41111">
        <w:rPr>
          <w:rFonts w:ascii="Times New Roman" w:hAnsi="Times New Roman"/>
          <w:b/>
          <w:bCs/>
          <w:noProof/>
          <w:sz w:val="24"/>
          <w:szCs w:val="24"/>
        </w:rPr>
        <w:t>access to and exchange of necessary information</w:t>
      </w:r>
      <w:r w:rsidRPr="00F41111">
        <w:rPr>
          <w:rFonts w:ascii="Times New Roman" w:hAnsi="Times New Roman"/>
          <w:noProof/>
          <w:sz w:val="24"/>
          <w:szCs w:val="24"/>
        </w:rPr>
        <w:t xml:space="preserve"> among law enforcement authorities, LEAs answering the survey stated that information exchanges related to operations against SOC are frequent, and those related to </w:t>
      </w:r>
      <w:r w:rsidRPr="00F41111">
        <w:rPr>
          <w:rFonts w:ascii="Times New Roman" w:hAnsi="Times New Roman"/>
          <w:b/>
          <w:bCs/>
          <w:noProof/>
          <w:sz w:val="24"/>
          <w:szCs w:val="24"/>
        </w:rPr>
        <w:t>public safety</w:t>
      </w:r>
      <w:r w:rsidRPr="00F41111">
        <w:rPr>
          <w:rFonts w:ascii="Times New Roman" w:hAnsi="Times New Roman"/>
          <w:noProof/>
          <w:sz w:val="24"/>
          <w:szCs w:val="24"/>
        </w:rPr>
        <w:t xml:space="preserve"> are frequent as well, although slightly less so. However, the majority of LEAs responding to the survey (82%, n=98) reported to have experienced some problems when sharing information with other countries, such as time delays to receive the information request (30% of the responses, n=82). As pointed out (62%</w:t>
      </w:r>
      <w:r w:rsidR="00D06D3F">
        <w:rPr>
          <w:rFonts w:ascii="Times New Roman" w:hAnsi="Times New Roman"/>
          <w:noProof/>
          <w:sz w:val="24"/>
          <w:szCs w:val="24"/>
        </w:rPr>
        <w:t xml:space="preserve"> of the responses</w:t>
      </w:r>
      <w:r w:rsidRPr="00F41111">
        <w:rPr>
          <w:rFonts w:ascii="Times New Roman" w:hAnsi="Times New Roman"/>
          <w:noProof/>
          <w:sz w:val="24"/>
          <w:szCs w:val="24"/>
        </w:rPr>
        <w:t>, n=98), such issues are mainly due to the fact that the foundational EU legal framework is not consolidated in all areas, it is spread across several legislative instruments and allows for significant flexibility to the Member States and SAC regarding the implementation of relevant EU provisions.</w:t>
      </w:r>
    </w:p>
    <w:p w14:paraId="3466BA92" w14:textId="77777777" w:rsidR="001246D3" w:rsidRPr="00F41111" w:rsidRDefault="001246D3" w:rsidP="00704502">
      <w:pPr>
        <w:spacing w:line="240" w:lineRule="auto"/>
        <w:rPr>
          <w:rFonts w:ascii="Times New Roman" w:hAnsi="Times New Roman" w:cs="Times New Roman"/>
          <w:b/>
          <w:noProof/>
          <w:sz w:val="24"/>
          <w:szCs w:val="24"/>
        </w:rPr>
      </w:pPr>
      <w:r w:rsidRPr="00F41111">
        <w:rPr>
          <w:rFonts w:ascii="Times New Roman" w:hAnsi="Times New Roman" w:cs="Times New Roman"/>
          <w:b/>
          <w:noProof/>
          <w:sz w:val="24"/>
          <w:szCs w:val="24"/>
        </w:rPr>
        <w:t>Interviews</w:t>
      </w:r>
    </w:p>
    <w:p w14:paraId="64103101" w14:textId="77777777" w:rsidR="001246D3" w:rsidRPr="00F41111" w:rsidRDefault="001246D3" w:rsidP="00704502">
      <w:pPr>
        <w:spacing w:line="240" w:lineRule="auto"/>
        <w:rPr>
          <w:rFonts w:ascii="Times New Roman" w:hAnsi="Times New Roman" w:cs="Times New Roman"/>
          <w:b/>
          <w:i/>
          <w:iCs/>
          <w:noProof/>
          <w:sz w:val="24"/>
          <w:szCs w:val="24"/>
        </w:rPr>
      </w:pPr>
      <w:r w:rsidRPr="00F41111">
        <w:rPr>
          <w:rFonts w:ascii="Times New Roman" w:hAnsi="Times New Roman" w:cs="Times New Roman"/>
          <w:b/>
          <w:i/>
          <w:iCs/>
          <w:noProof/>
          <w:sz w:val="24"/>
          <w:szCs w:val="24"/>
        </w:rPr>
        <w:t>EU bodies</w:t>
      </w:r>
    </w:p>
    <w:p w14:paraId="5C34D585" w14:textId="77777777" w:rsidR="001246D3" w:rsidRPr="00F41111" w:rsidRDefault="001246D3" w:rsidP="00F2536C">
      <w:pPr>
        <w:pStyle w:val="Body"/>
        <w:jc w:val="both"/>
        <w:rPr>
          <w:rFonts w:ascii="Times New Roman" w:hAnsi="Times New Roman"/>
          <w:b/>
          <w:bCs/>
          <w:noProof/>
          <w:sz w:val="24"/>
          <w:szCs w:val="24"/>
          <w:u w:val="single"/>
          <w:lang w:val="en-US"/>
        </w:rPr>
      </w:pPr>
      <w:r w:rsidRPr="00F41111">
        <w:rPr>
          <w:rFonts w:ascii="Times New Roman" w:hAnsi="Times New Roman"/>
          <w:b/>
          <w:bCs/>
          <w:noProof/>
          <w:sz w:val="24"/>
          <w:szCs w:val="24"/>
          <w:u w:val="single"/>
          <w:lang w:val="en-US"/>
        </w:rPr>
        <w:t>Interviews conducted in Phase 1</w:t>
      </w:r>
    </w:p>
    <w:p w14:paraId="71F02734" w14:textId="77777777" w:rsidR="001246D3" w:rsidRPr="00F41111" w:rsidRDefault="001246D3" w:rsidP="00A21B15">
      <w:pPr>
        <w:pStyle w:val="Body"/>
        <w:jc w:val="both"/>
        <w:rPr>
          <w:rFonts w:ascii="Times New Roman" w:hAnsi="Times New Roman"/>
          <w:noProof/>
          <w:sz w:val="24"/>
          <w:szCs w:val="24"/>
          <w:lang w:val="en-US"/>
        </w:rPr>
      </w:pPr>
      <w:r w:rsidRPr="00F41111">
        <w:rPr>
          <w:rFonts w:ascii="Times New Roman" w:hAnsi="Times New Roman"/>
          <w:noProof/>
          <w:sz w:val="24"/>
          <w:szCs w:val="24"/>
          <w:lang w:val="en-US"/>
        </w:rPr>
        <w:t>In the first phase, interviews with EU bodies were conducted to explore the functioning of current law enforcement cooperation practices, including current problems and the need for EU action (CEPOL, EDPS, EJN, EJTN, EMCDDA, EPPO, EUCPN, Eurojust, Europol, FRA, OLAF).</w:t>
      </w:r>
    </w:p>
    <w:p w14:paraId="251CF891" w14:textId="77777777" w:rsidR="001246D3" w:rsidRPr="00F41111" w:rsidRDefault="001246D3" w:rsidP="00A21B15">
      <w:pPr>
        <w:pStyle w:val="Body"/>
        <w:keepNext/>
        <w:jc w:val="both"/>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Policy objectives</w:t>
      </w:r>
    </w:p>
    <w:p w14:paraId="6378A41F" w14:textId="77777777" w:rsidR="001246D3" w:rsidRPr="00F41111" w:rsidRDefault="001246D3" w:rsidP="00DD4232">
      <w:pPr>
        <w:pStyle w:val="Body"/>
        <w:jc w:val="both"/>
        <w:rPr>
          <w:rFonts w:ascii="Times New Roman" w:hAnsi="Times New Roman"/>
          <w:noProof/>
          <w:sz w:val="24"/>
          <w:szCs w:val="24"/>
        </w:rPr>
      </w:pPr>
      <w:r w:rsidRPr="00F41111">
        <w:rPr>
          <w:rFonts w:ascii="Times New Roman" w:hAnsi="Times New Roman"/>
          <w:noProof/>
          <w:sz w:val="24"/>
          <w:szCs w:val="24"/>
        </w:rPr>
        <w:t>Representatives from EU bodies expressed the need to develop instruments setting common standards and ensuring:</w:t>
      </w:r>
    </w:p>
    <w:p w14:paraId="263D241D" w14:textId="77777777" w:rsidR="001246D3" w:rsidRPr="00F41111" w:rsidRDefault="001246D3">
      <w:pPr>
        <w:pStyle w:val="Bulletmain"/>
        <w:numPr>
          <w:ilvl w:val="0"/>
          <w:numId w:val="129"/>
        </w:numPr>
        <w:spacing w:before="40" w:after="40"/>
        <w:rPr>
          <w:rFonts w:ascii="Times New Roman" w:hAnsi="Times New Roman"/>
          <w:noProof/>
          <w:sz w:val="24"/>
          <w:szCs w:val="24"/>
        </w:rPr>
      </w:pPr>
      <w:r w:rsidRPr="00F41111">
        <w:rPr>
          <w:rFonts w:ascii="Times New Roman" w:hAnsi="Times New Roman"/>
          <w:noProof/>
          <w:sz w:val="24"/>
          <w:szCs w:val="24"/>
        </w:rPr>
        <w:t xml:space="preserve">A convergence of LEAs towards a common understanding of the use of tools; </w:t>
      </w:r>
    </w:p>
    <w:p w14:paraId="129F20C3" w14:textId="77777777" w:rsidR="001246D3" w:rsidRPr="00F41111" w:rsidRDefault="001246D3">
      <w:pPr>
        <w:pStyle w:val="Bulletmain"/>
        <w:numPr>
          <w:ilvl w:val="0"/>
          <w:numId w:val="129"/>
        </w:numPr>
        <w:spacing w:before="40" w:after="40"/>
        <w:rPr>
          <w:rFonts w:ascii="Times New Roman" w:hAnsi="Times New Roman"/>
          <w:noProof/>
          <w:sz w:val="24"/>
          <w:szCs w:val="24"/>
        </w:rPr>
      </w:pPr>
      <w:r w:rsidRPr="00F41111">
        <w:rPr>
          <w:rFonts w:ascii="Times New Roman" w:hAnsi="Times New Roman"/>
          <w:noProof/>
          <w:sz w:val="24"/>
          <w:szCs w:val="24"/>
        </w:rPr>
        <w:t xml:space="preserve">A common and shared assessment of threats affecting the EU; </w:t>
      </w:r>
    </w:p>
    <w:p w14:paraId="7DB8A377" w14:textId="77777777" w:rsidR="001246D3" w:rsidRPr="00F41111" w:rsidRDefault="001246D3">
      <w:pPr>
        <w:pStyle w:val="Body"/>
        <w:numPr>
          <w:ilvl w:val="0"/>
          <w:numId w:val="129"/>
        </w:numPr>
        <w:spacing w:before="40" w:after="40"/>
        <w:jc w:val="both"/>
        <w:rPr>
          <w:rFonts w:ascii="Times New Roman" w:hAnsi="Times New Roman"/>
          <w:noProof/>
          <w:sz w:val="24"/>
          <w:szCs w:val="24"/>
        </w:rPr>
      </w:pPr>
      <w:r w:rsidRPr="00F41111">
        <w:rPr>
          <w:rFonts w:ascii="Times New Roman" w:hAnsi="Times New Roman"/>
          <w:noProof/>
          <w:sz w:val="24"/>
          <w:szCs w:val="24"/>
        </w:rPr>
        <w:t xml:space="preserve">A common practice to gather information from all EU Member States in a similar way and have comparable data available; </w:t>
      </w:r>
    </w:p>
    <w:p w14:paraId="2F640923" w14:textId="77777777" w:rsidR="001246D3" w:rsidRPr="00F41111" w:rsidRDefault="001246D3">
      <w:pPr>
        <w:pStyle w:val="Body"/>
        <w:spacing w:before="40" w:after="40"/>
        <w:ind w:left="720"/>
        <w:jc w:val="both"/>
        <w:rPr>
          <w:rFonts w:ascii="Times New Roman" w:hAnsi="Times New Roman"/>
          <w:noProof/>
          <w:sz w:val="24"/>
          <w:szCs w:val="24"/>
        </w:rPr>
      </w:pPr>
    </w:p>
    <w:p w14:paraId="2BBF55C3" w14:textId="77777777" w:rsidR="001246D3" w:rsidRPr="00F41111" w:rsidRDefault="001246D3">
      <w:pPr>
        <w:pStyle w:val="Body"/>
        <w:jc w:val="both"/>
        <w:rPr>
          <w:rFonts w:ascii="Times New Roman" w:hAnsi="Times New Roman"/>
          <w:noProof/>
          <w:sz w:val="24"/>
          <w:szCs w:val="24"/>
        </w:rPr>
      </w:pPr>
      <w:r w:rsidRPr="00F41111">
        <w:rPr>
          <w:rFonts w:ascii="Times New Roman" w:hAnsi="Times New Roman"/>
          <w:noProof/>
          <w:sz w:val="24"/>
          <w:szCs w:val="24"/>
        </w:rPr>
        <w:t>On a more operational level, guidelines for information sharing were seen as flexible instruments as they allow Member States to maintain “room for manoeuvre” and adapt them to their specific needs. Non-binding documents were seen as a compromise reached at the political level, as it is hardly possible to commit 27 Member States to only one binding still more effective document.</w:t>
      </w:r>
    </w:p>
    <w:p w14:paraId="6649EFB5" w14:textId="77777777" w:rsidR="001246D3" w:rsidRPr="00F41111" w:rsidRDefault="001246D3">
      <w:pPr>
        <w:pStyle w:val="Body"/>
        <w:jc w:val="both"/>
        <w:rPr>
          <w:rFonts w:ascii="Times New Roman" w:hAnsi="Times New Roman"/>
          <w:noProof/>
          <w:sz w:val="24"/>
          <w:szCs w:val="24"/>
        </w:rPr>
      </w:pPr>
      <w:r w:rsidRPr="00F41111">
        <w:rPr>
          <w:rFonts w:ascii="Times New Roman" w:hAnsi="Times New Roman"/>
          <w:noProof/>
          <w:sz w:val="24"/>
          <w:szCs w:val="24"/>
        </w:rPr>
        <w:t xml:space="preserve">Stakeholders agreed that the interoperability of databases is an important aspect to be addressed with the aim to ease cross-border cooperation and to overcome the current issues related to the presence of divergent approaches. </w:t>
      </w:r>
    </w:p>
    <w:p w14:paraId="3D7DD2BD" w14:textId="529CA43F" w:rsidR="001246D3" w:rsidRPr="00F41111" w:rsidRDefault="001246D3">
      <w:pPr>
        <w:pStyle w:val="Body"/>
        <w:jc w:val="both"/>
        <w:rPr>
          <w:rFonts w:ascii="Times New Roman" w:hAnsi="Times New Roman"/>
          <w:noProof/>
          <w:sz w:val="24"/>
          <w:szCs w:val="24"/>
        </w:rPr>
      </w:pPr>
      <w:r w:rsidRPr="00F41111">
        <w:rPr>
          <w:rFonts w:ascii="Times New Roman" w:hAnsi="Times New Roman"/>
          <w:noProof/>
          <w:sz w:val="24"/>
          <w:szCs w:val="24"/>
        </w:rPr>
        <w:t>According to EU bodies</w:t>
      </w:r>
      <w:r w:rsidR="004B4FB4">
        <w:rPr>
          <w:rFonts w:ascii="Times New Roman" w:hAnsi="Times New Roman"/>
          <w:noProof/>
          <w:sz w:val="24"/>
          <w:szCs w:val="24"/>
        </w:rPr>
        <w:t>'</w:t>
      </w:r>
      <w:r w:rsidRPr="00F41111">
        <w:rPr>
          <w:rFonts w:ascii="Times New Roman" w:hAnsi="Times New Roman"/>
          <w:noProof/>
          <w:sz w:val="24"/>
          <w:szCs w:val="24"/>
        </w:rPr>
        <w:t xml:space="preserve"> representatives, EU should also implement measures and mechanisms to compel Member States to share information with each other and with the relevant EU agencies. The final outcome should be the implementation of an automated process to access databases, in order to have a centralised system that every Member State and third countries can benefit from.</w:t>
      </w:r>
    </w:p>
    <w:p w14:paraId="1F0A6A4A" w14:textId="77777777" w:rsidR="001246D3" w:rsidRPr="00F41111" w:rsidRDefault="001246D3">
      <w:pPr>
        <w:pStyle w:val="Body"/>
        <w:jc w:val="both"/>
        <w:rPr>
          <w:rFonts w:ascii="Times New Roman" w:hAnsi="Times New Roman"/>
          <w:noProof/>
          <w:sz w:val="24"/>
          <w:szCs w:val="24"/>
        </w:rPr>
      </w:pPr>
      <w:r w:rsidRPr="00F41111">
        <w:rPr>
          <w:rFonts w:ascii="Times New Roman" w:hAnsi="Times New Roman"/>
          <w:noProof/>
          <w:sz w:val="24"/>
          <w:szCs w:val="24"/>
        </w:rPr>
        <w:t>Regarding data protection, it was seen as important that the legislative framework of data protection is up to date to integrate new forms of cooperation resulting from technological innovation (artificial intelligence or big data). Legislative interventions concerning data protection should address:</w:t>
      </w:r>
    </w:p>
    <w:p w14:paraId="6D9C5340" w14:textId="77777777" w:rsidR="001246D3" w:rsidRPr="00F41111" w:rsidRDefault="001246D3">
      <w:pPr>
        <w:pStyle w:val="Body"/>
        <w:keepNext/>
        <w:numPr>
          <w:ilvl w:val="0"/>
          <w:numId w:val="130"/>
        </w:numPr>
        <w:spacing w:before="40" w:after="40"/>
        <w:ind w:left="714" w:hanging="357"/>
        <w:jc w:val="both"/>
        <w:rPr>
          <w:rFonts w:ascii="Times New Roman" w:hAnsi="Times New Roman"/>
          <w:noProof/>
          <w:sz w:val="24"/>
          <w:szCs w:val="24"/>
        </w:rPr>
      </w:pPr>
      <w:r w:rsidRPr="00F41111">
        <w:rPr>
          <w:rFonts w:ascii="Times New Roman" w:hAnsi="Times New Roman"/>
          <w:noProof/>
          <w:sz w:val="24"/>
          <w:szCs w:val="24"/>
        </w:rPr>
        <w:t>Limited quality of data quality stored in databases;</w:t>
      </w:r>
    </w:p>
    <w:p w14:paraId="2132AB33" w14:textId="77777777" w:rsidR="001246D3" w:rsidRPr="00F41111" w:rsidRDefault="001246D3">
      <w:pPr>
        <w:pStyle w:val="Body"/>
        <w:numPr>
          <w:ilvl w:val="0"/>
          <w:numId w:val="130"/>
        </w:numPr>
        <w:spacing w:before="40" w:after="40"/>
        <w:jc w:val="both"/>
        <w:rPr>
          <w:rFonts w:ascii="Times New Roman" w:hAnsi="Times New Roman"/>
          <w:noProof/>
          <w:sz w:val="24"/>
          <w:szCs w:val="24"/>
        </w:rPr>
      </w:pPr>
      <w:r w:rsidRPr="00F41111">
        <w:rPr>
          <w:rFonts w:ascii="Times New Roman" w:hAnsi="Times New Roman"/>
          <w:noProof/>
          <w:sz w:val="24"/>
          <w:szCs w:val="24"/>
        </w:rPr>
        <w:t>Difficulties comparing data retrieved from different databases as they are stored differently;</w:t>
      </w:r>
    </w:p>
    <w:p w14:paraId="2FDE7B33" w14:textId="77777777" w:rsidR="001246D3" w:rsidRPr="00F41111" w:rsidRDefault="001246D3">
      <w:pPr>
        <w:pStyle w:val="Body"/>
        <w:numPr>
          <w:ilvl w:val="0"/>
          <w:numId w:val="130"/>
        </w:numPr>
        <w:spacing w:before="40" w:after="40"/>
        <w:jc w:val="both"/>
        <w:rPr>
          <w:rFonts w:ascii="Times New Roman" w:hAnsi="Times New Roman"/>
          <w:noProof/>
          <w:sz w:val="24"/>
          <w:szCs w:val="24"/>
        </w:rPr>
      </w:pPr>
      <w:r w:rsidRPr="00F41111">
        <w:rPr>
          <w:rFonts w:ascii="Times New Roman" w:hAnsi="Times New Roman"/>
          <w:noProof/>
          <w:sz w:val="24"/>
          <w:szCs w:val="24"/>
        </w:rPr>
        <w:t>Children’s fundamental rights as part of cross border investigations;</w:t>
      </w:r>
    </w:p>
    <w:p w14:paraId="05292BCC" w14:textId="77777777" w:rsidR="001246D3" w:rsidRPr="00F41111" w:rsidRDefault="001246D3">
      <w:pPr>
        <w:pStyle w:val="Body"/>
        <w:numPr>
          <w:ilvl w:val="0"/>
          <w:numId w:val="130"/>
        </w:numPr>
        <w:spacing w:before="40" w:after="40"/>
        <w:jc w:val="both"/>
        <w:rPr>
          <w:rFonts w:ascii="Times New Roman" w:hAnsi="Times New Roman"/>
          <w:noProof/>
          <w:sz w:val="24"/>
          <w:szCs w:val="24"/>
        </w:rPr>
      </w:pPr>
      <w:r w:rsidRPr="00F41111">
        <w:rPr>
          <w:rFonts w:ascii="Times New Roman" w:hAnsi="Times New Roman"/>
          <w:noProof/>
          <w:sz w:val="24"/>
          <w:szCs w:val="24"/>
        </w:rPr>
        <w:t>Sharing of sensible data with third countries, which may not apply EU standards concerning data protection.</w:t>
      </w:r>
    </w:p>
    <w:p w14:paraId="1781E38A" w14:textId="77777777" w:rsidR="001246D3" w:rsidRPr="00F41111" w:rsidRDefault="001246D3">
      <w:pPr>
        <w:pStyle w:val="Body"/>
        <w:spacing w:before="40" w:after="40"/>
        <w:ind w:left="720"/>
        <w:jc w:val="both"/>
        <w:rPr>
          <w:rFonts w:ascii="Times New Roman" w:hAnsi="Times New Roman"/>
          <w:noProof/>
          <w:sz w:val="24"/>
          <w:szCs w:val="24"/>
        </w:rPr>
      </w:pPr>
    </w:p>
    <w:p w14:paraId="6D02E1F9" w14:textId="77777777" w:rsidR="001246D3" w:rsidRPr="00F41111" w:rsidRDefault="001246D3">
      <w:pPr>
        <w:pStyle w:val="Body"/>
        <w:jc w:val="both"/>
        <w:rPr>
          <w:rFonts w:ascii="Times New Roman" w:hAnsi="Times New Roman"/>
          <w:noProof/>
          <w:sz w:val="24"/>
          <w:szCs w:val="24"/>
        </w:rPr>
      </w:pPr>
      <w:r w:rsidRPr="00F41111">
        <w:rPr>
          <w:rFonts w:ascii="Times New Roman" w:hAnsi="Times New Roman"/>
          <w:b/>
          <w:bCs/>
          <w:noProof/>
          <w:sz w:val="24"/>
          <w:szCs w:val="24"/>
          <w:u w:val="single"/>
          <w:lang w:val="en-US"/>
        </w:rPr>
        <w:t>Interviews conducted in Phase 2</w:t>
      </w:r>
    </w:p>
    <w:p w14:paraId="22A3FA2E"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As second round of interviews with EU bodies were conducted in phase 2 of the assignment (CEPOL, EDPS, EJN, EPPO, EUCPN/ENAA, Europol, FRA, OLAF). </w:t>
      </w:r>
    </w:p>
    <w:p w14:paraId="07C17FC5"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The interviews served to gather additional detailed information concerning:</w:t>
      </w:r>
    </w:p>
    <w:p w14:paraId="254F5FDE" w14:textId="77777777" w:rsidR="001246D3" w:rsidRPr="00F41111" w:rsidRDefault="001246D3" w:rsidP="00704502">
      <w:pPr>
        <w:pStyle w:val="ListParagraph"/>
        <w:numPr>
          <w:ilvl w:val="0"/>
          <w:numId w:val="131"/>
        </w:numPr>
        <w:spacing w:after="16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Possible EU measures to address current problems affecting cross-border law enforcement cooperation; and </w:t>
      </w:r>
    </w:p>
    <w:p w14:paraId="711D7D12" w14:textId="77777777" w:rsidR="001246D3" w:rsidRPr="00F41111" w:rsidRDefault="001246D3" w:rsidP="00704502">
      <w:pPr>
        <w:pStyle w:val="ListParagraph"/>
        <w:numPr>
          <w:ilvl w:val="0"/>
          <w:numId w:val="131"/>
        </w:numPr>
        <w:spacing w:after="16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The likely impacts of these possible EU measures.</w:t>
      </w:r>
    </w:p>
    <w:p w14:paraId="135408F0" w14:textId="77777777" w:rsidR="001246D3" w:rsidRPr="00F41111" w:rsidRDefault="001246D3" w:rsidP="00F2536C">
      <w:pPr>
        <w:pStyle w:val="Body"/>
        <w:keepNext/>
        <w:jc w:val="both"/>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The assessment of the impacts of the policy options</w:t>
      </w:r>
    </w:p>
    <w:p w14:paraId="19E79A29"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Regarding </w:t>
      </w:r>
      <w:r w:rsidRPr="00F41111">
        <w:rPr>
          <w:rFonts w:ascii="Times New Roman" w:hAnsi="Times New Roman" w:cs="Times New Roman"/>
          <w:b/>
          <w:bCs/>
          <w:noProof/>
          <w:sz w:val="24"/>
          <w:szCs w:val="24"/>
          <w:lang w:val="en-GB"/>
        </w:rPr>
        <w:t>information exchange via SIENA and other communication channels</w:t>
      </w:r>
      <w:r w:rsidRPr="00F41111">
        <w:rPr>
          <w:rFonts w:ascii="Times New Roman" w:hAnsi="Times New Roman" w:cs="Times New Roman"/>
          <w:noProof/>
          <w:sz w:val="24"/>
          <w:szCs w:val="24"/>
          <w:lang w:val="en-GB"/>
        </w:rPr>
        <w:t>, interviewees from one EU body did not expect immediate positive direct impacts if English was established as the default language for the use of SIENA. The stakeholders instead saw positive impacts if bilateral communication takes place in (common) national languages, as this would allow for a quicker management of information requests. Instead of establishing English as the default language for the use of SIENA, the representatives considered the introduction of a translation tool as more suitable for information exchange concerning cross-border cases. One interviewee from another EU body also highlighted that obstacles stemming from language barriers hamper efficient information exchange and stressed the need to address language barriers in the near future. In yet another interview, a critical opinion towards the establishment of SIENA as the preferred/default channel for information exchange concerning intra-EU cross-border cases was voiced. Since it was cumbersome for one interviewee to get access to SIENA in his/her operational work due to security restrictions of his/her organisation, s/he could not agree on positive impacts stemming from this potential EU measure.</w:t>
      </w:r>
    </w:p>
    <w:p w14:paraId="6511C87F"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Concerning the </w:t>
      </w:r>
      <w:r w:rsidRPr="00F41111">
        <w:rPr>
          <w:rFonts w:ascii="Times New Roman" w:hAnsi="Times New Roman" w:cs="Times New Roman"/>
          <w:b/>
          <w:bCs/>
          <w:noProof/>
          <w:sz w:val="24"/>
          <w:szCs w:val="24"/>
          <w:lang w:val="en-GB"/>
        </w:rPr>
        <w:t>definitions of requirements for data</w:t>
      </w:r>
      <w:r w:rsidRPr="00F41111">
        <w:rPr>
          <w:rFonts w:ascii="Times New Roman" w:hAnsi="Times New Roman" w:cs="Times New Roman"/>
          <w:noProof/>
          <w:sz w:val="24"/>
          <w:szCs w:val="24"/>
          <w:lang w:val="en-GB"/>
        </w:rPr>
        <w:t xml:space="preserve">, one interviewee highlighted the importance of data accuracy in relation to data, which is subject to exchange. Errors in databases, which appear to be common, undermine the added value of databases and can have a negative impact on fundamental rights, for instance if an innocent individual becomes subject to proceedings. </w:t>
      </w:r>
    </w:p>
    <w:p w14:paraId="7645936A"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As concerns </w:t>
      </w:r>
      <w:r w:rsidRPr="00F41111">
        <w:rPr>
          <w:rFonts w:ascii="Times New Roman" w:hAnsi="Times New Roman" w:cs="Times New Roman"/>
          <w:b/>
          <w:bCs/>
          <w:noProof/>
          <w:sz w:val="24"/>
          <w:szCs w:val="24"/>
          <w:lang w:val="en-GB"/>
        </w:rPr>
        <w:t>training activities</w:t>
      </w:r>
      <w:r w:rsidRPr="00F41111">
        <w:rPr>
          <w:rFonts w:ascii="Times New Roman" w:hAnsi="Times New Roman" w:cs="Times New Roman"/>
          <w:noProof/>
          <w:sz w:val="24"/>
          <w:szCs w:val="24"/>
          <w:lang w:val="en-GB"/>
        </w:rPr>
        <w:t>, interviewees from one EU body did not see immediate positive impacts if shorter intervals between the EU-STNA were introduced (e.g. a reduction from four to two years) since a longer cycle allows for better strategic planning. Similarly, this stakeholder advised against the introduction of mandatory training on EU law enforcement cooperation for officers in specific roles relevant to cross-border law enforcement and at specific levels, as this stakeholder did not have positive experiences with the implementation of mandatory training a year ago. Free and voluntary learning methods were considered as the more feasible option in this regard.</w:t>
      </w:r>
    </w:p>
    <w:p w14:paraId="66353D32" w14:textId="77777777" w:rsidR="001246D3" w:rsidRPr="00F41111" w:rsidRDefault="001246D3" w:rsidP="00704502">
      <w:pPr>
        <w:spacing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Interviewees from other EU bodies highlighted the importance of awareness raising campaigns within the EU law enforcement community. Positive impacts from awareness raising campaigns were expected, as many officials were stated to not be aware of the existing measures and policies in place to facilitate information exchange.</w:t>
      </w:r>
    </w:p>
    <w:p w14:paraId="23799263" w14:textId="77777777" w:rsidR="001246D3" w:rsidRPr="00F41111" w:rsidRDefault="001246D3" w:rsidP="00704502">
      <w:pPr>
        <w:spacing w:line="240" w:lineRule="auto"/>
        <w:rPr>
          <w:rFonts w:ascii="Times New Roman" w:hAnsi="Times New Roman" w:cs="Times New Roman"/>
          <w:b/>
          <w:noProof/>
          <w:sz w:val="24"/>
          <w:szCs w:val="24"/>
        </w:rPr>
      </w:pPr>
      <w:r w:rsidRPr="00F41111">
        <w:rPr>
          <w:rFonts w:ascii="Times New Roman" w:hAnsi="Times New Roman" w:cs="Times New Roman"/>
          <w:b/>
          <w:noProof/>
          <w:sz w:val="24"/>
          <w:szCs w:val="24"/>
        </w:rPr>
        <w:t>EMPACT actors</w:t>
      </w:r>
    </w:p>
    <w:p w14:paraId="09F1B709" w14:textId="77777777" w:rsidR="001246D3" w:rsidRPr="00F41111" w:rsidRDefault="001246D3" w:rsidP="00F2536C">
      <w:pPr>
        <w:pStyle w:val="Body"/>
        <w:jc w:val="both"/>
        <w:rPr>
          <w:rFonts w:ascii="Times New Roman" w:hAnsi="Times New Roman"/>
          <w:b/>
          <w:bCs/>
          <w:i/>
          <w:iCs/>
          <w:noProof/>
          <w:sz w:val="24"/>
          <w:szCs w:val="24"/>
        </w:rPr>
      </w:pPr>
      <w:r w:rsidRPr="00F41111">
        <w:rPr>
          <w:rFonts w:ascii="Times New Roman" w:hAnsi="Times New Roman"/>
          <w:b/>
          <w:bCs/>
          <w:i/>
          <w:iCs/>
          <w:noProof/>
          <w:color w:val="44546A" w:themeColor="text2"/>
          <w:sz w:val="24"/>
          <w:szCs w:val="24"/>
        </w:rPr>
        <w:t xml:space="preserve">Objectives and overview of the interviews with EMPACT drivers and support managers </w:t>
      </w:r>
    </w:p>
    <w:p w14:paraId="19078A4C"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Interviews with EMPACT stakeholders were conducted as part of the study, including: </w:t>
      </w:r>
    </w:p>
    <w:p w14:paraId="515137A9" w14:textId="77777777" w:rsidR="001246D3" w:rsidRPr="00F41111" w:rsidRDefault="001246D3" w:rsidP="00704502">
      <w:pPr>
        <w:numPr>
          <w:ilvl w:val="0"/>
          <w:numId w:val="133"/>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Ten individual interviews with EMPACT drivers; and </w:t>
      </w:r>
    </w:p>
    <w:p w14:paraId="33D1351F" w14:textId="77777777" w:rsidR="001246D3" w:rsidRPr="00F41111" w:rsidRDefault="001246D3" w:rsidP="00704502">
      <w:pPr>
        <w:numPr>
          <w:ilvl w:val="0"/>
          <w:numId w:val="133"/>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Two Group interviews with EMPACT support managers (4 and 7 interviewees respectively).</w:t>
      </w:r>
    </w:p>
    <w:p w14:paraId="7BEFC139" w14:textId="77777777" w:rsidR="001246D3" w:rsidRPr="00F41111" w:rsidRDefault="001246D3" w:rsidP="00704502">
      <w:pPr>
        <w:spacing w:before="120" w:after="120" w:line="240" w:lineRule="auto"/>
        <w:rPr>
          <w:rFonts w:ascii="Times New Roman" w:hAnsi="Times New Roman" w:cs="Times New Roman"/>
          <w:i/>
          <w:iCs/>
          <w:noProof/>
          <w:color w:val="7F7F7F" w:themeColor="text1" w:themeTint="80"/>
          <w:sz w:val="24"/>
          <w:szCs w:val="24"/>
        </w:rPr>
      </w:pPr>
      <w:r w:rsidRPr="00F41111">
        <w:rPr>
          <w:rFonts w:ascii="Times New Roman" w:hAnsi="Times New Roman" w:cs="Times New Roman"/>
          <w:noProof/>
          <w:sz w:val="24"/>
          <w:szCs w:val="24"/>
          <w:lang w:val="en-GB"/>
        </w:rPr>
        <w:t>A total of 21 stakeholders were interviewed in the individual and group interviews.</w:t>
      </w:r>
    </w:p>
    <w:p w14:paraId="37D4952E" w14:textId="77777777" w:rsidR="001246D3" w:rsidRPr="00F41111" w:rsidRDefault="001246D3" w:rsidP="00F2536C">
      <w:pPr>
        <w:pStyle w:val="Body"/>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Key results from the interviews</w:t>
      </w:r>
    </w:p>
    <w:p w14:paraId="716BC7B8" w14:textId="77777777" w:rsidR="001246D3" w:rsidRPr="00F41111" w:rsidRDefault="001246D3" w:rsidP="00704502">
      <w:pPr>
        <w:spacing w:after="16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were asked about a series of aspects concerning cross-border cooperation, their efficiency and challenges encountered. </w:t>
      </w:r>
    </w:p>
    <w:p w14:paraId="4ED9DF05" w14:textId="77777777" w:rsidR="001246D3" w:rsidRPr="00F41111" w:rsidRDefault="001246D3" w:rsidP="00704502">
      <w:pPr>
        <w:spacing w:before="120" w:after="120" w:line="240" w:lineRule="auto"/>
        <w:jc w:val="both"/>
        <w:rPr>
          <w:rFonts w:ascii="Times New Roman" w:hAnsi="Times New Roman" w:cs="Times New Roman"/>
          <w:i/>
          <w:iCs/>
          <w:noProof/>
          <w:sz w:val="24"/>
          <w:szCs w:val="24"/>
          <w:u w:val="single"/>
          <w:lang w:val="en-GB"/>
        </w:rPr>
      </w:pPr>
      <w:r w:rsidRPr="00F41111">
        <w:rPr>
          <w:rFonts w:ascii="Times New Roman" w:hAnsi="Times New Roman" w:cs="Times New Roman"/>
          <w:i/>
          <w:iCs/>
          <w:noProof/>
          <w:sz w:val="24"/>
          <w:szCs w:val="24"/>
          <w:u w:val="single"/>
          <w:lang w:val="en-GB"/>
        </w:rPr>
        <w:t>Structures for cooperation</w:t>
      </w:r>
    </w:p>
    <w:p w14:paraId="174DA25A"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in the individual and group interviews were asked about the </w:t>
      </w:r>
      <w:r w:rsidRPr="00F41111">
        <w:rPr>
          <w:rFonts w:ascii="Times New Roman" w:hAnsi="Times New Roman" w:cs="Times New Roman"/>
          <w:b/>
          <w:bCs/>
          <w:noProof/>
          <w:sz w:val="24"/>
          <w:szCs w:val="24"/>
          <w:lang w:val="en-GB"/>
        </w:rPr>
        <w:t>use of multiple structures in place in cross-border cooperation</w:t>
      </w:r>
      <w:r w:rsidRPr="00F41111">
        <w:rPr>
          <w:rFonts w:ascii="Times New Roman" w:hAnsi="Times New Roman" w:cs="Times New Roman"/>
          <w:noProof/>
          <w:sz w:val="24"/>
          <w:szCs w:val="24"/>
          <w:lang w:val="en-GB"/>
        </w:rPr>
        <w:t>. The following structures were provided as prompts to the interviewees: Single Point of Contact (SPOCs); Police and Custom Cooperation Centres (PCCCs), National SIRENE Bureaux; Europol Liaison Officials; Swedish Framework Decision (SFD); Manual on cross border cooperation National Factsheets (13920/20).</w:t>
      </w:r>
    </w:p>
    <w:p w14:paraId="185A20E1" w14:textId="77777777" w:rsidR="001246D3" w:rsidRPr="00C708D1" w:rsidRDefault="001246D3" w:rsidP="00704502">
      <w:pPr>
        <w:spacing w:before="120" w:after="120" w:line="240" w:lineRule="auto"/>
        <w:jc w:val="both"/>
        <w:rPr>
          <w:rFonts w:ascii="Verdana" w:hAnsi="Verdana" w:cstheme="minorHAnsi"/>
          <w:noProof/>
          <w:lang w:val="en-GB"/>
        </w:rPr>
      </w:pPr>
      <w:r w:rsidRPr="00F41111">
        <w:rPr>
          <w:rFonts w:ascii="Times New Roman" w:hAnsi="Times New Roman" w:cs="Times New Roman"/>
          <w:noProof/>
          <w:sz w:val="24"/>
          <w:szCs w:val="24"/>
          <w:lang w:val="en-GB"/>
        </w:rPr>
        <w:t xml:space="preserve">There was </w:t>
      </w:r>
      <w:r w:rsidRPr="00F41111">
        <w:rPr>
          <w:rFonts w:ascii="Times New Roman" w:hAnsi="Times New Roman" w:cs="Times New Roman"/>
          <w:b/>
          <w:bCs/>
          <w:noProof/>
          <w:sz w:val="24"/>
          <w:szCs w:val="24"/>
          <w:lang w:val="en-GB"/>
        </w:rPr>
        <w:t>no overall consensus</w:t>
      </w:r>
      <w:r w:rsidRPr="00F41111">
        <w:rPr>
          <w:rFonts w:ascii="Times New Roman" w:hAnsi="Times New Roman" w:cs="Times New Roman"/>
          <w:noProof/>
          <w:sz w:val="24"/>
          <w:szCs w:val="24"/>
          <w:lang w:val="en-GB"/>
        </w:rPr>
        <w:t xml:space="preserve"> on which tool is the preferred tool. Different structures seem to be used in different crime areas and countries. For example, the PCCCs between two countries were stated to work well, but this cannot always be replicated in other countries due to resource constraints. The Swedish Framework Decision was highlighted as particularly useful for financial crimes. Each structure in place was created with a specific purpose within cross border communication. As most of these structures were created decades ago, interviewees voiced concerns over these structures not reflecting the current needs of investigation teams, in particular with regard to cybercrime, where quicker and more direct cooperation with experts in the field is needed. </w:t>
      </w:r>
    </w:p>
    <w:p w14:paraId="54AC0478"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The </w:t>
      </w:r>
      <w:r w:rsidRPr="00F41111">
        <w:rPr>
          <w:rFonts w:ascii="Times New Roman" w:hAnsi="Times New Roman" w:cs="Times New Roman"/>
          <w:b/>
          <w:bCs/>
          <w:noProof/>
          <w:sz w:val="24"/>
          <w:szCs w:val="24"/>
          <w:lang w:val="en-GB"/>
        </w:rPr>
        <w:t>potential of centralisation</w:t>
      </w:r>
      <w:r w:rsidRPr="00F41111">
        <w:rPr>
          <w:rFonts w:ascii="Times New Roman" w:hAnsi="Times New Roman" w:cs="Times New Roman"/>
          <w:noProof/>
          <w:sz w:val="24"/>
          <w:szCs w:val="24"/>
          <w:lang w:val="en-GB"/>
        </w:rPr>
        <w:t xml:space="preserve"> of these structures into one structure was discussed. Interviewees agreed that the existing structures should be revised instead of creating a new one. Centralisation into one system was raised as potentially problematic due to the number of requests which would be going through the system per day.</w:t>
      </w:r>
    </w:p>
    <w:p w14:paraId="66345A4A"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acknowledged that </w:t>
      </w:r>
      <w:r w:rsidRPr="00F41111">
        <w:rPr>
          <w:rFonts w:ascii="Times New Roman" w:hAnsi="Times New Roman" w:cs="Times New Roman"/>
          <w:b/>
          <w:bCs/>
          <w:noProof/>
          <w:sz w:val="24"/>
          <w:szCs w:val="24"/>
          <w:lang w:val="en-GB"/>
        </w:rPr>
        <w:t>cross-border cooperation has increased</w:t>
      </w:r>
      <w:r w:rsidRPr="00F41111">
        <w:rPr>
          <w:rFonts w:ascii="Times New Roman" w:hAnsi="Times New Roman" w:cs="Times New Roman"/>
          <w:noProof/>
          <w:sz w:val="24"/>
          <w:szCs w:val="24"/>
          <w:lang w:val="en-GB"/>
        </w:rPr>
        <w:t xml:space="preserve"> over the past decades.</w:t>
      </w:r>
      <w:r w:rsidRPr="00F41111">
        <w:rPr>
          <w:rFonts w:ascii="Times New Roman" w:hAnsi="Times New Roman" w:cs="Times New Roman"/>
          <w:noProof/>
          <w:sz w:val="24"/>
          <w:szCs w:val="24"/>
          <w:vertAlign w:val="superscript"/>
          <w:lang w:val="en-GB"/>
        </w:rPr>
        <w:t xml:space="preserve"> </w:t>
      </w:r>
      <w:r w:rsidRPr="00F41111">
        <w:rPr>
          <w:rFonts w:ascii="Times New Roman" w:hAnsi="Times New Roman" w:cs="Times New Roman"/>
          <w:noProof/>
          <w:sz w:val="24"/>
          <w:szCs w:val="24"/>
          <w:lang w:val="en-GB"/>
        </w:rPr>
        <w:t>Cooperation has improved significantly already, however, the changing crime landscape is posing new challenges. Cross-border cooperation needs effective tools to address new types of crimes, such as cybercrimes, and new types of criminal networks, online and dispersed over several countries. There is a need to reflect this in national legislation and the agreements guiding cross-border cooperation. Currently the required paperwork and often the national legislation is slowing investigations down.</w:t>
      </w:r>
    </w:p>
    <w:p w14:paraId="0178BBE7" w14:textId="77777777" w:rsidR="001246D3" w:rsidRPr="00F41111" w:rsidRDefault="001246D3" w:rsidP="00704502">
      <w:pPr>
        <w:spacing w:before="120" w:after="120" w:line="240" w:lineRule="auto"/>
        <w:jc w:val="both"/>
        <w:rPr>
          <w:rFonts w:ascii="Times New Roman" w:hAnsi="Times New Roman" w:cs="Times New Roman"/>
          <w:i/>
          <w:iCs/>
          <w:noProof/>
          <w:sz w:val="24"/>
          <w:szCs w:val="24"/>
          <w:u w:val="single"/>
          <w:lang w:val="en-GB"/>
        </w:rPr>
      </w:pPr>
      <w:r w:rsidRPr="00F41111">
        <w:rPr>
          <w:rFonts w:ascii="Times New Roman" w:hAnsi="Times New Roman" w:cs="Times New Roman"/>
          <w:i/>
          <w:iCs/>
          <w:noProof/>
          <w:sz w:val="24"/>
          <w:szCs w:val="24"/>
          <w:u w:val="single"/>
          <w:lang w:val="en-GB"/>
        </w:rPr>
        <w:t>Information exchange platforms</w:t>
      </w:r>
    </w:p>
    <w:p w14:paraId="0FCD396E"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in the individual and group interviews were asked about the </w:t>
      </w:r>
      <w:r w:rsidRPr="00F41111">
        <w:rPr>
          <w:rFonts w:ascii="Times New Roman" w:hAnsi="Times New Roman" w:cs="Times New Roman"/>
          <w:b/>
          <w:bCs/>
          <w:noProof/>
          <w:sz w:val="24"/>
          <w:szCs w:val="24"/>
          <w:lang w:val="en-GB"/>
        </w:rPr>
        <w:t>use of information exchange platforms</w:t>
      </w:r>
      <w:r w:rsidRPr="00F41111">
        <w:rPr>
          <w:rFonts w:ascii="Times New Roman" w:hAnsi="Times New Roman" w:cs="Times New Roman"/>
          <w:noProof/>
          <w:sz w:val="24"/>
          <w:szCs w:val="24"/>
          <w:lang w:val="en-GB"/>
        </w:rPr>
        <w:t xml:space="preserve"> in place in cross-border cooperation. The following structures were provided as prompts to the interviewees: SIENA; the Schengen Information System (SIS); the Europol Information System (EIS); Interpol exchange channels; and the Visa Information System (VIS).</w:t>
      </w:r>
    </w:p>
    <w:p w14:paraId="4F20E064"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found that there are currently too many different platforms and databases for exchanging information. As with the cooperation structures, interviewees highlighted that these platforms/ databases were each created with a specific purpose in mind. However, different countries have different preferences concerning which platform to use. Because of the amount of platforms countries can choose from, information is often scattered and it is unclear what information is available. Interviewees suggested reviewing and reforming existing platforms and potentially link them, rather than creating a completely new tool. </w:t>
      </w:r>
    </w:p>
    <w:p w14:paraId="3B4D40D8"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Trust between the countries involved in cooperation was mentioned as the most important aspect for the efficient sharing of information. Interviewees explained that most countries are reluctant to upload sensitive information to share with everyone else and with Europol.</w:t>
      </w:r>
    </w:p>
    <w:p w14:paraId="1DBD7ED4" w14:textId="77777777" w:rsidR="001246D3" w:rsidRPr="00F41111" w:rsidRDefault="001246D3" w:rsidP="00704502">
      <w:pPr>
        <w:spacing w:before="120" w:after="120" w:line="240" w:lineRule="auto"/>
        <w:jc w:val="both"/>
        <w:rPr>
          <w:rFonts w:ascii="Times New Roman" w:hAnsi="Times New Roman" w:cs="Times New Roman"/>
          <w:i/>
          <w:iCs/>
          <w:noProof/>
          <w:sz w:val="24"/>
          <w:szCs w:val="24"/>
          <w:u w:val="single"/>
          <w:lang w:val="en-GB"/>
        </w:rPr>
      </w:pPr>
      <w:r w:rsidRPr="00F41111">
        <w:rPr>
          <w:rFonts w:ascii="Times New Roman" w:hAnsi="Times New Roman" w:cs="Times New Roman"/>
          <w:i/>
          <w:iCs/>
          <w:noProof/>
          <w:sz w:val="24"/>
          <w:szCs w:val="24"/>
          <w:u w:val="single"/>
          <w:lang w:val="en-GB"/>
        </w:rPr>
        <w:t>Multilateral Agreements</w:t>
      </w:r>
    </w:p>
    <w:p w14:paraId="09B75520"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in the individual and group interviews were asked about their </w:t>
      </w:r>
      <w:r w:rsidRPr="00F41111">
        <w:rPr>
          <w:rFonts w:ascii="Times New Roman" w:hAnsi="Times New Roman" w:cs="Times New Roman"/>
          <w:b/>
          <w:bCs/>
          <w:noProof/>
          <w:sz w:val="24"/>
          <w:szCs w:val="24"/>
          <w:lang w:val="en-GB"/>
        </w:rPr>
        <w:t>awareness of bi-/tri-/multilateral agreements</w:t>
      </w:r>
      <w:r w:rsidRPr="00F41111">
        <w:rPr>
          <w:rFonts w:ascii="Times New Roman" w:hAnsi="Times New Roman" w:cs="Times New Roman"/>
          <w:noProof/>
          <w:sz w:val="24"/>
          <w:szCs w:val="24"/>
          <w:lang w:val="en-GB"/>
        </w:rPr>
        <w:t xml:space="preserve"> and how they are being used in practice. Few interviewees had experience working under bi-/tri-/multilateral agreements. It was nevertheless highlighted that for those colleagues working in the border regions, these agreements are useful to ensure smooth cooperation. It was highlighted that sometimes the bureaucracy and national legislation related to the agreements can slow down cooperation in border areas and make it more complicated for the officials working with them. </w:t>
      </w:r>
    </w:p>
    <w:p w14:paraId="59495263" w14:textId="77777777" w:rsidR="001246D3" w:rsidRPr="00F41111" w:rsidRDefault="001246D3" w:rsidP="00704502">
      <w:pPr>
        <w:keepNext/>
        <w:spacing w:before="120" w:after="120" w:line="240" w:lineRule="auto"/>
        <w:jc w:val="both"/>
        <w:rPr>
          <w:rFonts w:ascii="Times New Roman" w:hAnsi="Times New Roman" w:cs="Times New Roman"/>
          <w:i/>
          <w:iCs/>
          <w:noProof/>
          <w:sz w:val="24"/>
          <w:szCs w:val="24"/>
          <w:u w:val="single"/>
          <w:lang w:val="en-GB"/>
        </w:rPr>
      </w:pPr>
      <w:r w:rsidRPr="00F41111">
        <w:rPr>
          <w:rFonts w:ascii="Times New Roman" w:hAnsi="Times New Roman" w:cs="Times New Roman"/>
          <w:i/>
          <w:iCs/>
          <w:noProof/>
          <w:sz w:val="24"/>
          <w:szCs w:val="24"/>
          <w:u w:val="single"/>
          <w:lang w:val="en-GB"/>
        </w:rPr>
        <w:t>Future Needs</w:t>
      </w:r>
    </w:p>
    <w:p w14:paraId="6CEA8EC8" w14:textId="77777777" w:rsidR="001246D3" w:rsidRPr="00F41111" w:rsidRDefault="001246D3" w:rsidP="00704502">
      <w:p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in the individual and group interviews were asked about the </w:t>
      </w:r>
      <w:r w:rsidRPr="00F41111">
        <w:rPr>
          <w:rFonts w:ascii="Times New Roman" w:hAnsi="Times New Roman" w:cs="Times New Roman"/>
          <w:b/>
          <w:bCs/>
          <w:noProof/>
          <w:sz w:val="24"/>
          <w:szCs w:val="24"/>
          <w:lang w:val="en-GB"/>
        </w:rPr>
        <w:t>future needs</w:t>
      </w:r>
      <w:r w:rsidRPr="00F41111">
        <w:rPr>
          <w:rFonts w:ascii="Times New Roman" w:hAnsi="Times New Roman" w:cs="Times New Roman"/>
          <w:noProof/>
          <w:sz w:val="24"/>
          <w:szCs w:val="24"/>
          <w:lang w:val="en-GB"/>
        </w:rPr>
        <w:t xml:space="preserve"> in cross-border cooperation. Most interviewees acknowledged the progress that has been made in cross-border law enforcement cooperation between different countries. However, interviewees requested reforms to reflect the changing crime landscape. Especially in the area of digital crimes legal reforms are required to account for the fast pace of the crimes.</w:t>
      </w:r>
    </w:p>
    <w:p w14:paraId="7D74814B" w14:textId="77777777" w:rsidR="001246D3" w:rsidRPr="00F41111" w:rsidRDefault="001246D3" w:rsidP="00704502">
      <w:pPr>
        <w:spacing w:after="16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The harmonisation and revision of structures, tools and legislation was also mentioned as a point for EU wide action.</w:t>
      </w:r>
    </w:p>
    <w:p w14:paraId="79911726" w14:textId="77777777" w:rsidR="001246D3" w:rsidRPr="00F41111" w:rsidRDefault="001246D3" w:rsidP="00F2536C">
      <w:pPr>
        <w:pStyle w:val="Body"/>
        <w:keepNext/>
        <w:jc w:val="both"/>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 xml:space="preserve">Good practices </w:t>
      </w:r>
    </w:p>
    <w:p w14:paraId="4E320537" w14:textId="77777777" w:rsidR="001246D3" w:rsidRPr="00F41111" w:rsidRDefault="001246D3" w:rsidP="00704502">
      <w:pPr>
        <w:spacing w:after="16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also provided valuable information on </w:t>
      </w:r>
      <w:r w:rsidR="00BC2D18">
        <w:rPr>
          <w:rFonts w:ascii="Times New Roman" w:hAnsi="Times New Roman" w:cs="Times New Roman"/>
          <w:noProof/>
          <w:sz w:val="24"/>
          <w:szCs w:val="24"/>
          <w:lang w:val="en-GB"/>
        </w:rPr>
        <w:t>'</w:t>
      </w:r>
      <w:r w:rsidRPr="00F41111">
        <w:rPr>
          <w:rFonts w:ascii="Times New Roman" w:hAnsi="Times New Roman" w:cs="Times New Roman"/>
          <w:noProof/>
          <w:sz w:val="24"/>
          <w:szCs w:val="24"/>
          <w:lang w:val="en-GB"/>
        </w:rPr>
        <w:t>good practices</w:t>
      </w:r>
      <w:r w:rsidR="00BC2D18">
        <w:rPr>
          <w:rFonts w:ascii="Times New Roman" w:hAnsi="Times New Roman" w:cs="Times New Roman"/>
          <w:noProof/>
          <w:sz w:val="24"/>
          <w:szCs w:val="24"/>
          <w:lang w:val="en-GB"/>
        </w:rPr>
        <w:t>'</w:t>
      </w:r>
      <w:r w:rsidRPr="00F41111">
        <w:rPr>
          <w:rFonts w:ascii="Times New Roman" w:hAnsi="Times New Roman" w:cs="Times New Roman"/>
          <w:noProof/>
          <w:sz w:val="24"/>
          <w:szCs w:val="24"/>
          <w:lang w:val="en-GB"/>
        </w:rPr>
        <w:t xml:space="preserve"> in different areas of cross-border law enforcement cooperation. Suggestions included: </w:t>
      </w:r>
    </w:p>
    <w:p w14:paraId="6FFEE4EC" w14:textId="77777777" w:rsidR="001246D3" w:rsidRPr="00F41111" w:rsidRDefault="001246D3" w:rsidP="00704502">
      <w:pPr>
        <w:numPr>
          <w:ilvl w:val="0"/>
          <w:numId w:val="134"/>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SPOCs:</w:t>
      </w:r>
      <w:r w:rsidRPr="00F41111">
        <w:rPr>
          <w:rFonts w:ascii="Times New Roman" w:hAnsi="Times New Roman" w:cs="Times New Roman"/>
          <w:noProof/>
          <w:sz w:val="24"/>
          <w:szCs w:val="24"/>
          <w:lang w:val="en-GB"/>
        </w:rPr>
        <w:t xml:space="preserve"> For countries where the single points of contacts are well established, the SPOCs were seen as an added value to establish a course of action for the cooperation.</w:t>
      </w:r>
    </w:p>
    <w:p w14:paraId="20A118B0" w14:textId="77777777" w:rsidR="001246D3" w:rsidRPr="00F41111" w:rsidRDefault="001246D3" w:rsidP="00704502">
      <w:pPr>
        <w:numPr>
          <w:ilvl w:val="0"/>
          <w:numId w:val="134"/>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Trust / Personal Networks:</w:t>
      </w:r>
      <w:r w:rsidRPr="00F41111">
        <w:rPr>
          <w:rFonts w:ascii="Times New Roman" w:hAnsi="Times New Roman" w:cs="Times New Roman"/>
          <w:noProof/>
          <w:sz w:val="24"/>
          <w:szCs w:val="24"/>
          <w:lang w:val="en-GB"/>
        </w:rPr>
        <w:t xml:space="preserve"> Interviewees mentioned trust as the key element for cross-border cooperation. It was explained that informal networks with officials from other countries with whom cooperation has existed for years are often the first point of contact when it is necessary to establish cooperation with another country. The network of the Europol liaison officials was also mentioned as a good practice for cooperation, where trust is built and which facilitates direct cooperation between the countries.</w:t>
      </w:r>
    </w:p>
    <w:p w14:paraId="5F3CE197" w14:textId="77777777" w:rsidR="001246D3" w:rsidRPr="00F41111" w:rsidRDefault="001246D3" w:rsidP="00704502">
      <w:pPr>
        <w:numPr>
          <w:ilvl w:val="0"/>
          <w:numId w:val="135"/>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Trust / Crime-area specific network:</w:t>
      </w:r>
      <w:r w:rsidRPr="00F41111">
        <w:rPr>
          <w:rFonts w:ascii="Times New Roman" w:hAnsi="Times New Roman" w:cs="Times New Roman"/>
          <w:noProof/>
          <w:sz w:val="24"/>
          <w:szCs w:val="24"/>
          <w:lang w:val="en-GB"/>
        </w:rPr>
        <w:t xml:space="preserve"> The Joint Cybercrime Action Taskforce (JCAT) was mentioned as a good practice. This taskforce connects cybercrime experts from across the EU to facilitate cooperation. Through continuous cooperation trust can be built, which results in better cooperation. One interviewee highlighted that shared knowledge of the language and terminology in this crime area has resulted in smoother cooperation. ‘SMOKE’ was also mentioned as an effective network of cooperation between police, customs and the tobacco industry in combatting counterfeit cigarette production.</w:t>
      </w:r>
    </w:p>
    <w:p w14:paraId="3DA74CE6" w14:textId="77777777" w:rsidR="001246D3" w:rsidRPr="00F41111" w:rsidRDefault="001246D3" w:rsidP="00704502">
      <w:pPr>
        <w:numPr>
          <w:ilvl w:val="0"/>
          <w:numId w:val="135"/>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Accessibility of communication tools:</w:t>
      </w:r>
      <w:r w:rsidRPr="00F41111">
        <w:rPr>
          <w:rFonts w:ascii="Times New Roman" w:hAnsi="Times New Roman" w:cs="Times New Roman"/>
          <w:noProof/>
          <w:sz w:val="24"/>
          <w:szCs w:val="24"/>
          <w:lang w:val="en-GB"/>
        </w:rPr>
        <w:t xml:space="preserve"> In some countries the accessibility to, for example, SIENA computers, was highlighted as well developed. Two countries were mentioned as good examples, since SIENA computers are accessible across these countries and available to the officials who may need it. </w:t>
      </w:r>
    </w:p>
    <w:p w14:paraId="563DF4BC" w14:textId="77777777" w:rsidR="001246D3" w:rsidRPr="00F41111" w:rsidRDefault="001246D3" w:rsidP="00704502">
      <w:pPr>
        <w:numPr>
          <w:ilvl w:val="0"/>
          <w:numId w:val="135"/>
        </w:numPr>
        <w:spacing w:before="120" w:after="120" w:line="240" w:lineRule="auto"/>
        <w:ind w:hanging="357"/>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Bilateral agreements:</w:t>
      </w:r>
    </w:p>
    <w:p w14:paraId="21E2C0B1" w14:textId="77777777" w:rsidR="001246D3" w:rsidRPr="00F41111" w:rsidRDefault="001246D3" w:rsidP="00704502">
      <w:pPr>
        <w:numPr>
          <w:ilvl w:val="1"/>
          <w:numId w:val="135"/>
        </w:numPr>
        <w:spacing w:before="120" w:after="120" w:line="240" w:lineRule="auto"/>
        <w:ind w:hanging="357"/>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 xml:space="preserve">Cooperation in border regions: </w:t>
      </w:r>
      <w:r w:rsidRPr="00F41111">
        <w:rPr>
          <w:rFonts w:ascii="Times New Roman" w:hAnsi="Times New Roman" w:cs="Times New Roman"/>
          <w:noProof/>
          <w:sz w:val="24"/>
          <w:szCs w:val="24"/>
          <w:lang w:val="en-GB"/>
        </w:rPr>
        <w:t>Bilateral agreements are seen as the most effective way of cooperation in the border regions and day to day cooperation.</w:t>
      </w:r>
    </w:p>
    <w:p w14:paraId="13070B76" w14:textId="77777777" w:rsidR="001246D3" w:rsidRPr="00F41111" w:rsidRDefault="001246D3" w:rsidP="00F2536C">
      <w:pPr>
        <w:pStyle w:val="Body"/>
        <w:jc w:val="both"/>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 xml:space="preserve">Challenges </w:t>
      </w:r>
    </w:p>
    <w:p w14:paraId="104F7A72" w14:textId="77777777" w:rsidR="001246D3" w:rsidRPr="00F41111" w:rsidRDefault="001246D3" w:rsidP="00704502">
      <w:pPr>
        <w:spacing w:after="40" w:line="240"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 xml:space="preserve">Interviewees were generally in favour of international cooperation and the structures and investigative tools which can be used. However, the interviewees highlighted a set of challenges they face when employing the available structures and investigative tools in practice. </w:t>
      </w:r>
    </w:p>
    <w:p w14:paraId="54193351" w14:textId="77777777" w:rsidR="001246D3" w:rsidRPr="00F41111" w:rsidRDefault="001246D3" w:rsidP="00704502">
      <w:pPr>
        <w:numPr>
          <w:ilvl w:val="0"/>
          <w:numId w:val="136"/>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Lack of harmonisation</w:t>
      </w:r>
      <w:r w:rsidRPr="00F41111">
        <w:rPr>
          <w:rFonts w:ascii="Times New Roman" w:hAnsi="Times New Roman" w:cs="Times New Roman"/>
          <w:noProof/>
          <w:sz w:val="24"/>
          <w:szCs w:val="24"/>
          <w:lang w:val="en-GB"/>
        </w:rPr>
        <w:t xml:space="preserve"> and persistent </w:t>
      </w:r>
      <w:r w:rsidRPr="00F41111">
        <w:rPr>
          <w:rFonts w:ascii="Times New Roman" w:hAnsi="Times New Roman" w:cs="Times New Roman"/>
          <w:b/>
          <w:bCs/>
          <w:noProof/>
          <w:sz w:val="24"/>
          <w:szCs w:val="24"/>
          <w:lang w:val="en-GB"/>
        </w:rPr>
        <w:t xml:space="preserve">structural differences </w:t>
      </w:r>
      <w:r w:rsidRPr="00F41111">
        <w:rPr>
          <w:rFonts w:ascii="Times New Roman" w:hAnsi="Times New Roman" w:cs="Times New Roman"/>
          <w:noProof/>
          <w:sz w:val="24"/>
          <w:szCs w:val="24"/>
          <w:lang w:val="en-GB"/>
        </w:rPr>
        <w:t xml:space="preserve">between countries were considered the biggest challenges for law enforcement cooperation. </w:t>
      </w:r>
    </w:p>
    <w:p w14:paraId="65D28456" w14:textId="77777777" w:rsidR="001246D3" w:rsidRPr="00F41111" w:rsidRDefault="001246D3" w:rsidP="00704502">
      <w:pPr>
        <w:numPr>
          <w:ilvl w:val="1"/>
          <w:numId w:val="136"/>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 xml:space="preserve">Legislative perspective: </w:t>
      </w:r>
      <w:r w:rsidRPr="00F41111">
        <w:rPr>
          <w:rFonts w:ascii="Times New Roman" w:hAnsi="Times New Roman" w:cs="Times New Roman"/>
          <w:noProof/>
          <w:sz w:val="24"/>
          <w:szCs w:val="24"/>
          <w:lang w:val="en-GB"/>
        </w:rPr>
        <w:t>Several interviewees spoke about the challenges of using tools in cross-border cooperation due to the different legislation in the Member States. The rights of officials in countries across the EU and the Schengen area differ significantly and it is not always clear to foreign officials what rights they have. In addition, the authorisation of requests and tools is often regulated by national laws, creating substantial difficulties in cross-border cooperation.</w:t>
      </w:r>
    </w:p>
    <w:p w14:paraId="582BD63F" w14:textId="77777777" w:rsidR="001246D3" w:rsidRPr="00F41111" w:rsidRDefault="001246D3" w:rsidP="00704502">
      <w:pPr>
        <w:numPr>
          <w:ilvl w:val="1"/>
          <w:numId w:val="136"/>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Operational perspective</w:t>
      </w:r>
      <w:r w:rsidRPr="00F41111">
        <w:rPr>
          <w:rFonts w:ascii="Times New Roman" w:hAnsi="Times New Roman" w:cs="Times New Roman"/>
          <w:noProof/>
          <w:sz w:val="24"/>
          <w:szCs w:val="24"/>
          <w:lang w:val="en-GB"/>
        </w:rPr>
        <w:t xml:space="preserve">: Across different countries the LEAs responsible for investigations may vary distinctively. These differences may relate to the structure of the police and customs bodies within the countries or to the rights each law enforcement agencies has within their own country. This can hinder cooperation, if it is difficult for foreign officials to assess who the cooperation should be with. This challenge was highlighted in relation to structures, tools and information exchange. </w:t>
      </w:r>
    </w:p>
    <w:p w14:paraId="24C70428" w14:textId="77777777" w:rsidR="001246D3" w:rsidRPr="00F41111" w:rsidRDefault="001246D3" w:rsidP="00704502">
      <w:pPr>
        <w:numPr>
          <w:ilvl w:val="0"/>
          <w:numId w:val="136"/>
        </w:numPr>
        <w:spacing w:before="120" w:after="120" w:line="240" w:lineRule="auto"/>
        <w:ind w:left="714" w:hanging="357"/>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C</w:t>
      </w:r>
      <w:r w:rsidRPr="00F41111">
        <w:rPr>
          <w:rFonts w:ascii="Times New Roman" w:hAnsi="Times New Roman" w:cs="Times New Roman"/>
          <w:b/>
          <w:noProof/>
          <w:sz w:val="24"/>
          <w:szCs w:val="24"/>
          <w:lang w:val="en-GB"/>
        </w:rPr>
        <w:t>hallenges related to the exchange of information</w:t>
      </w:r>
      <w:r w:rsidRPr="00F41111">
        <w:rPr>
          <w:rFonts w:ascii="Times New Roman" w:hAnsi="Times New Roman" w:cs="Times New Roman"/>
          <w:noProof/>
          <w:sz w:val="24"/>
          <w:szCs w:val="24"/>
          <w:lang w:val="en-GB"/>
        </w:rPr>
        <w:t xml:space="preserve">: </w:t>
      </w:r>
    </w:p>
    <w:p w14:paraId="01F74123" w14:textId="77777777" w:rsidR="001246D3" w:rsidRPr="00F41111" w:rsidRDefault="001246D3" w:rsidP="00704502">
      <w:pPr>
        <w:numPr>
          <w:ilvl w:val="1"/>
          <w:numId w:val="136"/>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Existing information</w:t>
      </w:r>
      <w:r w:rsidRPr="00F41111">
        <w:rPr>
          <w:rFonts w:ascii="Times New Roman" w:hAnsi="Times New Roman" w:cs="Times New Roman"/>
          <w:noProof/>
          <w:sz w:val="24"/>
          <w:szCs w:val="24"/>
          <w:lang w:val="en-GB"/>
        </w:rPr>
        <w:t>: It is often unclear what kind of information exists in other countries on persons or goods relevant to an investigation. Interviewees highlighted that using a two-step approach, i.e. making a request first to see if information is available and then to request the information itself often prolongs the investigation process. Member States often seem hesitant to share information in joint databases, often leading to a lack of data in those databases.</w:t>
      </w:r>
    </w:p>
    <w:p w14:paraId="058A7D96" w14:textId="77777777" w:rsidR="001246D3" w:rsidRPr="00F41111" w:rsidRDefault="001246D3" w:rsidP="00704502">
      <w:pPr>
        <w:numPr>
          <w:ilvl w:val="1"/>
          <w:numId w:val="136"/>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Access to communication tools</w:t>
      </w:r>
      <w:r w:rsidRPr="00F41111">
        <w:rPr>
          <w:rFonts w:ascii="Times New Roman" w:hAnsi="Times New Roman" w:cs="Times New Roman"/>
          <w:noProof/>
          <w:sz w:val="24"/>
          <w:szCs w:val="24"/>
          <w:lang w:val="en-GB"/>
        </w:rPr>
        <w:t>: The access to communication tools differs significantly across Members. For example, in some countries SIENA computers are only available to officials in their capital city.</w:t>
      </w:r>
    </w:p>
    <w:p w14:paraId="2D009ADE" w14:textId="77777777" w:rsidR="001246D3" w:rsidRPr="00F41111" w:rsidRDefault="001246D3" w:rsidP="00704502">
      <w:pPr>
        <w:numPr>
          <w:ilvl w:val="1"/>
          <w:numId w:val="136"/>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Usage of information sharing tools</w:t>
      </w:r>
      <w:r w:rsidRPr="00F41111">
        <w:rPr>
          <w:rFonts w:ascii="Times New Roman" w:hAnsi="Times New Roman" w:cs="Times New Roman"/>
          <w:noProof/>
          <w:sz w:val="24"/>
          <w:szCs w:val="24"/>
          <w:lang w:val="en-GB"/>
        </w:rPr>
        <w:t>: While recognising that existing structures for information exchange serve different purposes, the large number of different tools in use can pose challenges. There is variation with regard to which tool is used for what purpose across the Member States. Sometimes this is due to the accessibility or procedures within the Member States. This lack of harmonisation leads to information for one case being partially shared through one tool and partially through another, sometimes with different recipients on these tools. This results in officials not having all necessary information. It was also mentioned that occasionally requests are submitted through different channels resulting in duplication of request.</w:t>
      </w:r>
    </w:p>
    <w:p w14:paraId="0B420A0A" w14:textId="77777777" w:rsidR="001246D3" w:rsidRPr="00F41111" w:rsidRDefault="001246D3" w:rsidP="00704502">
      <w:pPr>
        <w:numPr>
          <w:ilvl w:val="0"/>
          <w:numId w:val="136"/>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Lack of human resources for cooperation:</w:t>
      </w:r>
      <w:r w:rsidRPr="00F41111">
        <w:rPr>
          <w:rFonts w:ascii="Times New Roman" w:hAnsi="Times New Roman" w:cs="Times New Roman"/>
          <w:noProof/>
          <w:sz w:val="24"/>
          <w:szCs w:val="24"/>
          <w:lang w:val="en-GB"/>
        </w:rPr>
        <w:t xml:space="preserve"> The lack of personnel allocated to handle requests for cross-border cooperation was highlighted as a challenge for cooperation. Interviewees highlighted that those handling the requests are often overwhelmed with the number of requests received, which can delay responses to requests. It was also highlighted that often those persons that are responsible for handling the request may not be familiar with the specific crime area of the request, which can lead to issues in addressing it.</w:t>
      </w:r>
    </w:p>
    <w:p w14:paraId="7F87CC3A" w14:textId="77777777" w:rsidR="001246D3" w:rsidRDefault="001246D3" w:rsidP="00704502">
      <w:pPr>
        <w:numPr>
          <w:ilvl w:val="0"/>
          <w:numId w:val="136"/>
        </w:numPr>
        <w:spacing w:before="120" w:after="120" w:line="240"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Lack of awareness of structures, tools and platforms:</w:t>
      </w:r>
      <w:r w:rsidRPr="00F41111">
        <w:rPr>
          <w:rFonts w:ascii="Times New Roman" w:hAnsi="Times New Roman" w:cs="Times New Roman"/>
          <w:noProof/>
          <w:sz w:val="24"/>
          <w:szCs w:val="24"/>
          <w:lang w:val="en-GB"/>
        </w:rPr>
        <w:t xml:space="preserve"> Several interviewees mentioned that a lack of knowledge about the different cooperation tools available to officials on the national level can hinder cooperation on the EU level.</w:t>
      </w:r>
    </w:p>
    <w:p w14:paraId="401C87DA" w14:textId="77777777" w:rsidR="001246D3" w:rsidRPr="00F41111" w:rsidRDefault="001246D3" w:rsidP="0076781B">
      <w:pPr>
        <w:pStyle w:val="Body"/>
        <w:spacing w:after="120"/>
        <w:jc w:val="both"/>
        <w:rPr>
          <w:rFonts w:ascii="Times New Roman" w:hAnsi="Times New Roman"/>
          <w:b/>
          <w:bCs/>
          <w:i/>
          <w:iCs/>
          <w:noProof/>
          <w:color w:val="44546A" w:themeColor="text2"/>
          <w:sz w:val="24"/>
          <w:szCs w:val="24"/>
        </w:rPr>
      </w:pPr>
      <w:r w:rsidRPr="00F41111">
        <w:rPr>
          <w:rFonts w:ascii="Times New Roman" w:hAnsi="Times New Roman"/>
          <w:b/>
          <w:bCs/>
          <w:i/>
          <w:iCs/>
          <w:noProof/>
          <w:color w:val="44546A" w:themeColor="text2"/>
          <w:sz w:val="24"/>
          <w:szCs w:val="24"/>
        </w:rPr>
        <w:t xml:space="preserve">In summary </w:t>
      </w:r>
    </w:p>
    <w:p w14:paraId="2194950F" w14:textId="77777777" w:rsidR="001246D3" w:rsidRPr="00F41111" w:rsidRDefault="001246D3" w:rsidP="001246D3">
      <w:pPr>
        <w:pStyle w:val="Body"/>
        <w:jc w:val="both"/>
        <w:rPr>
          <w:rFonts w:ascii="Times New Roman" w:hAnsi="Times New Roman"/>
          <w:noProof/>
          <w:sz w:val="24"/>
          <w:szCs w:val="24"/>
        </w:rPr>
      </w:pPr>
      <w:r w:rsidRPr="00F41111">
        <w:rPr>
          <w:rFonts w:ascii="Times New Roman" w:hAnsi="Times New Roman"/>
          <w:noProof/>
          <w:sz w:val="24"/>
          <w:szCs w:val="24"/>
        </w:rPr>
        <w:t xml:space="preserve">Overall, the interviews provided a wide range of views regarding cross-border law enforcement cooperation in terms of what is working well and what is not working so well, seen through the eyes of these stakeholders. The interviews shed light on the cross-border law enforcement cooperation and the practical realities the stakeholders are faced with every day. While some structures seem to be working well and facilitate cooperation, officials are often using informal structures to ensure smooth cooperation, as trust in officials from other countries is mentioned as the base of cooperation and the amount of channels and structures available are often confusing to use and need to be revised. There was a consensus that the overall cooperation tools were introduced for a good reason, but a revision needs to be done, especially within the changing crime landscape the EU and the Schengen Area are facing. </w:t>
      </w:r>
    </w:p>
    <w:p w14:paraId="5C271246" w14:textId="77777777" w:rsidR="001246D3" w:rsidRPr="00F41111" w:rsidRDefault="001246D3" w:rsidP="001246D3">
      <w:pPr>
        <w:rPr>
          <w:rFonts w:ascii="Times New Roman" w:hAnsi="Times New Roman" w:cs="Times New Roman"/>
          <w:b/>
          <w:noProof/>
          <w:sz w:val="24"/>
          <w:szCs w:val="24"/>
        </w:rPr>
      </w:pPr>
      <w:r w:rsidRPr="00F41111">
        <w:rPr>
          <w:rFonts w:ascii="Times New Roman" w:hAnsi="Times New Roman" w:cs="Times New Roman"/>
          <w:b/>
          <w:noProof/>
          <w:sz w:val="24"/>
          <w:szCs w:val="24"/>
        </w:rPr>
        <w:t>Member State representatives (case studies)</w:t>
      </w:r>
      <w:r w:rsidRPr="00F41111" w:rsidDel="00CF60DB">
        <w:rPr>
          <w:rFonts w:ascii="Times New Roman" w:hAnsi="Times New Roman" w:cs="Times New Roman"/>
          <w:b/>
          <w:noProof/>
          <w:sz w:val="24"/>
          <w:szCs w:val="24"/>
        </w:rPr>
        <w:t xml:space="preserve"> </w:t>
      </w:r>
    </w:p>
    <w:p w14:paraId="61F4FF9D" w14:textId="77777777" w:rsidR="001246D3" w:rsidRPr="00F41111" w:rsidRDefault="001246D3" w:rsidP="001246D3">
      <w:pPr>
        <w:spacing w:after="160" w:line="259" w:lineRule="auto"/>
        <w:jc w:val="both"/>
        <w:rPr>
          <w:rFonts w:ascii="Times New Roman" w:hAnsi="Times New Roman" w:cs="Times New Roman"/>
          <w:noProof/>
          <w:sz w:val="24"/>
          <w:szCs w:val="24"/>
          <w:lang w:val="en-GB"/>
        </w:rPr>
      </w:pPr>
      <w:r w:rsidRPr="00F41111">
        <w:rPr>
          <w:rFonts w:ascii="Times New Roman" w:hAnsi="Times New Roman" w:cs="Times New Roman"/>
          <w:noProof/>
          <w:sz w:val="24"/>
          <w:szCs w:val="24"/>
          <w:lang w:val="en-GB"/>
        </w:rPr>
        <w:t>In agreement with the EU Commission, Austria, France, Slovenia, Sweden, and Switzerland were selected as case study countries. The five case study countries provide a mix in terms of the following criteria:</w:t>
      </w:r>
    </w:p>
    <w:p w14:paraId="0EFF115D" w14:textId="77777777" w:rsidR="001246D3" w:rsidRPr="00F41111" w:rsidRDefault="001246D3" w:rsidP="001246D3">
      <w:pPr>
        <w:pStyle w:val="ListParagraph"/>
        <w:numPr>
          <w:ilvl w:val="0"/>
          <w:numId w:val="8"/>
        </w:numPr>
        <w:spacing w:after="160" w:line="259"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Population size:</w:t>
      </w:r>
      <w:r w:rsidRPr="00F41111">
        <w:rPr>
          <w:rFonts w:ascii="Times New Roman" w:hAnsi="Times New Roman" w:cs="Times New Roman"/>
          <w:noProof/>
          <w:sz w:val="24"/>
          <w:szCs w:val="24"/>
          <w:lang w:val="en-GB"/>
        </w:rPr>
        <w:t xml:space="preserve"> The selected case studies encompass countries with rather small (Slovenia) and large population sizes (France). In total, 23% of the population in the countries analysed in the study are covered.</w:t>
      </w:r>
      <w:r w:rsidRPr="00F41111">
        <w:rPr>
          <w:rStyle w:val="FootnoteReference"/>
          <w:rFonts w:ascii="Times New Roman" w:hAnsi="Times New Roman" w:cs="Times New Roman"/>
          <w:noProof/>
          <w:sz w:val="24"/>
          <w:szCs w:val="24"/>
        </w:rPr>
        <w:footnoteReference w:id="139"/>
      </w:r>
    </w:p>
    <w:p w14:paraId="2F8D6C12" w14:textId="77777777" w:rsidR="001246D3" w:rsidRPr="00F41111" w:rsidRDefault="001246D3" w:rsidP="001246D3">
      <w:pPr>
        <w:pStyle w:val="ListParagraph"/>
        <w:numPr>
          <w:ilvl w:val="0"/>
          <w:numId w:val="8"/>
        </w:numPr>
        <w:spacing w:after="160" w:line="259"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GDP per capita:</w:t>
      </w:r>
      <w:r w:rsidRPr="00F41111">
        <w:rPr>
          <w:rFonts w:ascii="Times New Roman" w:hAnsi="Times New Roman" w:cs="Times New Roman"/>
          <w:noProof/>
          <w:sz w:val="24"/>
          <w:szCs w:val="24"/>
          <w:lang w:val="en-GB"/>
        </w:rPr>
        <w:t xml:space="preserve"> The selection of case studies includes countries with rather low (Slovenia) and high (Austria, Sweden, Switzerland) GDP per capita.</w:t>
      </w:r>
    </w:p>
    <w:p w14:paraId="5F77B379" w14:textId="77777777" w:rsidR="001246D3" w:rsidRPr="00F41111" w:rsidRDefault="001246D3" w:rsidP="001246D3">
      <w:pPr>
        <w:pStyle w:val="ListParagraph"/>
        <w:numPr>
          <w:ilvl w:val="0"/>
          <w:numId w:val="8"/>
        </w:numPr>
        <w:spacing w:after="160" w:line="259"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Number of reported challenges in the countries:</w:t>
      </w:r>
      <w:r w:rsidRPr="00F41111">
        <w:rPr>
          <w:rFonts w:ascii="Times New Roman" w:hAnsi="Times New Roman" w:cs="Times New Roman"/>
          <w:noProof/>
          <w:sz w:val="24"/>
          <w:szCs w:val="24"/>
          <w:lang w:val="en-GB"/>
        </w:rPr>
        <w:t xml:space="preserve"> The selected case studies encompass four countries (France, Slovenia, Sweden, Switzerland) that have high numbers of issues in existing sources that refer to all three core problems identified.</w:t>
      </w:r>
    </w:p>
    <w:p w14:paraId="0E2D06FF" w14:textId="77777777" w:rsidR="001246D3" w:rsidRPr="00F41111" w:rsidRDefault="001246D3" w:rsidP="001246D3">
      <w:pPr>
        <w:pStyle w:val="ListParagraph"/>
        <w:numPr>
          <w:ilvl w:val="0"/>
          <w:numId w:val="8"/>
        </w:numPr>
        <w:spacing w:after="160" w:line="259"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Number of bi/tri/multilateral agreements identified in the study:</w:t>
      </w:r>
      <w:r w:rsidRPr="00F41111">
        <w:rPr>
          <w:rFonts w:ascii="Times New Roman" w:hAnsi="Times New Roman" w:cs="Times New Roman"/>
          <w:noProof/>
          <w:sz w:val="24"/>
          <w:szCs w:val="24"/>
          <w:lang w:val="en-GB"/>
        </w:rPr>
        <w:t xml:space="preserve"> The selected countries are either countries with medium number of agreements (France, Slovenia, Sweden) and high number of agreements (Austria, Switzerland).</w:t>
      </w:r>
    </w:p>
    <w:p w14:paraId="70721689" w14:textId="77777777" w:rsidR="001246D3" w:rsidRPr="00F41111" w:rsidRDefault="001246D3" w:rsidP="001246D3">
      <w:pPr>
        <w:pStyle w:val="ListParagraph"/>
        <w:numPr>
          <w:ilvl w:val="0"/>
          <w:numId w:val="8"/>
        </w:numPr>
        <w:spacing w:after="160" w:line="259"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Scope of the bi/tri/multilateral agreements analysed in the study:</w:t>
      </w:r>
      <w:r w:rsidRPr="00F41111">
        <w:rPr>
          <w:rFonts w:ascii="Times New Roman" w:hAnsi="Times New Roman" w:cs="Times New Roman"/>
          <w:noProof/>
          <w:sz w:val="24"/>
          <w:szCs w:val="24"/>
          <w:lang w:val="en-GB"/>
        </w:rPr>
        <w:t xml:space="preserve"> The case study selection includes countries with agreements that cover most categories, i.e. SOC and public safety, information sharing as well as investigative tools and joint operations (Austria, France, Slovenia), and countries that e.g. cover mostly SOC and not all investigative tools and joint operations (Switzerland, Sweden).</w:t>
      </w:r>
    </w:p>
    <w:p w14:paraId="63D784EC" w14:textId="77777777" w:rsidR="001246D3" w:rsidRPr="00F41111" w:rsidRDefault="001246D3" w:rsidP="001246D3">
      <w:pPr>
        <w:pStyle w:val="ListParagraph"/>
        <w:numPr>
          <w:ilvl w:val="0"/>
          <w:numId w:val="8"/>
        </w:numPr>
        <w:spacing w:after="160" w:line="259" w:lineRule="auto"/>
        <w:jc w:val="both"/>
        <w:rPr>
          <w:rFonts w:ascii="Times New Roman" w:hAnsi="Times New Roman" w:cs="Times New Roman"/>
          <w:noProof/>
          <w:sz w:val="24"/>
          <w:szCs w:val="24"/>
          <w:lang w:val="en-GB"/>
        </w:rPr>
      </w:pPr>
      <w:r w:rsidRPr="00F41111">
        <w:rPr>
          <w:rFonts w:ascii="Times New Roman" w:hAnsi="Times New Roman" w:cs="Times New Roman"/>
          <w:b/>
          <w:bCs/>
          <w:noProof/>
          <w:sz w:val="24"/>
          <w:szCs w:val="24"/>
          <w:lang w:val="en-GB"/>
        </w:rPr>
        <w:t>Coverage of investigative tools:</w:t>
      </w:r>
      <w:r w:rsidRPr="00F41111">
        <w:rPr>
          <w:rFonts w:ascii="Times New Roman" w:hAnsi="Times New Roman" w:cs="Times New Roman"/>
          <w:noProof/>
          <w:sz w:val="24"/>
          <w:szCs w:val="24"/>
          <w:lang w:val="en-GB"/>
        </w:rPr>
        <w:t xml:space="preserve"> Among the selected case studies, all but one country (Switzerland) cover all types of investigative tools.</w:t>
      </w:r>
    </w:p>
    <w:p w14:paraId="5E133503" w14:textId="77777777" w:rsidR="001246D3" w:rsidRDefault="001246D3" w:rsidP="001246D3">
      <w:pPr>
        <w:pStyle w:val="ListParagraph"/>
        <w:numPr>
          <w:ilvl w:val="0"/>
          <w:numId w:val="8"/>
        </w:numPr>
        <w:spacing w:after="160" w:line="259" w:lineRule="auto"/>
        <w:jc w:val="both"/>
        <w:rPr>
          <w:rFonts w:ascii="Verdana" w:hAnsi="Verdana" w:cstheme="minorHAnsi"/>
          <w:noProof/>
          <w:lang w:val="en-GB"/>
        </w:rPr>
      </w:pPr>
      <w:r w:rsidRPr="00F41111">
        <w:rPr>
          <w:rFonts w:ascii="Times New Roman" w:hAnsi="Times New Roman" w:cs="Times New Roman"/>
          <w:b/>
          <w:bCs/>
          <w:noProof/>
          <w:sz w:val="24"/>
          <w:szCs w:val="24"/>
          <w:lang w:val="en-GB"/>
        </w:rPr>
        <w:t>Categories of competent authorities for the SFD:</w:t>
      </w:r>
      <w:r w:rsidRPr="00F41111">
        <w:rPr>
          <w:rFonts w:ascii="Times New Roman" w:hAnsi="Times New Roman" w:cs="Times New Roman"/>
          <w:noProof/>
          <w:sz w:val="24"/>
          <w:szCs w:val="24"/>
          <w:lang w:val="en-GB"/>
        </w:rPr>
        <w:t xml:space="preserve"> The selection of case studies covers countries with rather low numbers (Slovenia) and rather high numbers of categories (Sweden) of competent authorities for the SFD.</w:t>
      </w:r>
    </w:p>
    <w:p w14:paraId="21E5A7C8" w14:textId="77777777" w:rsidR="001246D3" w:rsidRDefault="001246D3" w:rsidP="001246D3">
      <w:pPr>
        <w:spacing w:after="160" w:line="259" w:lineRule="auto"/>
        <w:ind w:left="360"/>
        <w:jc w:val="both"/>
        <w:rPr>
          <w:rFonts w:ascii="Verdana" w:hAnsi="Verdana" w:cstheme="minorHAnsi"/>
          <w:noProof/>
          <w:lang w:val="en-GB"/>
        </w:rPr>
      </w:pPr>
    </w:p>
    <w:p w14:paraId="1C5A4550" w14:textId="77777777" w:rsidR="001246D3" w:rsidRPr="00C708D1" w:rsidRDefault="001246D3" w:rsidP="001246D3">
      <w:pPr>
        <w:spacing w:after="160" w:line="259" w:lineRule="auto"/>
        <w:ind w:left="360"/>
        <w:rPr>
          <w:rFonts w:ascii="Verdana" w:hAnsi="Verdana" w:cstheme="minorHAnsi"/>
          <w:noProof/>
          <w:lang w:val="en-GB"/>
        </w:rPr>
        <w:sectPr w:rsidR="001246D3" w:rsidRPr="00C708D1" w:rsidSect="00B82FCD">
          <w:headerReference w:type="even" r:id="rId35"/>
          <w:headerReference w:type="default" r:id="rId36"/>
          <w:footerReference w:type="even" r:id="rId37"/>
          <w:footerReference w:type="default" r:id="rId38"/>
          <w:headerReference w:type="first" r:id="rId39"/>
          <w:footerReference w:type="first" r:id="rId40"/>
          <w:pgSz w:w="11899" w:h="16840" w:code="9"/>
          <w:pgMar w:top="1134" w:right="1134" w:bottom="1134" w:left="1134" w:header="567" w:footer="283" w:gutter="0"/>
          <w:cols w:space="708"/>
          <w:docGrid w:linePitch="326"/>
        </w:sectPr>
      </w:pPr>
    </w:p>
    <w:p w14:paraId="4E21C56F" w14:textId="77777777" w:rsidR="001246D3" w:rsidRDefault="001246D3" w:rsidP="00704502">
      <w:pPr>
        <w:keepNext/>
        <w:spacing w:before="120" w:after="120" w:line="240" w:lineRule="auto"/>
        <w:jc w:val="center"/>
        <w:rPr>
          <w:rFonts w:ascii="Verdana" w:hAnsi="Verdana"/>
          <w:b/>
          <w:noProof/>
          <w:sz w:val="18"/>
          <w:lang w:val="en-GB"/>
        </w:rPr>
      </w:pPr>
      <w:r>
        <w:rPr>
          <w:rFonts w:ascii="Verdana" w:hAnsi="Verdana"/>
          <w:b/>
          <w:noProof/>
          <w:sz w:val="18"/>
          <w:lang w:val="en-GB"/>
        </w:rPr>
        <w:t>Criteria for the selection of case study countries</w:t>
      </w:r>
    </w:p>
    <w:tbl>
      <w:tblPr>
        <w:tblStyle w:val="TableGrid"/>
        <w:tblW w:w="5000" w:type="pct"/>
        <w:tblLook w:val="04A0" w:firstRow="1" w:lastRow="0" w:firstColumn="1" w:lastColumn="0" w:noHBand="0" w:noVBand="1"/>
      </w:tblPr>
      <w:tblGrid>
        <w:gridCol w:w="1438"/>
        <w:gridCol w:w="1369"/>
        <w:gridCol w:w="1201"/>
        <w:gridCol w:w="1387"/>
        <w:gridCol w:w="1526"/>
        <w:gridCol w:w="1520"/>
        <w:gridCol w:w="1618"/>
        <w:gridCol w:w="1659"/>
        <w:gridCol w:w="1659"/>
        <w:gridCol w:w="1411"/>
      </w:tblGrid>
      <w:tr w:rsidR="001246D3" w:rsidRPr="00954FAA" w14:paraId="4738D79A" w14:textId="77777777" w:rsidTr="00386871">
        <w:trPr>
          <w:trHeight w:val="1200"/>
        </w:trPr>
        <w:tc>
          <w:tcPr>
            <w:tcW w:w="486" w:type="pct"/>
            <w:vMerge w:val="restart"/>
            <w:shd w:val="clear" w:color="auto" w:fill="00B0F0"/>
            <w:hideMark/>
          </w:tcPr>
          <w:p w14:paraId="00A01615" w14:textId="77777777" w:rsidR="001246D3" w:rsidRPr="00DD7880" w:rsidRDefault="001246D3" w:rsidP="00704502">
            <w:pPr>
              <w:spacing w:after="0" w:line="240" w:lineRule="auto"/>
              <w:jc w:val="center"/>
              <w:rPr>
                <w:rFonts w:ascii="Verdana" w:hAnsi="Verdana" w:cs="Calibri"/>
                <w:bCs/>
                <w:noProof/>
                <w:color w:val="FFFFFF"/>
                <w:sz w:val="18"/>
                <w:szCs w:val="18"/>
                <w:lang w:eastAsia="de-DE"/>
              </w:rPr>
            </w:pPr>
            <w:r w:rsidRPr="00DD7880">
              <w:rPr>
                <w:rFonts w:ascii="Verdana" w:hAnsi="Verdana" w:cs="Calibri"/>
                <w:bCs/>
                <w:noProof/>
                <w:color w:val="FFFFFF"/>
                <w:sz w:val="18"/>
                <w:szCs w:val="18"/>
                <w:lang w:eastAsia="de-DE"/>
              </w:rPr>
              <w:t>Country</w:t>
            </w:r>
          </w:p>
        </w:tc>
        <w:tc>
          <w:tcPr>
            <w:tcW w:w="463" w:type="pct"/>
            <w:vMerge w:val="restart"/>
            <w:shd w:val="clear" w:color="auto" w:fill="00B0F0"/>
            <w:hideMark/>
          </w:tcPr>
          <w:p w14:paraId="187BE68B" w14:textId="77777777" w:rsidR="001246D3" w:rsidRPr="00DD7880" w:rsidRDefault="001246D3" w:rsidP="00704502">
            <w:pPr>
              <w:spacing w:after="0" w:line="240" w:lineRule="auto"/>
              <w:jc w:val="center"/>
              <w:rPr>
                <w:rFonts w:ascii="Verdana" w:hAnsi="Verdana" w:cs="Calibri"/>
                <w:bCs/>
                <w:noProof/>
                <w:color w:val="FFFFFF"/>
                <w:sz w:val="18"/>
                <w:szCs w:val="18"/>
                <w:lang w:eastAsia="de-DE"/>
              </w:rPr>
            </w:pPr>
            <w:r w:rsidRPr="00DD7880">
              <w:rPr>
                <w:rFonts w:ascii="Verdana" w:hAnsi="Verdana" w:cs="Calibri"/>
                <w:bCs/>
                <w:noProof/>
                <w:color w:val="FFFFFF"/>
                <w:sz w:val="18"/>
                <w:szCs w:val="18"/>
                <w:lang w:eastAsia="de-DE"/>
              </w:rPr>
              <w:t>Population Size in 2020</w:t>
            </w:r>
          </w:p>
        </w:tc>
        <w:tc>
          <w:tcPr>
            <w:tcW w:w="406" w:type="pct"/>
            <w:vMerge w:val="restart"/>
            <w:shd w:val="clear" w:color="auto" w:fill="00B0F0"/>
            <w:hideMark/>
          </w:tcPr>
          <w:p w14:paraId="64481DD7" w14:textId="77777777" w:rsidR="001246D3" w:rsidRPr="00DD7880" w:rsidRDefault="001246D3" w:rsidP="00704502">
            <w:pPr>
              <w:spacing w:after="0" w:line="240" w:lineRule="auto"/>
              <w:jc w:val="center"/>
              <w:rPr>
                <w:rFonts w:ascii="Verdana" w:hAnsi="Verdana" w:cs="Calibri"/>
                <w:bCs/>
                <w:noProof/>
                <w:color w:val="FFFFFF"/>
                <w:sz w:val="18"/>
                <w:szCs w:val="18"/>
                <w:lang w:eastAsia="de-DE"/>
              </w:rPr>
            </w:pPr>
            <w:r w:rsidRPr="00DD7880">
              <w:rPr>
                <w:rFonts w:ascii="Verdana" w:hAnsi="Verdana" w:cs="Calibri"/>
                <w:bCs/>
                <w:noProof/>
                <w:color w:val="FFFFFF"/>
                <w:sz w:val="18"/>
                <w:szCs w:val="18"/>
                <w:lang w:eastAsia="de-DE"/>
              </w:rPr>
              <w:t>GDP per capita in 2020</w:t>
            </w:r>
          </w:p>
        </w:tc>
        <w:tc>
          <w:tcPr>
            <w:tcW w:w="469" w:type="pct"/>
            <w:vMerge w:val="restart"/>
            <w:shd w:val="clear" w:color="auto" w:fill="00B0F0"/>
            <w:hideMark/>
          </w:tcPr>
          <w:p w14:paraId="3DADA10D" w14:textId="77777777" w:rsidR="001246D3" w:rsidRPr="00DD7880" w:rsidRDefault="001246D3" w:rsidP="00704502">
            <w:pPr>
              <w:spacing w:after="0" w:line="240" w:lineRule="auto"/>
              <w:jc w:val="center"/>
              <w:rPr>
                <w:rFonts w:ascii="Verdana" w:hAnsi="Verdana" w:cs="Calibri"/>
                <w:bCs/>
                <w:noProof/>
                <w:color w:val="FFFFFF"/>
                <w:sz w:val="18"/>
                <w:szCs w:val="18"/>
                <w:lang w:eastAsia="de-DE"/>
              </w:rPr>
            </w:pPr>
            <w:r w:rsidRPr="00DD7880">
              <w:rPr>
                <w:rFonts w:ascii="Verdana" w:hAnsi="Verdana" w:cs="Calibri"/>
                <w:bCs/>
                <w:noProof/>
                <w:color w:val="FFFFFF"/>
                <w:sz w:val="18"/>
                <w:szCs w:val="18"/>
                <w:lang w:eastAsia="de-DE"/>
              </w:rPr>
              <w:t>Number of Reported Challenges in key sources</w:t>
            </w:r>
          </w:p>
        </w:tc>
        <w:tc>
          <w:tcPr>
            <w:tcW w:w="516" w:type="pct"/>
            <w:vMerge w:val="restart"/>
            <w:shd w:val="clear" w:color="auto" w:fill="00B0F0"/>
            <w:hideMark/>
          </w:tcPr>
          <w:p w14:paraId="49084D15" w14:textId="77777777" w:rsidR="001246D3" w:rsidRPr="00DD7880" w:rsidRDefault="001246D3" w:rsidP="00704502">
            <w:pPr>
              <w:spacing w:after="0" w:line="240" w:lineRule="auto"/>
              <w:jc w:val="center"/>
              <w:rPr>
                <w:rFonts w:ascii="Verdana" w:hAnsi="Verdana" w:cs="Calibri"/>
                <w:bCs/>
                <w:noProof/>
                <w:color w:val="FFFFFF"/>
                <w:sz w:val="18"/>
                <w:szCs w:val="18"/>
                <w:lang w:eastAsia="de-DE"/>
              </w:rPr>
            </w:pPr>
            <w:r w:rsidRPr="00DD7880">
              <w:rPr>
                <w:rFonts w:ascii="Verdana" w:hAnsi="Verdana" w:cs="Calibri"/>
                <w:bCs/>
                <w:noProof/>
                <w:color w:val="FFFFFF"/>
                <w:sz w:val="18"/>
                <w:szCs w:val="18"/>
                <w:lang w:eastAsia="de-DE"/>
              </w:rPr>
              <w:t>Number of Agreements Identified</w:t>
            </w:r>
          </w:p>
        </w:tc>
        <w:tc>
          <w:tcPr>
            <w:tcW w:w="1621" w:type="pct"/>
            <w:gridSpan w:val="3"/>
            <w:shd w:val="clear" w:color="auto" w:fill="00B0F0"/>
            <w:hideMark/>
          </w:tcPr>
          <w:p w14:paraId="5E8204E8" w14:textId="77777777" w:rsidR="001246D3" w:rsidRPr="00DD7880" w:rsidRDefault="001246D3" w:rsidP="00704502">
            <w:pPr>
              <w:spacing w:after="0" w:line="240" w:lineRule="auto"/>
              <w:jc w:val="center"/>
              <w:rPr>
                <w:rFonts w:ascii="Verdana" w:hAnsi="Verdana" w:cs="Calibri"/>
                <w:bCs/>
                <w:noProof/>
                <w:color w:val="FFFFFF"/>
                <w:sz w:val="18"/>
                <w:szCs w:val="18"/>
                <w:lang w:eastAsia="de-DE"/>
              </w:rPr>
            </w:pPr>
            <w:r w:rsidRPr="00DD7880">
              <w:rPr>
                <w:rFonts w:ascii="Verdana" w:hAnsi="Verdana" w:cs="Calibri"/>
                <w:bCs/>
                <w:noProof/>
                <w:color w:val="FFFFFF"/>
                <w:sz w:val="18"/>
                <w:szCs w:val="18"/>
                <w:lang w:eastAsia="de-DE"/>
              </w:rPr>
              <w:t>Scope of the Bi-/Tri-/Multilateral Agreements Analysed</w:t>
            </w:r>
          </w:p>
        </w:tc>
        <w:tc>
          <w:tcPr>
            <w:tcW w:w="561" w:type="pct"/>
            <w:vMerge w:val="restart"/>
            <w:shd w:val="clear" w:color="auto" w:fill="00B0F0"/>
            <w:hideMark/>
          </w:tcPr>
          <w:p w14:paraId="3D030FCC" w14:textId="77777777" w:rsidR="001246D3" w:rsidRPr="00DD7880" w:rsidRDefault="001246D3" w:rsidP="00704502">
            <w:pPr>
              <w:spacing w:after="0" w:line="240" w:lineRule="auto"/>
              <w:jc w:val="center"/>
              <w:rPr>
                <w:rFonts w:ascii="Verdana" w:hAnsi="Verdana" w:cs="Calibri"/>
                <w:bCs/>
                <w:noProof/>
                <w:color w:val="FFFFFF"/>
                <w:sz w:val="18"/>
                <w:szCs w:val="18"/>
                <w:lang w:eastAsia="de-DE"/>
              </w:rPr>
            </w:pPr>
            <w:r w:rsidRPr="00DD7880">
              <w:rPr>
                <w:rFonts w:ascii="Verdana" w:hAnsi="Verdana" w:cs="Calibri"/>
                <w:bCs/>
                <w:noProof/>
                <w:color w:val="FFFFFF"/>
                <w:sz w:val="18"/>
                <w:szCs w:val="18"/>
                <w:lang w:eastAsia="de-DE"/>
              </w:rPr>
              <w:t>Investigative Tools Coverage</w:t>
            </w:r>
          </w:p>
        </w:tc>
        <w:tc>
          <w:tcPr>
            <w:tcW w:w="478" w:type="pct"/>
            <w:vMerge w:val="restart"/>
            <w:shd w:val="clear" w:color="auto" w:fill="00B0F0"/>
            <w:hideMark/>
          </w:tcPr>
          <w:p w14:paraId="3981E4F2" w14:textId="77777777" w:rsidR="001246D3" w:rsidRPr="00DD7880" w:rsidRDefault="001246D3" w:rsidP="00704502">
            <w:pPr>
              <w:spacing w:after="0" w:line="240" w:lineRule="auto"/>
              <w:jc w:val="center"/>
              <w:rPr>
                <w:rFonts w:ascii="Verdana" w:hAnsi="Verdana" w:cs="Calibri"/>
                <w:bCs/>
                <w:noProof/>
                <w:color w:val="FFFFFF"/>
                <w:sz w:val="18"/>
                <w:szCs w:val="18"/>
                <w:lang w:eastAsia="de-DE"/>
              </w:rPr>
            </w:pPr>
            <w:r w:rsidRPr="00DD7880">
              <w:rPr>
                <w:rFonts w:ascii="Verdana" w:hAnsi="Verdana" w:cs="Calibri"/>
                <w:bCs/>
                <w:noProof/>
                <w:color w:val="FFFFFF"/>
                <w:sz w:val="18"/>
                <w:szCs w:val="18"/>
                <w:lang w:eastAsia="de-DE"/>
              </w:rPr>
              <w:t>Number of Categories of Competent Authorities for the SFD</w:t>
            </w:r>
          </w:p>
        </w:tc>
      </w:tr>
      <w:tr w:rsidR="001246D3" w:rsidRPr="00954FAA" w14:paraId="5CFFFB76" w14:textId="77777777" w:rsidTr="00386871">
        <w:trPr>
          <w:trHeight w:val="450"/>
        </w:trPr>
        <w:tc>
          <w:tcPr>
            <w:tcW w:w="486" w:type="pct"/>
            <w:vMerge/>
            <w:hideMark/>
          </w:tcPr>
          <w:p w14:paraId="6AB417EB" w14:textId="77777777" w:rsidR="001246D3" w:rsidRPr="00DD7880" w:rsidRDefault="001246D3" w:rsidP="00704502">
            <w:pPr>
              <w:spacing w:after="0" w:line="240" w:lineRule="auto"/>
              <w:rPr>
                <w:rFonts w:ascii="Verdana" w:hAnsi="Verdana" w:cs="Calibri"/>
                <w:b/>
                <w:bCs/>
                <w:noProof/>
                <w:color w:val="FFFFFF"/>
                <w:sz w:val="18"/>
                <w:szCs w:val="18"/>
                <w:lang w:eastAsia="de-DE"/>
              </w:rPr>
            </w:pPr>
          </w:p>
        </w:tc>
        <w:tc>
          <w:tcPr>
            <w:tcW w:w="463" w:type="pct"/>
            <w:vMerge/>
            <w:hideMark/>
          </w:tcPr>
          <w:p w14:paraId="1A067E92" w14:textId="77777777" w:rsidR="001246D3" w:rsidRPr="00DD7880" w:rsidRDefault="001246D3" w:rsidP="00704502">
            <w:pPr>
              <w:spacing w:after="0" w:line="240" w:lineRule="auto"/>
              <w:rPr>
                <w:rFonts w:ascii="Verdana" w:hAnsi="Verdana" w:cs="Calibri"/>
                <w:b/>
                <w:bCs/>
                <w:noProof/>
                <w:color w:val="FFFFFF"/>
                <w:sz w:val="18"/>
                <w:szCs w:val="18"/>
                <w:lang w:eastAsia="de-DE"/>
              </w:rPr>
            </w:pPr>
          </w:p>
        </w:tc>
        <w:tc>
          <w:tcPr>
            <w:tcW w:w="406" w:type="pct"/>
            <w:vMerge/>
            <w:hideMark/>
          </w:tcPr>
          <w:p w14:paraId="0632659C" w14:textId="77777777" w:rsidR="001246D3" w:rsidRPr="00DD7880" w:rsidRDefault="001246D3" w:rsidP="00704502">
            <w:pPr>
              <w:spacing w:after="0" w:line="240" w:lineRule="auto"/>
              <w:rPr>
                <w:rFonts w:ascii="Verdana" w:hAnsi="Verdana" w:cs="Calibri"/>
                <w:b/>
                <w:bCs/>
                <w:noProof/>
                <w:color w:val="FFFFFF"/>
                <w:sz w:val="18"/>
                <w:szCs w:val="18"/>
                <w:lang w:eastAsia="de-DE"/>
              </w:rPr>
            </w:pPr>
          </w:p>
        </w:tc>
        <w:tc>
          <w:tcPr>
            <w:tcW w:w="469" w:type="pct"/>
            <w:vMerge/>
            <w:hideMark/>
          </w:tcPr>
          <w:p w14:paraId="5670B87C" w14:textId="77777777" w:rsidR="001246D3" w:rsidRPr="00DD7880" w:rsidRDefault="001246D3" w:rsidP="00704502">
            <w:pPr>
              <w:spacing w:after="0" w:line="240" w:lineRule="auto"/>
              <w:rPr>
                <w:rFonts w:ascii="Verdana" w:hAnsi="Verdana" w:cs="Calibri"/>
                <w:b/>
                <w:bCs/>
                <w:noProof/>
                <w:color w:val="FFFFFF"/>
                <w:sz w:val="18"/>
                <w:szCs w:val="18"/>
                <w:lang w:eastAsia="de-DE"/>
              </w:rPr>
            </w:pPr>
          </w:p>
        </w:tc>
        <w:tc>
          <w:tcPr>
            <w:tcW w:w="516" w:type="pct"/>
            <w:vMerge/>
            <w:shd w:val="clear" w:color="auto" w:fill="00B0F0"/>
            <w:hideMark/>
          </w:tcPr>
          <w:p w14:paraId="3D624A55" w14:textId="77777777" w:rsidR="001246D3" w:rsidRPr="00DD7880" w:rsidRDefault="001246D3" w:rsidP="00704502">
            <w:pPr>
              <w:spacing w:after="0" w:line="240" w:lineRule="auto"/>
              <w:rPr>
                <w:rFonts w:ascii="Verdana" w:hAnsi="Verdana" w:cs="Calibri"/>
                <w:b/>
                <w:bCs/>
                <w:noProof/>
                <w:color w:val="FFFFFF"/>
                <w:sz w:val="18"/>
                <w:szCs w:val="18"/>
                <w:lang w:eastAsia="de-DE"/>
              </w:rPr>
            </w:pPr>
          </w:p>
        </w:tc>
        <w:tc>
          <w:tcPr>
            <w:tcW w:w="514" w:type="pct"/>
            <w:shd w:val="clear" w:color="auto" w:fill="00B0F0"/>
            <w:vAlign w:val="center"/>
            <w:hideMark/>
          </w:tcPr>
          <w:p w14:paraId="7ECA7E2F" w14:textId="77777777" w:rsidR="001246D3" w:rsidRPr="00DD7880" w:rsidRDefault="001246D3" w:rsidP="00704502">
            <w:pPr>
              <w:spacing w:after="0" w:line="240" w:lineRule="auto"/>
              <w:jc w:val="center"/>
              <w:rPr>
                <w:rFonts w:ascii="Verdana" w:hAnsi="Verdana" w:cs="Calibri"/>
                <w:b/>
                <w:bCs/>
                <w:noProof/>
                <w:color w:val="FFFFFF"/>
                <w:sz w:val="18"/>
                <w:szCs w:val="18"/>
                <w:lang w:eastAsia="de-DE"/>
              </w:rPr>
            </w:pPr>
            <w:r w:rsidRPr="00DD7880">
              <w:rPr>
                <w:rFonts w:ascii="Verdana" w:hAnsi="Verdana" w:cs="Calibri"/>
                <w:b/>
                <w:bCs/>
                <w:noProof/>
                <w:color w:val="FFFFFF"/>
                <w:sz w:val="18"/>
                <w:szCs w:val="18"/>
                <w:lang w:eastAsia="de-DE"/>
              </w:rPr>
              <w:t>SOC / Public Order and Safety</w:t>
            </w:r>
          </w:p>
        </w:tc>
        <w:tc>
          <w:tcPr>
            <w:tcW w:w="547" w:type="pct"/>
            <w:shd w:val="clear" w:color="auto" w:fill="00B0F0"/>
            <w:vAlign w:val="center"/>
            <w:hideMark/>
          </w:tcPr>
          <w:p w14:paraId="3957D313" w14:textId="77777777" w:rsidR="001246D3" w:rsidRPr="00DD7880" w:rsidRDefault="001246D3" w:rsidP="00704502">
            <w:pPr>
              <w:spacing w:after="0" w:line="240" w:lineRule="auto"/>
              <w:jc w:val="center"/>
              <w:rPr>
                <w:rFonts w:ascii="Verdana" w:hAnsi="Verdana" w:cs="Calibri"/>
                <w:b/>
                <w:bCs/>
                <w:noProof/>
                <w:color w:val="FFFFFF"/>
                <w:sz w:val="18"/>
                <w:szCs w:val="18"/>
                <w:lang w:eastAsia="de-DE"/>
              </w:rPr>
            </w:pPr>
            <w:r w:rsidRPr="00DD7880">
              <w:rPr>
                <w:rFonts w:ascii="Verdana" w:hAnsi="Verdana" w:cs="Calibri"/>
                <w:b/>
                <w:bCs/>
                <w:noProof/>
                <w:color w:val="FFFFFF"/>
                <w:sz w:val="18"/>
                <w:szCs w:val="18"/>
                <w:lang w:eastAsia="de-DE"/>
              </w:rPr>
              <w:t>Information Sharing</w:t>
            </w:r>
          </w:p>
        </w:tc>
        <w:tc>
          <w:tcPr>
            <w:tcW w:w="561" w:type="pct"/>
            <w:shd w:val="clear" w:color="auto" w:fill="00B0F0"/>
            <w:vAlign w:val="center"/>
            <w:hideMark/>
          </w:tcPr>
          <w:p w14:paraId="79495F6F" w14:textId="77777777" w:rsidR="001246D3" w:rsidRPr="00DD7880" w:rsidRDefault="001246D3" w:rsidP="00704502">
            <w:pPr>
              <w:spacing w:after="0" w:line="240" w:lineRule="auto"/>
              <w:jc w:val="center"/>
              <w:rPr>
                <w:rFonts w:ascii="Verdana" w:hAnsi="Verdana" w:cs="Calibri"/>
                <w:b/>
                <w:bCs/>
                <w:noProof/>
                <w:color w:val="FFFFFF"/>
                <w:sz w:val="18"/>
                <w:szCs w:val="18"/>
                <w:lang w:eastAsia="de-DE"/>
              </w:rPr>
            </w:pPr>
            <w:r w:rsidRPr="00DD7880">
              <w:rPr>
                <w:rFonts w:ascii="Verdana" w:hAnsi="Verdana" w:cs="Calibri"/>
                <w:b/>
                <w:bCs/>
                <w:noProof/>
                <w:color w:val="FFFFFF"/>
                <w:sz w:val="18"/>
                <w:szCs w:val="18"/>
                <w:lang w:eastAsia="de-DE"/>
              </w:rPr>
              <w:t>Investigative Tools and Joint Operations</w:t>
            </w:r>
          </w:p>
        </w:tc>
        <w:tc>
          <w:tcPr>
            <w:tcW w:w="561" w:type="pct"/>
            <w:vMerge/>
            <w:hideMark/>
          </w:tcPr>
          <w:p w14:paraId="0EDF15DF" w14:textId="77777777" w:rsidR="001246D3" w:rsidRPr="00DD7880" w:rsidRDefault="001246D3" w:rsidP="00704502">
            <w:pPr>
              <w:spacing w:after="0" w:line="240" w:lineRule="auto"/>
              <w:rPr>
                <w:rFonts w:ascii="Verdana" w:hAnsi="Verdana" w:cs="Calibri"/>
                <w:b/>
                <w:bCs/>
                <w:noProof/>
                <w:color w:val="FFFFFF"/>
                <w:sz w:val="18"/>
                <w:szCs w:val="18"/>
                <w:lang w:eastAsia="de-DE"/>
              </w:rPr>
            </w:pPr>
          </w:p>
        </w:tc>
        <w:tc>
          <w:tcPr>
            <w:tcW w:w="478" w:type="pct"/>
            <w:vMerge/>
            <w:hideMark/>
          </w:tcPr>
          <w:p w14:paraId="1F56B8E5" w14:textId="77777777" w:rsidR="001246D3" w:rsidRPr="00DD7880" w:rsidRDefault="001246D3" w:rsidP="00704502">
            <w:pPr>
              <w:spacing w:after="0" w:line="240" w:lineRule="auto"/>
              <w:rPr>
                <w:rFonts w:ascii="Verdana" w:hAnsi="Verdana" w:cs="Calibri"/>
                <w:b/>
                <w:bCs/>
                <w:noProof/>
                <w:color w:val="FFFFFF"/>
                <w:sz w:val="18"/>
                <w:szCs w:val="18"/>
                <w:lang w:eastAsia="de-DE"/>
              </w:rPr>
            </w:pPr>
          </w:p>
        </w:tc>
      </w:tr>
      <w:tr w:rsidR="001246D3" w:rsidRPr="0038101D" w14:paraId="18AA0677" w14:textId="77777777" w:rsidTr="00386871">
        <w:trPr>
          <w:trHeight w:val="680"/>
        </w:trPr>
        <w:tc>
          <w:tcPr>
            <w:tcW w:w="486" w:type="pct"/>
            <w:hideMark/>
          </w:tcPr>
          <w:p w14:paraId="635EC8A3"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Austria</w:t>
            </w:r>
          </w:p>
        </w:tc>
        <w:tc>
          <w:tcPr>
            <w:tcW w:w="463" w:type="pct"/>
            <w:hideMark/>
          </w:tcPr>
          <w:p w14:paraId="46440F33"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8,900,000</w:t>
            </w:r>
          </w:p>
        </w:tc>
        <w:tc>
          <w:tcPr>
            <w:tcW w:w="406" w:type="pct"/>
            <w:hideMark/>
          </w:tcPr>
          <w:p w14:paraId="3C07E647"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42,110 €</w:t>
            </w:r>
          </w:p>
        </w:tc>
        <w:tc>
          <w:tcPr>
            <w:tcW w:w="469" w:type="pct"/>
            <w:noWrap/>
            <w:hideMark/>
          </w:tcPr>
          <w:p w14:paraId="161A07F7"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5</w:t>
            </w:r>
          </w:p>
        </w:tc>
        <w:tc>
          <w:tcPr>
            <w:tcW w:w="516" w:type="pct"/>
            <w:noWrap/>
            <w:hideMark/>
          </w:tcPr>
          <w:p w14:paraId="7FB03DDB"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11-15</w:t>
            </w:r>
          </w:p>
        </w:tc>
        <w:tc>
          <w:tcPr>
            <w:tcW w:w="514" w:type="pct"/>
            <w:hideMark/>
          </w:tcPr>
          <w:p w14:paraId="2742046E"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Both</w:t>
            </w:r>
          </w:p>
        </w:tc>
        <w:tc>
          <w:tcPr>
            <w:tcW w:w="547" w:type="pct"/>
            <w:hideMark/>
          </w:tcPr>
          <w:p w14:paraId="2AB0ABD5"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Yes</w:t>
            </w:r>
          </w:p>
        </w:tc>
        <w:tc>
          <w:tcPr>
            <w:tcW w:w="561" w:type="pct"/>
            <w:hideMark/>
          </w:tcPr>
          <w:p w14:paraId="56BCC2E0"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Yes</w:t>
            </w:r>
          </w:p>
        </w:tc>
        <w:tc>
          <w:tcPr>
            <w:tcW w:w="561" w:type="pct"/>
            <w:hideMark/>
          </w:tcPr>
          <w:p w14:paraId="228CE391"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All</w:t>
            </w:r>
          </w:p>
        </w:tc>
        <w:tc>
          <w:tcPr>
            <w:tcW w:w="478" w:type="pct"/>
            <w:hideMark/>
          </w:tcPr>
          <w:p w14:paraId="12030380"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3</w:t>
            </w:r>
          </w:p>
        </w:tc>
      </w:tr>
      <w:tr w:rsidR="001246D3" w:rsidRPr="0038101D" w14:paraId="1394EAAB" w14:textId="77777777" w:rsidTr="00386871">
        <w:trPr>
          <w:trHeight w:val="680"/>
        </w:trPr>
        <w:tc>
          <w:tcPr>
            <w:tcW w:w="486" w:type="pct"/>
            <w:hideMark/>
          </w:tcPr>
          <w:p w14:paraId="4DC6C937"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France</w:t>
            </w:r>
          </w:p>
        </w:tc>
        <w:tc>
          <w:tcPr>
            <w:tcW w:w="463" w:type="pct"/>
            <w:hideMark/>
          </w:tcPr>
          <w:p w14:paraId="5E220F7B"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67,300,000</w:t>
            </w:r>
          </w:p>
        </w:tc>
        <w:tc>
          <w:tcPr>
            <w:tcW w:w="406" w:type="pct"/>
            <w:hideMark/>
          </w:tcPr>
          <w:p w14:paraId="5BB8CCFB"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33,690 €</w:t>
            </w:r>
          </w:p>
        </w:tc>
        <w:tc>
          <w:tcPr>
            <w:tcW w:w="469" w:type="pct"/>
            <w:noWrap/>
            <w:hideMark/>
          </w:tcPr>
          <w:p w14:paraId="5B9C9738"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9</w:t>
            </w:r>
          </w:p>
        </w:tc>
        <w:tc>
          <w:tcPr>
            <w:tcW w:w="516" w:type="pct"/>
            <w:noWrap/>
            <w:hideMark/>
          </w:tcPr>
          <w:p w14:paraId="2162179D"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6-10</w:t>
            </w:r>
          </w:p>
        </w:tc>
        <w:tc>
          <w:tcPr>
            <w:tcW w:w="514" w:type="pct"/>
            <w:hideMark/>
          </w:tcPr>
          <w:p w14:paraId="4B309476"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Both</w:t>
            </w:r>
          </w:p>
        </w:tc>
        <w:tc>
          <w:tcPr>
            <w:tcW w:w="547" w:type="pct"/>
            <w:hideMark/>
          </w:tcPr>
          <w:p w14:paraId="21BC5613"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Yes in all but one agreement</w:t>
            </w:r>
          </w:p>
        </w:tc>
        <w:tc>
          <w:tcPr>
            <w:tcW w:w="561" w:type="pct"/>
            <w:hideMark/>
          </w:tcPr>
          <w:p w14:paraId="513EDD42"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Yes in all but one agreement</w:t>
            </w:r>
          </w:p>
        </w:tc>
        <w:tc>
          <w:tcPr>
            <w:tcW w:w="561" w:type="pct"/>
            <w:hideMark/>
          </w:tcPr>
          <w:p w14:paraId="73BB1C51"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All</w:t>
            </w:r>
          </w:p>
        </w:tc>
        <w:tc>
          <w:tcPr>
            <w:tcW w:w="478" w:type="pct"/>
            <w:hideMark/>
          </w:tcPr>
          <w:p w14:paraId="6C3A4C7B"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3</w:t>
            </w:r>
          </w:p>
        </w:tc>
      </w:tr>
      <w:tr w:rsidR="001246D3" w:rsidRPr="0038101D" w14:paraId="420551BD" w14:textId="77777777" w:rsidTr="00386871">
        <w:trPr>
          <w:trHeight w:val="680"/>
        </w:trPr>
        <w:tc>
          <w:tcPr>
            <w:tcW w:w="486" w:type="pct"/>
            <w:hideMark/>
          </w:tcPr>
          <w:p w14:paraId="52FB6FD2"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Slovenia</w:t>
            </w:r>
          </w:p>
        </w:tc>
        <w:tc>
          <w:tcPr>
            <w:tcW w:w="463" w:type="pct"/>
            <w:hideMark/>
          </w:tcPr>
          <w:p w14:paraId="12FDB2FE"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2,100,000</w:t>
            </w:r>
          </w:p>
        </w:tc>
        <w:tc>
          <w:tcPr>
            <w:tcW w:w="406" w:type="pct"/>
            <w:hideMark/>
          </w:tcPr>
          <w:p w14:paraId="29C87CBD"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22,010 €</w:t>
            </w:r>
          </w:p>
        </w:tc>
        <w:tc>
          <w:tcPr>
            <w:tcW w:w="469" w:type="pct"/>
            <w:noWrap/>
            <w:hideMark/>
          </w:tcPr>
          <w:p w14:paraId="0B66168F"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10</w:t>
            </w:r>
          </w:p>
        </w:tc>
        <w:tc>
          <w:tcPr>
            <w:tcW w:w="516" w:type="pct"/>
            <w:noWrap/>
            <w:hideMark/>
          </w:tcPr>
          <w:p w14:paraId="667C32C1"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6-10</w:t>
            </w:r>
          </w:p>
        </w:tc>
        <w:tc>
          <w:tcPr>
            <w:tcW w:w="514" w:type="pct"/>
            <w:hideMark/>
          </w:tcPr>
          <w:p w14:paraId="45B408E7"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Both in all but one agreement</w:t>
            </w:r>
          </w:p>
        </w:tc>
        <w:tc>
          <w:tcPr>
            <w:tcW w:w="547" w:type="pct"/>
            <w:hideMark/>
          </w:tcPr>
          <w:p w14:paraId="26C66A40"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Yes</w:t>
            </w:r>
          </w:p>
        </w:tc>
        <w:tc>
          <w:tcPr>
            <w:tcW w:w="561" w:type="pct"/>
            <w:hideMark/>
          </w:tcPr>
          <w:p w14:paraId="24E6D50B"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Yes</w:t>
            </w:r>
          </w:p>
        </w:tc>
        <w:tc>
          <w:tcPr>
            <w:tcW w:w="561" w:type="pct"/>
            <w:hideMark/>
          </w:tcPr>
          <w:p w14:paraId="4687DEE3"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All</w:t>
            </w:r>
          </w:p>
        </w:tc>
        <w:tc>
          <w:tcPr>
            <w:tcW w:w="478" w:type="pct"/>
            <w:hideMark/>
          </w:tcPr>
          <w:p w14:paraId="657E86C6"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2</w:t>
            </w:r>
          </w:p>
        </w:tc>
      </w:tr>
      <w:tr w:rsidR="001246D3" w:rsidRPr="0038101D" w14:paraId="3103ACCF" w14:textId="77777777" w:rsidTr="00386871">
        <w:trPr>
          <w:trHeight w:val="680"/>
        </w:trPr>
        <w:tc>
          <w:tcPr>
            <w:tcW w:w="486" w:type="pct"/>
            <w:hideMark/>
          </w:tcPr>
          <w:p w14:paraId="611DAA82"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Sweden</w:t>
            </w:r>
          </w:p>
        </w:tc>
        <w:tc>
          <w:tcPr>
            <w:tcW w:w="463" w:type="pct"/>
            <w:hideMark/>
          </w:tcPr>
          <w:p w14:paraId="4A2317D1"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10,300,000</w:t>
            </w:r>
          </w:p>
        </w:tc>
        <w:tc>
          <w:tcPr>
            <w:tcW w:w="406" w:type="pct"/>
            <w:hideMark/>
          </w:tcPr>
          <w:p w14:paraId="3F55778E"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45,610 €</w:t>
            </w:r>
          </w:p>
        </w:tc>
        <w:tc>
          <w:tcPr>
            <w:tcW w:w="469" w:type="pct"/>
            <w:noWrap/>
            <w:hideMark/>
          </w:tcPr>
          <w:p w14:paraId="4CD85921"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8</w:t>
            </w:r>
          </w:p>
        </w:tc>
        <w:tc>
          <w:tcPr>
            <w:tcW w:w="516" w:type="pct"/>
            <w:noWrap/>
            <w:hideMark/>
          </w:tcPr>
          <w:p w14:paraId="22E018F6"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6-10</w:t>
            </w:r>
          </w:p>
        </w:tc>
        <w:tc>
          <w:tcPr>
            <w:tcW w:w="514" w:type="pct"/>
            <w:hideMark/>
          </w:tcPr>
          <w:p w14:paraId="0A2A6445"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Only SOC</w:t>
            </w:r>
          </w:p>
        </w:tc>
        <w:tc>
          <w:tcPr>
            <w:tcW w:w="547" w:type="pct"/>
            <w:hideMark/>
          </w:tcPr>
          <w:p w14:paraId="175568CF"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No</w:t>
            </w:r>
          </w:p>
        </w:tc>
        <w:tc>
          <w:tcPr>
            <w:tcW w:w="561" w:type="pct"/>
            <w:hideMark/>
          </w:tcPr>
          <w:p w14:paraId="42A29A73"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No</w:t>
            </w:r>
          </w:p>
        </w:tc>
        <w:tc>
          <w:tcPr>
            <w:tcW w:w="561" w:type="pct"/>
            <w:hideMark/>
          </w:tcPr>
          <w:p w14:paraId="730C1207"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All</w:t>
            </w:r>
          </w:p>
        </w:tc>
        <w:tc>
          <w:tcPr>
            <w:tcW w:w="478" w:type="pct"/>
            <w:hideMark/>
          </w:tcPr>
          <w:p w14:paraId="311C9818"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4</w:t>
            </w:r>
          </w:p>
        </w:tc>
      </w:tr>
      <w:tr w:rsidR="001246D3" w:rsidRPr="0038101D" w14:paraId="76D3C141" w14:textId="77777777" w:rsidTr="00386871">
        <w:trPr>
          <w:trHeight w:val="680"/>
        </w:trPr>
        <w:tc>
          <w:tcPr>
            <w:tcW w:w="486" w:type="pct"/>
            <w:hideMark/>
          </w:tcPr>
          <w:p w14:paraId="75093DBD"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Switzerland</w:t>
            </w:r>
          </w:p>
        </w:tc>
        <w:tc>
          <w:tcPr>
            <w:tcW w:w="463" w:type="pct"/>
            <w:hideMark/>
          </w:tcPr>
          <w:p w14:paraId="7E9272DE"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8,600,000</w:t>
            </w:r>
          </w:p>
        </w:tc>
        <w:tc>
          <w:tcPr>
            <w:tcW w:w="406" w:type="pct"/>
            <w:hideMark/>
          </w:tcPr>
          <w:p w14:paraId="534DAE8D"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75,890 €</w:t>
            </w:r>
          </w:p>
        </w:tc>
        <w:tc>
          <w:tcPr>
            <w:tcW w:w="469" w:type="pct"/>
            <w:noWrap/>
            <w:hideMark/>
          </w:tcPr>
          <w:p w14:paraId="662E3375"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9</w:t>
            </w:r>
          </w:p>
        </w:tc>
        <w:tc>
          <w:tcPr>
            <w:tcW w:w="516" w:type="pct"/>
            <w:noWrap/>
            <w:hideMark/>
          </w:tcPr>
          <w:p w14:paraId="15790059"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11-15</w:t>
            </w:r>
          </w:p>
        </w:tc>
        <w:tc>
          <w:tcPr>
            <w:tcW w:w="514" w:type="pct"/>
            <w:hideMark/>
          </w:tcPr>
          <w:p w14:paraId="5E0F1EF0"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Only SOC in six agreements</w:t>
            </w:r>
          </w:p>
        </w:tc>
        <w:tc>
          <w:tcPr>
            <w:tcW w:w="547" w:type="pct"/>
            <w:hideMark/>
          </w:tcPr>
          <w:p w14:paraId="0522B768"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Yes</w:t>
            </w:r>
          </w:p>
        </w:tc>
        <w:tc>
          <w:tcPr>
            <w:tcW w:w="561" w:type="pct"/>
            <w:hideMark/>
          </w:tcPr>
          <w:p w14:paraId="1FE2B892"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Yes in all but two agreements</w:t>
            </w:r>
          </w:p>
        </w:tc>
        <w:tc>
          <w:tcPr>
            <w:tcW w:w="561" w:type="pct"/>
            <w:hideMark/>
          </w:tcPr>
          <w:p w14:paraId="57CF7DD2"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All but use of informants</w:t>
            </w:r>
          </w:p>
        </w:tc>
        <w:tc>
          <w:tcPr>
            <w:tcW w:w="478" w:type="pct"/>
            <w:hideMark/>
          </w:tcPr>
          <w:p w14:paraId="4E1AD7C0" w14:textId="77777777" w:rsidR="001246D3" w:rsidRPr="00DD7880" w:rsidRDefault="001246D3" w:rsidP="00704502">
            <w:pPr>
              <w:spacing w:after="0" w:line="240" w:lineRule="auto"/>
              <w:rPr>
                <w:rFonts w:ascii="Verdana" w:hAnsi="Verdana"/>
                <w:noProof/>
                <w:sz w:val="18"/>
                <w:szCs w:val="18"/>
              </w:rPr>
            </w:pPr>
            <w:r w:rsidRPr="00DD7880">
              <w:rPr>
                <w:rFonts w:ascii="Verdana" w:hAnsi="Verdana"/>
                <w:noProof/>
                <w:sz w:val="18"/>
                <w:szCs w:val="18"/>
              </w:rPr>
              <w:t>3</w:t>
            </w:r>
          </w:p>
        </w:tc>
      </w:tr>
    </w:tbl>
    <w:p w14:paraId="34A9D905" w14:textId="0EEB1C24" w:rsidR="001246D3" w:rsidRDefault="001246D3" w:rsidP="00704502">
      <w:pPr>
        <w:spacing w:after="160" w:line="240" w:lineRule="auto"/>
        <w:jc w:val="center"/>
        <w:rPr>
          <w:rFonts w:ascii="Verdana" w:hAnsi="Verdana" w:cstheme="minorHAnsi"/>
          <w:i/>
          <w:iCs/>
          <w:noProof/>
          <w:color w:val="7F7F7F" w:themeColor="text1" w:themeTint="80"/>
          <w:sz w:val="18"/>
          <w:szCs w:val="18"/>
        </w:rPr>
      </w:pPr>
      <w:r w:rsidRPr="006D4CE5">
        <w:rPr>
          <w:rFonts w:ascii="Verdana" w:hAnsi="Verdana" w:cstheme="minorHAnsi"/>
          <w:i/>
          <w:iCs/>
          <w:noProof/>
          <w:color w:val="7F7F7F" w:themeColor="text1" w:themeTint="80"/>
          <w:sz w:val="18"/>
          <w:szCs w:val="18"/>
        </w:rPr>
        <w:t>Source:</w:t>
      </w:r>
      <w:r w:rsidR="000F0DE5">
        <w:rPr>
          <w:rFonts w:ascii="Verdana" w:hAnsi="Verdana" w:cstheme="minorHAnsi"/>
          <w:i/>
          <w:iCs/>
          <w:noProof/>
          <w:color w:val="7F7F7F" w:themeColor="text1" w:themeTint="80"/>
          <w:sz w:val="18"/>
          <w:szCs w:val="18"/>
        </w:rPr>
        <w:t xml:space="preserve"> </w:t>
      </w:r>
      <w:r w:rsidR="000F0DE5" w:rsidRPr="00645701">
        <w:rPr>
          <w:rFonts w:ascii="Verdana" w:hAnsi="Verdana"/>
          <w:i/>
          <w:noProof/>
          <w:color w:val="7F7F7F" w:themeColor="text1" w:themeTint="80"/>
          <w:sz w:val="18"/>
          <w:szCs w:val="18"/>
        </w:rPr>
        <w:t>EY/RAND Europe Study’s</w:t>
      </w:r>
      <w:r w:rsidR="000F0DE5" w:rsidRPr="00645701">
        <w:rPr>
          <w:rFonts w:ascii="Verdana" w:hAnsi="Verdana"/>
          <w:i/>
          <w:noProof/>
          <w:color w:val="7F7F7F" w:themeColor="text1" w:themeTint="80"/>
          <w:szCs w:val="16"/>
        </w:rPr>
        <w:t xml:space="preserve"> </w:t>
      </w:r>
      <w:r w:rsidR="000F0DE5" w:rsidRPr="00645701">
        <w:rPr>
          <w:rFonts w:ascii="Verdana" w:hAnsi="Verdana"/>
          <w:i/>
          <w:noProof/>
          <w:color w:val="7F7F7F" w:themeColor="text1" w:themeTint="80"/>
          <w:sz w:val="18"/>
          <w:szCs w:val="16"/>
        </w:rPr>
        <w:t>elaboration</w:t>
      </w:r>
      <w:r w:rsidR="000F0DE5" w:rsidRPr="00645701">
        <w:rPr>
          <w:i/>
          <w:noProof/>
          <w:color w:val="7F7F7F" w:themeColor="text1" w:themeTint="80"/>
          <w:sz w:val="18"/>
          <w:szCs w:val="16"/>
        </w:rPr>
        <w:t xml:space="preserve"> </w:t>
      </w:r>
      <w:r w:rsidRPr="006D4CE5">
        <w:rPr>
          <w:rFonts w:ascii="Verdana" w:hAnsi="Verdana" w:cstheme="minorHAnsi"/>
          <w:i/>
          <w:iCs/>
          <w:noProof/>
          <w:color w:val="7F7F7F" w:themeColor="text1" w:themeTint="80"/>
          <w:sz w:val="18"/>
          <w:szCs w:val="18"/>
        </w:rPr>
        <w:t xml:space="preserve">, based </w:t>
      </w:r>
      <w:r>
        <w:rPr>
          <w:rFonts w:ascii="Verdana" w:hAnsi="Verdana" w:cstheme="minorHAnsi"/>
          <w:i/>
          <w:iCs/>
          <w:noProof/>
          <w:color w:val="7F7F7F" w:themeColor="text1" w:themeTint="80"/>
          <w:sz w:val="18"/>
          <w:szCs w:val="18"/>
        </w:rPr>
        <w:t xml:space="preserve">e.g. </w:t>
      </w:r>
      <w:r w:rsidRPr="006D4CE5">
        <w:rPr>
          <w:rFonts w:ascii="Verdana" w:hAnsi="Verdana" w:cstheme="minorHAnsi"/>
          <w:i/>
          <w:iCs/>
          <w:noProof/>
          <w:color w:val="7F7F7F" w:themeColor="text1" w:themeTint="80"/>
          <w:sz w:val="18"/>
          <w:szCs w:val="18"/>
        </w:rPr>
        <w:t xml:space="preserve">on </w:t>
      </w:r>
      <w:r>
        <w:rPr>
          <w:rFonts w:ascii="Verdana" w:hAnsi="Verdana" w:cstheme="minorHAnsi"/>
          <w:i/>
          <w:iCs/>
          <w:noProof/>
          <w:color w:val="7F7F7F" w:themeColor="text1" w:themeTint="80"/>
          <w:sz w:val="18"/>
          <w:szCs w:val="18"/>
        </w:rPr>
        <w:t>Eurostat and desk research</w:t>
      </w:r>
    </w:p>
    <w:p w14:paraId="72F758C6" w14:textId="77777777" w:rsidR="001246D3" w:rsidRDefault="001246D3" w:rsidP="00704502">
      <w:pPr>
        <w:spacing w:after="160" w:line="240" w:lineRule="auto"/>
        <w:jc w:val="center"/>
        <w:rPr>
          <w:rFonts w:ascii="Verdana" w:hAnsi="Verdana" w:cstheme="minorHAnsi"/>
          <w:i/>
          <w:iCs/>
          <w:noProof/>
          <w:color w:val="7F7F7F" w:themeColor="text1" w:themeTint="80"/>
          <w:sz w:val="18"/>
          <w:szCs w:val="18"/>
        </w:rPr>
        <w:sectPr w:rsidR="001246D3" w:rsidSect="00FF6B00">
          <w:headerReference w:type="even" r:id="rId41"/>
          <w:headerReference w:type="default" r:id="rId42"/>
          <w:footerReference w:type="even" r:id="rId43"/>
          <w:footerReference w:type="default" r:id="rId44"/>
          <w:headerReference w:type="first" r:id="rId45"/>
          <w:footerReference w:type="first" r:id="rId46"/>
          <w:pgSz w:w="16840" w:h="11899" w:orient="landscape" w:code="9"/>
          <w:pgMar w:top="1134" w:right="1134" w:bottom="1134" w:left="1134" w:header="567" w:footer="567" w:gutter="0"/>
          <w:cols w:space="708"/>
          <w:docGrid w:linePitch="326"/>
        </w:sectPr>
      </w:pPr>
    </w:p>
    <w:p w14:paraId="16159A78" w14:textId="77777777" w:rsidR="001246D3" w:rsidRPr="006D4CE5" w:rsidRDefault="001246D3" w:rsidP="00704502">
      <w:pPr>
        <w:spacing w:after="160" w:line="240" w:lineRule="auto"/>
        <w:jc w:val="center"/>
        <w:rPr>
          <w:rFonts w:ascii="Verdana" w:hAnsi="Verdana" w:cstheme="minorHAnsi"/>
          <w:i/>
          <w:iCs/>
          <w:noProof/>
          <w:color w:val="7F7F7F" w:themeColor="text1" w:themeTint="80"/>
          <w:sz w:val="18"/>
          <w:szCs w:val="18"/>
        </w:rPr>
      </w:pPr>
    </w:p>
    <w:p w14:paraId="55D3AEDB" w14:textId="77777777" w:rsidR="001246D3" w:rsidRPr="00A62BB9" w:rsidRDefault="001246D3" w:rsidP="00704502">
      <w:pPr>
        <w:spacing w:before="120" w:after="120"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rPr>
        <w:t xml:space="preserve">A total of 26 </w:t>
      </w:r>
      <w:r w:rsidRPr="00A62BB9">
        <w:rPr>
          <w:rFonts w:ascii="Times New Roman" w:hAnsi="Times New Roman" w:cs="Times New Roman"/>
          <w:noProof/>
          <w:sz w:val="24"/>
          <w:szCs w:val="24"/>
          <w:lang w:val="en-GB"/>
        </w:rPr>
        <w:t xml:space="preserve">national representatives were interviewed in the five case study countries in 12 individual case study interviews. Additionally, two follow-up interviews were conducted with representatives from Belgium. </w:t>
      </w:r>
    </w:p>
    <w:p w14:paraId="34E7E96A" w14:textId="77777777" w:rsidR="001246D3" w:rsidRPr="00DF4A58" w:rsidRDefault="001246D3" w:rsidP="001246D3">
      <w:pPr>
        <w:keepNext/>
        <w:spacing w:before="120" w:after="120"/>
        <w:jc w:val="center"/>
        <w:rPr>
          <w:rFonts w:ascii="Verdana" w:hAnsi="Verdana"/>
          <w:b/>
          <w:noProof/>
          <w:sz w:val="18"/>
          <w:lang w:val="en-GB"/>
        </w:rPr>
      </w:pPr>
      <w:r w:rsidRPr="00A62BB9">
        <w:rPr>
          <w:rFonts w:ascii="Times New Roman" w:hAnsi="Times New Roman" w:cs="Times New Roman"/>
          <w:b/>
          <w:noProof/>
          <w:sz w:val="24"/>
          <w:szCs w:val="24"/>
          <w:lang w:val="en-GB"/>
        </w:rPr>
        <w:t>Number of participants per case study country</w:t>
      </w:r>
    </w:p>
    <w:tbl>
      <w:tblPr>
        <w:tblStyle w:val="TableGrid"/>
        <w:tblW w:w="7319" w:type="dxa"/>
        <w:jc w:val="center"/>
        <w:tblLook w:val="04A0" w:firstRow="1" w:lastRow="0" w:firstColumn="1" w:lastColumn="0" w:noHBand="0" w:noVBand="1"/>
      </w:tblPr>
      <w:tblGrid>
        <w:gridCol w:w="3935"/>
        <w:gridCol w:w="1958"/>
        <w:gridCol w:w="1426"/>
      </w:tblGrid>
      <w:tr w:rsidR="001246D3" w:rsidRPr="0014625C" w14:paraId="524D6174" w14:textId="77777777" w:rsidTr="00386871">
        <w:trPr>
          <w:trHeight w:val="423"/>
          <w:jc w:val="center"/>
        </w:trPr>
        <w:tc>
          <w:tcPr>
            <w:tcW w:w="3935" w:type="dxa"/>
            <w:shd w:val="clear" w:color="auto" w:fill="00B0F0"/>
          </w:tcPr>
          <w:p w14:paraId="3FF269E4"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Case study country</w:t>
            </w:r>
          </w:p>
        </w:tc>
        <w:tc>
          <w:tcPr>
            <w:tcW w:w="1958" w:type="dxa"/>
            <w:shd w:val="clear" w:color="auto" w:fill="00B0F0"/>
          </w:tcPr>
          <w:p w14:paraId="51D51643"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Number of interviews</w:t>
            </w:r>
          </w:p>
        </w:tc>
        <w:tc>
          <w:tcPr>
            <w:tcW w:w="1426" w:type="dxa"/>
            <w:shd w:val="clear" w:color="auto" w:fill="00B0F0"/>
          </w:tcPr>
          <w:p w14:paraId="76C3D849"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Number of participants</w:t>
            </w:r>
          </w:p>
        </w:tc>
      </w:tr>
      <w:tr w:rsidR="001246D3" w:rsidRPr="0014625C" w14:paraId="45F60216" w14:textId="77777777" w:rsidTr="00386871">
        <w:trPr>
          <w:trHeight w:val="372"/>
          <w:jc w:val="center"/>
        </w:trPr>
        <w:tc>
          <w:tcPr>
            <w:tcW w:w="3935" w:type="dxa"/>
          </w:tcPr>
          <w:p w14:paraId="7DA07F92" w14:textId="77777777" w:rsidR="001246D3" w:rsidRPr="00DD7880" w:rsidRDefault="001246D3" w:rsidP="00386871">
            <w:pPr>
              <w:spacing w:after="0"/>
              <w:rPr>
                <w:rFonts w:ascii="Verdana" w:hAnsi="Verdana"/>
                <w:noProof/>
                <w:sz w:val="18"/>
                <w:szCs w:val="18"/>
              </w:rPr>
            </w:pPr>
            <w:r w:rsidRPr="00DD7880">
              <w:rPr>
                <w:rFonts w:ascii="Verdana" w:hAnsi="Verdana"/>
                <w:noProof/>
                <w:sz w:val="18"/>
                <w:szCs w:val="18"/>
              </w:rPr>
              <w:t>Austria</w:t>
            </w:r>
          </w:p>
        </w:tc>
        <w:tc>
          <w:tcPr>
            <w:tcW w:w="1958" w:type="dxa"/>
          </w:tcPr>
          <w:p w14:paraId="114AFB7A"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1</w:t>
            </w:r>
          </w:p>
        </w:tc>
        <w:tc>
          <w:tcPr>
            <w:tcW w:w="1426" w:type="dxa"/>
          </w:tcPr>
          <w:p w14:paraId="049E3F7B"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1</w:t>
            </w:r>
          </w:p>
        </w:tc>
      </w:tr>
      <w:tr w:rsidR="001246D3" w:rsidRPr="0014625C" w14:paraId="3C1F860B" w14:textId="77777777" w:rsidTr="00386871">
        <w:trPr>
          <w:trHeight w:val="378"/>
          <w:jc w:val="center"/>
        </w:trPr>
        <w:tc>
          <w:tcPr>
            <w:tcW w:w="3935" w:type="dxa"/>
          </w:tcPr>
          <w:p w14:paraId="09BAECDF" w14:textId="77777777" w:rsidR="001246D3" w:rsidRPr="00DD7880" w:rsidRDefault="001246D3" w:rsidP="00386871">
            <w:pPr>
              <w:spacing w:after="0"/>
              <w:rPr>
                <w:rFonts w:ascii="Verdana" w:hAnsi="Verdana"/>
                <w:noProof/>
                <w:sz w:val="18"/>
                <w:szCs w:val="18"/>
              </w:rPr>
            </w:pPr>
            <w:r w:rsidRPr="00DD7880">
              <w:rPr>
                <w:rFonts w:ascii="Verdana" w:hAnsi="Verdana"/>
                <w:noProof/>
                <w:sz w:val="18"/>
                <w:szCs w:val="18"/>
              </w:rPr>
              <w:t>France</w:t>
            </w:r>
          </w:p>
        </w:tc>
        <w:tc>
          <w:tcPr>
            <w:tcW w:w="1958" w:type="dxa"/>
          </w:tcPr>
          <w:p w14:paraId="631DE98C"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4</w:t>
            </w:r>
          </w:p>
        </w:tc>
        <w:tc>
          <w:tcPr>
            <w:tcW w:w="1426" w:type="dxa"/>
          </w:tcPr>
          <w:p w14:paraId="0D958517"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12</w:t>
            </w:r>
          </w:p>
        </w:tc>
      </w:tr>
      <w:tr w:rsidR="001246D3" w:rsidRPr="0014625C" w14:paraId="5D7ECD7F" w14:textId="77777777" w:rsidTr="00386871">
        <w:trPr>
          <w:trHeight w:val="378"/>
          <w:jc w:val="center"/>
        </w:trPr>
        <w:tc>
          <w:tcPr>
            <w:tcW w:w="3935" w:type="dxa"/>
          </w:tcPr>
          <w:p w14:paraId="206620CD" w14:textId="77777777" w:rsidR="001246D3" w:rsidRPr="00DD7880" w:rsidRDefault="001246D3" w:rsidP="00386871">
            <w:pPr>
              <w:spacing w:after="0"/>
              <w:rPr>
                <w:rFonts w:ascii="Verdana" w:hAnsi="Verdana"/>
                <w:noProof/>
                <w:sz w:val="18"/>
                <w:szCs w:val="18"/>
              </w:rPr>
            </w:pPr>
            <w:r w:rsidRPr="00DD7880">
              <w:rPr>
                <w:rFonts w:ascii="Verdana" w:hAnsi="Verdana"/>
                <w:noProof/>
                <w:sz w:val="18"/>
                <w:szCs w:val="18"/>
              </w:rPr>
              <w:t>Slovenia</w:t>
            </w:r>
          </w:p>
        </w:tc>
        <w:tc>
          <w:tcPr>
            <w:tcW w:w="1958" w:type="dxa"/>
          </w:tcPr>
          <w:p w14:paraId="090512EC"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4</w:t>
            </w:r>
          </w:p>
        </w:tc>
        <w:tc>
          <w:tcPr>
            <w:tcW w:w="1426" w:type="dxa"/>
          </w:tcPr>
          <w:p w14:paraId="22B38EED"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6</w:t>
            </w:r>
          </w:p>
        </w:tc>
      </w:tr>
      <w:tr w:rsidR="001246D3" w:rsidRPr="0014625C" w14:paraId="36CF7157" w14:textId="77777777" w:rsidTr="00386871">
        <w:trPr>
          <w:trHeight w:val="378"/>
          <w:jc w:val="center"/>
        </w:trPr>
        <w:tc>
          <w:tcPr>
            <w:tcW w:w="3935" w:type="dxa"/>
          </w:tcPr>
          <w:p w14:paraId="649E7234" w14:textId="77777777" w:rsidR="001246D3" w:rsidRPr="00DD7880" w:rsidRDefault="001246D3" w:rsidP="00386871">
            <w:pPr>
              <w:spacing w:after="0"/>
              <w:rPr>
                <w:rFonts w:ascii="Verdana" w:hAnsi="Verdana"/>
                <w:noProof/>
                <w:sz w:val="18"/>
                <w:szCs w:val="18"/>
              </w:rPr>
            </w:pPr>
            <w:r w:rsidRPr="00DD7880">
              <w:rPr>
                <w:rFonts w:ascii="Verdana" w:hAnsi="Verdana"/>
                <w:noProof/>
                <w:sz w:val="18"/>
                <w:szCs w:val="18"/>
              </w:rPr>
              <w:t>Sweden</w:t>
            </w:r>
          </w:p>
        </w:tc>
        <w:tc>
          <w:tcPr>
            <w:tcW w:w="1958" w:type="dxa"/>
          </w:tcPr>
          <w:p w14:paraId="2D901267"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1</w:t>
            </w:r>
          </w:p>
        </w:tc>
        <w:tc>
          <w:tcPr>
            <w:tcW w:w="1426" w:type="dxa"/>
          </w:tcPr>
          <w:p w14:paraId="0B1EC746"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1</w:t>
            </w:r>
          </w:p>
        </w:tc>
      </w:tr>
      <w:tr w:rsidR="001246D3" w:rsidRPr="0014625C" w14:paraId="64FC3013" w14:textId="77777777" w:rsidTr="00386871">
        <w:trPr>
          <w:trHeight w:val="378"/>
          <w:jc w:val="center"/>
        </w:trPr>
        <w:tc>
          <w:tcPr>
            <w:tcW w:w="3935" w:type="dxa"/>
          </w:tcPr>
          <w:p w14:paraId="4F3BF730" w14:textId="77777777" w:rsidR="001246D3" w:rsidRPr="00DD7880" w:rsidRDefault="001246D3" w:rsidP="00386871">
            <w:pPr>
              <w:spacing w:after="0"/>
              <w:rPr>
                <w:rFonts w:ascii="Verdana" w:hAnsi="Verdana"/>
                <w:noProof/>
                <w:sz w:val="18"/>
                <w:szCs w:val="18"/>
              </w:rPr>
            </w:pPr>
            <w:r w:rsidRPr="00DD7880">
              <w:rPr>
                <w:rFonts w:ascii="Verdana" w:hAnsi="Verdana"/>
                <w:noProof/>
                <w:sz w:val="18"/>
                <w:szCs w:val="18"/>
              </w:rPr>
              <w:t>Switzerland</w:t>
            </w:r>
          </w:p>
        </w:tc>
        <w:tc>
          <w:tcPr>
            <w:tcW w:w="1958" w:type="dxa"/>
          </w:tcPr>
          <w:p w14:paraId="4A86CB72"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2</w:t>
            </w:r>
          </w:p>
        </w:tc>
        <w:tc>
          <w:tcPr>
            <w:tcW w:w="1426" w:type="dxa"/>
          </w:tcPr>
          <w:p w14:paraId="3037BA8B" w14:textId="77777777" w:rsidR="001246D3" w:rsidRPr="00DD7880" w:rsidRDefault="001246D3" w:rsidP="00386871">
            <w:pPr>
              <w:spacing w:after="0"/>
              <w:jc w:val="center"/>
              <w:rPr>
                <w:rFonts w:ascii="Verdana" w:hAnsi="Verdana"/>
                <w:noProof/>
                <w:sz w:val="18"/>
                <w:szCs w:val="18"/>
              </w:rPr>
            </w:pPr>
            <w:r w:rsidRPr="00DD7880">
              <w:rPr>
                <w:rFonts w:ascii="Verdana" w:hAnsi="Verdana"/>
                <w:noProof/>
                <w:sz w:val="18"/>
                <w:szCs w:val="18"/>
              </w:rPr>
              <w:t>6</w:t>
            </w:r>
          </w:p>
        </w:tc>
      </w:tr>
    </w:tbl>
    <w:p w14:paraId="39CD30FA" w14:textId="694DFD04" w:rsidR="001246D3" w:rsidRPr="00466A4A" w:rsidRDefault="001246D3" w:rsidP="001246D3">
      <w:pPr>
        <w:spacing w:after="160" w:line="259" w:lineRule="auto"/>
        <w:jc w:val="center"/>
        <w:rPr>
          <w:rFonts w:ascii="Verdana" w:hAnsi="Verdana" w:cstheme="minorHAnsi"/>
          <w:i/>
          <w:iCs/>
          <w:noProof/>
          <w:color w:val="7F7F7F" w:themeColor="text1" w:themeTint="80"/>
          <w:sz w:val="18"/>
          <w:szCs w:val="18"/>
        </w:rPr>
      </w:pPr>
      <w:r w:rsidRPr="006D4CE5">
        <w:rPr>
          <w:rFonts w:ascii="Verdana" w:hAnsi="Verdana" w:cstheme="minorHAnsi"/>
          <w:i/>
          <w:iCs/>
          <w:noProof/>
          <w:color w:val="7F7F7F" w:themeColor="text1" w:themeTint="80"/>
          <w:sz w:val="18"/>
          <w:szCs w:val="18"/>
        </w:rPr>
        <w:t xml:space="preserve">Source: </w:t>
      </w:r>
      <w:r w:rsidR="000F0DE5" w:rsidRPr="00CB565C">
        <w:rPr>
          <w:rFonts w:ascii="Verdana" w:hAnsi="Verdana"/>
          <w:i/>
          <w:noProof/>
          <w:color w:val="7F7F7F" w:themeColor="text1" w:themeTint="80"/>
          <w:sz w:val="18"/>
          <w:szCs w:val="18"/>
        </w:rPr>
        <w:t>EY/RAND Europe Study’s</w:t>
      </w:r>
      <w:r w:rsidR="000F0DE5" w:rsidRPr="00CB565C">
        <w:rPr>
          <w:rFonts w:ascii="Verdana" w:hAnsi="Verdana"/>
          <w:i/>
          <w:noProof/>
          <w:color w:val="7F7F7F" w:themeColor="text1" w:themeTint="80"/>
          <w:szCs w:val="16"/>
        </w:rPr>
        <w:t xml:space="preserve"> </w:t>
      </w:r>
      <w:r w:rsidR="000F0DE5" w:rsidRPr="00CB565C">
        <w:rPr>
          <w:rFonts w:ascii="Verdana" w:hAnsi="Verdana"/>
          <w:i/>
          <w:noProof/>
          <w:color w:val="7F7F7F" w:themeColor="text1" w:themeTint="80"/>
          <w:sz w:val="18"/>
          <w:szCs w:val="16"/>
        </w:rPr>
        <w:t>elaboration</w:t>
      </w:r>
      <w:r w:rsidR="000F0DE5" w:rsidRPr="00CB565C">
        <w:rPr>
          <w:i/>
          <w:noProof/>
          <w:color w:val="7F7F7F" w:themeColor="text1" w:themeTint="80"/>
          <w:sz w:val="18"/>
          <w:szCs w:val="16"/>
        </w:rPr>
        <w:t xml:space="preserve"> </w:t>
      </w:r>
      <w:r w:rsidRPr="006D4CE5">
        <w:rPr>
          <w:rFonts w:ascii="Verdana" w:hAnsi="Verdana" w:cstheme="minorHAnsi"/>
          <w:i/>
          <w:iCs/>
          <w:noProof/>
          <w:color w:val="7F7F7F" w:themeColor="text1" w:themeTint="80"/>
          <w:sz w:val="18"/>
          <w:szCs w:val="18"/>
        </w:rPr>
        <w:t>, based on case study interviews</w:t>
      </w:r>
    </w:p>
    <w:p w14:paraId="0FDCCC20" w14:textId="77777777" w:rsidR="001246D3" w:rsidRPr="00A62BB9" w:rsidRDefault="001246D3" w:rsidP="00704502">
      <w:pPr>
        <w:spacing w:after="160"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The case study interviews were conducted to gather additional detailed information concerning:</w:t>
      </w:r>
    </w:p>
    <w:p w14:paraId="248FB148" w14:textId="77777777" w:rsidR="001246D3" w:rsidRPr="00A62BB9" w:rsidRDefault="001246D3" w:rsidP="00704502">
      <w:pPr>
        <w:pStyle w:val="ListParagraph"/>
        <w:numPr>
          <w:ilvl w:val="0"/>
          <w:numId w:val="140"/>
        </w:numPr>
        <w:spacing w:after="160"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Possible EU measures to address current problems affecting cross-border law enforcement cooperation; and </w:t>
      </w:r>
    </w:p>
    <w:p w14:paraId="3790DFD6" w14:textId="77777777" w:rsidR="001246D3" w:rsidRPr="00A62BB9" w:rsidRDefault="001246D3" w:rsidP="00704502">
      <w:pPr>
        <w:pStyle w:val="ListParagraph"/>
        <w:numPr>
          <w:ilvl w:val="0"/>
          <w:numId w:val="140"/>
        </w:numPr>
        <w:spacing w:after="160"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The likely impacts of these possible EU measures. </w:t>
      </w:r>
    </w:p>
    <w:p w14:paraId="4BE7F5EC" w14:textId="77777777" w:rsidR="001246D3" w:rsidRPr="00A62BB9" w:rsidRDefault="001246D3" w:rsidP="00704502">
      <w:pPr>
        <w:spacing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The interviews were structured around the topic of access to and exchange of information. </w:t>
      </w:r>
    </w:p>
    <w:p w14:paraId="1CD24F21" w14:textId="77777777" w:rsidR="001246D3" w:rsidRPr="00A62BB9" w:rsidRDefault="001246D3" w:rsidP="00704502">
      <w:pPr>
        <w:spacing w:line="240" w:lineRule="auto"/>
        <w:jc w:val="both"/>
        <w:rPr>
          <w:rFonts w:ascii="Times New Roman" w:hAnsi="Times New Roman" w:cs="Times New Roman"/>
          <w:i/>
          <w:iCs/>
          <w:noProof/>
          <w:sz w:val="24"/>
          <w:szCs w:val="24"/>
          <w:u w:val="single"/>
          <w:lang w:val="en-GB"/>
        </w:rPr>
      </w:pPr>
      <w:r w:rsidRPr="00A62BB9">
        <w:rPr>
          <w:rFonts w:ascii="Times New Roman" w:hAnsi="Times New Roman" w:cs="Times New Roman"/>
          <w:i/>
          <w:iCs/>
          <w:noProof/>
          <w:sz w:val="24"/>
          <w:szCs w:val="24"/>
          <w:u w:val="single"/>
          <w:lang w:val="en-GB"/>
        </w:rPr>
        <w:t>Access to and exchange of information</w:t>
      </w:r>
    </w:p>
    <w:p w14:paraId="4B326A26" w14:textId="77777777" w:rsidR="001246D3" w:rsidRPr="00A62BB9" w:rsidRDefault="001246D3" w:rsidP="00704502">
      <w:pPr>
        <w:spacing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The interviewees from the case study countries were either indifferent or favourable towards the potential EU policy measures that had been developed to address current challenges in relation to access to and exchange of information. </w:t>
      </w:r>
    </w:p>
    <w:p w14:paraId="681F0061" w14:textId="77777777" w:rsidR="001246D3" w:rsidRPr="00A62BB9" w:rsidRDefault="001246D3" w:rsidP="00704502">
      <w:pPr>
        <w:spacing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With regard to the </w:t>
      </w:r>
      <w:r w:rsidRPr="00A62BB9">
        <w:rPr>
          <w:rFonts w:ascii="Times New Roman" w:hAnsi="Times New Roman" w:cs="Times New Roman"/>
          <w:b/>
          <w:bCs/>
          <w:noProof/>
          <w:sz w:val="24"/>
          <w:szCs w:val="24"/>
          <w:lang w:val="en-GB"/>
        </w:rPr>
        <w:t>set-up and competencies of the SPOCs and PCCCs</w:t>
      </w:r>
      <w:r w:rsidRPr="00A62BB9">
        <w:rPr>
          <w:rFonts w:ascii="Times New Roman" w:hAnsi="Times New Roman" w:cs="Times New Roman"/>
          <w:noProof/>
          <w:sz w:val="24"/>
          <w:szCs w:val="24"/>
          <w:lang w:val="en-GB"/>
        </w:rPr>
        <w:t>, interviewees from two case study countries specified that they assume positive impacts from the policy options for those Member States that have not already set up their SPOCs and PCCC in line with the presented policy options. However, they expected little impact for their own countries as they are mainly already complying with the presented measures. For instance, the interviewees highlighted that they already have SPOCs operating 24/7 and that if there is an information request, requests can be handled in real-time with no delays, particularly in urgent cases. Other representatives, nevertheless, also estimated that if the SPOC were to have full access to relevant national case management systems, the time saved would be at least several days, as for non-urgent cases signatures by competent authorities are always required.</w:t>
      </w:r>
    </w:p>
    <w:p w14:paraId="085E7B82" w14:textId="77777777" w:rsidR="001246D3" w:rsidRPr="00A62BB9" w:rsidRDefault="001246D3" w:rsidP="00704502">
      <w:pPr>
        <w:spacing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As concerns the SPOC/PCCC </w:t>
      </w:r>
      <w:r w:rsidRPr="00A62BB9">
        <w:rPr>
          <w:rFonts w:ascii="Times New Roman" w:hAnsi="Times New Roman" w:cs="Times New Roman"/>
          <w:b/>
          <w:bCs/>
          <w:noProof/>
          <w:sz w:val="24"/>
          <w:szCs w:val="24"/>
          <w:lang w:val="en-GB"/>
        </w:rPr>
        <w:t>Case Management Systems (CMS)</w:t>
      </w:r>
      <w:r w:rsidRPr="00A62BB9">
        <w:rPr>
          <w:rFonts w:ascii="Times New Roman" w:hAnsi="Times New Roman" w:cs="Times New Roman"/>
          <w:noProof/>
          <w:sz w:val="24"/>
          <w:szCs w:val="24"/>
          <w:lang w:val="en-GB"/>
        </w:rPr>
        <w:t xml:space="preserve"> in the Member States, one representative explained that they are already in the planning phase for a CMS in their country, which would comply with the presented policy options such as the usage of Universal Message Format or that the degrees of urgency should be linked with deadlines. Hence, no major impacts were expected from the introduction of these potential EU measures. Interviewees from another case study country, however, expected positive impacts from the provision of a list of common requirements for functionalities, since the </w:t>
      </w:r>
      <w:r w:rsidRPr="00A62BB9">
        <w:rPr>
          <w:rFonts w:ascii="Times New Roman" w:hAnsi="Times New Roman" w:cs="Times New Roman"/>
          <w:bCs/>
          <w:noProof/>
          <w:sz w:val="24"/>
          <w:szCs w:val="24"/>
        </w:rPr>
        <w:t>existing CMS are typically based on inhouse solutions and, consequently, not necessarily tailored to the needs of cross-border law enforcement cooperation.</w:t>
      </w:r>
    </w:p>
    <w:p w14:paraId="2BB4DDC7" w14:textId="77777777" w:rsidR="001246D3" w:rsidRPr="00A62BB9" w:rsidRDefault="001246D3" w:rsidP="00704502">
      <w:pPr>
        <w:spacing w:line="240" w:lineRule="auto"/>
        <w:jc w:val="both"/>
        <w:rPr>
          <w:rFonts w:ascii="Times New Roman" w:hAnsi="Times New Roman" w:cs="Times New Roman"/>
          <w:noProof/>
          <w:sz w:val="24"/>
          <w:szCs w:val="24"/>
        </w:rPr>
      </w:pPr>
      <w:r w:rsidRPr="00A62BB9">
        <w:rPr>
          <w:rFonts w:ascii="Times New Roman" w:hAnsi="Times New Roman" w:cs="Times New Roman"/>
          <w:noProof/>
          <w:sz w:val="24"/>
          <w:szCs w:val="24"/>
        </w:rPr>
        <w:t xml:space="preserve">Interviewees voiced different expectations about the impacts in relation to information exchange via SIENA and other communication channels. On the one hand, representatives from two case study countries only saw limited added value if </w:t>
      </w:r>
      <w:r w:rsidRPr="00A62BB9">
        <w:rPr>
          <w:rFonts w:ascii="Times New Roman" w:hAnsi="Times New Roman" w:cs="Times New Roman"/>
          <w:b/>
          <w:bCs/>
          <w:noProof/>
          <w:sz w:val="24"/>
          <w:szCs w:val="24"/>
        </w:rPr>
        <w:t>English were to be established as the default language</w:t>
      </w:r>
      <w:r w:rsidRPr="00A62BB9">
        <w:rPr>
          <w:rFonts w:ascii="Times New Roman" w:hAnsi="Times New Roman" w:cs="Times New Roman"/>
          <w:noProof/>
          <w:sz w:val="24"/>
          <w:szCs w:val="24"/>
        </w:rPr>
        <w:t xml:space="preserve"> for the use of SIENA and found SIENA user-friendly already. Stakeholders from another country did, however, expect to see positive impacts in terms of a reduction in working time currently spent on translation if English was established as default language for the use of SIENA. These stakeholders were of the view that SIENA could be made more user-friendly if a translation tool was integrated in SIENA, which would allow SPOCS to allocate human resources currently dedicated to help out on translation issues to other urgent tasks.</w:t>
      </w:r>
    </w:p>
    <w:p w14:paraId="54ACF3EF" w14:textId="77777777" w:rsidR="001246D3" w:rsidRPr="00A62BB9" w:rsidRDefault="001246D3" w:rsidP="00704502">
      <w:pPr>
        <w:spacing w:line="240" w:lineRule="auto"/>
        <w:jc w:val="both"/>
        <w:rPr>
          <w:rFonts w:ascii="Times New Roman" w:hAnsi="Times New Roman" w:cs="Times New Roman"/>
          <w:noProof/>
          <w:sz w:val="24"/>
          <w:szCs w:val="24"/>
        </w:rPr>
      </w:pPr>
      <w:r w:rsidRPr="00A62BB9">
        <w:rPr>
          <w:rFonts w:ascii="Times New Roman" w:hAnsi="Times New Roman" w:cs="Times New Roman"/>
          <w:noProof/>
          <w:sz w:val="24"/>
          <w:szCs w:val="24"/>
        </w:rPr>
        <w:t xml:space="preserve">The stakeholders from the first two countries were more favourable towards </w:t>
      </w:r>
      <w:r w:rsidRPr="00A62BB9">
        <w:rPr>
          <w:rFonts w:ascii="Times New Roman" w:hAnsi="Times New Roman" w:cs="Times New Roman"/>
          <w:b/>
          <w:bCs/>
          <w:noProof/>
          <w:sz w:val="24"/>
          <w:szCs w:val="24"/>
        </w:rPr>
        <w:t>new, simpler, and more user-friendly forms</w:t>
      </w:r>
      <w:r w:rsidRPr="00A62BB9">
        <w:rPr>
          <w:rFonts w:ascii="Times New Roman" w:hAnsi="Times New Roman" w:cs="Times New Roman"/>
          <w:noProof/>
          <w:sz w:val="24"/>
          <w:szCs w:val="24"/>
        </w:rPr>
        <w:t xml:space="preserve">, which could result in a limited positive impact. Similarly, representatives from the third case study country indicated that they would expect clear positive impacts if more user-friendly forms were established. </w:t>
      </w:r>
    </w:p>
    <w:p w14:paraId="0A16ED19" w14:textId="77777777" w:rsidR="001246D3" w:rsidRPr="00A62BB9" w:rsidRDefault="001246D3" w:rsidP="00704502">
      <w:pPr>
        <w:spacing w:line="240" w:lineRule="auto"/>
        <w:jc w:val="both"/>
        <w:rPr>
          <w:rFonts w:ascii="Times New Roman" w:hAnsi="Times New Roman" w:cs="Times New Roman"/>
          <w:noProof/>
          <w:sz w:val="24"/>
          <w:szCs w:val="24"/>
        </w:rPr>
      </w:pPr>
      <w:r w:rsidRPr="00A62BB9">
        <w:rPr>
          <w:rFonts w:ascii="Times New Roman" w:hAnsi="Times New Roman" w:cs="Times New Roman"/>
          <w:noProof/>
          <w:sz w:val="24"/>
          <w:szCs w:val="24"/>
        </w:rPr>
        <w:t xml:space="preserve">As concerns the establishment of SIENA as the </w:t>
      </w:r>
      <w:r w:rsidRPr="00A62BB9">
        <w:rPr>
          <w:rFonts w:ascii="Times New Roman" w:hAnsi="Times New Roman" w:cs="Times New Roman"/>
          <w:b/>
          <w:bCs/>
          <w:noProof/>
          <w:sz w:val="24"/>
          <w:szCs w:val="24"/>
        </w:rPr>
        <w:t>preferred or default channel for information exchange</w:t>
      </w:r>
      <w:r w:rsidRPr="00A62BB9">
        <w:rPr>
          <w:rFonts w:ascii="Times New Roman" w:hAnsi="Times New Roman" w:cs="Times New Roman"/>
          <w:noProof/>
          <w:sz w:val="24"/>
          <w:szCs w:val="24"/>
        </w:rPr>
        <w:t xml:space="preserve">, </w:t>
      </w:r>
      <w:r w:rsidRPr="00A62BB9">
        <w:rPr>
          <w:rFonts w:ascii="Times New Roman" w:hAnsi="Times New Roman" w:cs="Times New Roman"/>
          <w:bCs/>
          <w:noProof/>
          <w:sz w:val="24"/>
          <w:szCs w:val="24"/>
        </w:rPr>
        <w:t>representatives from one case study country indicated that, although they use SIENA already very frequently as their most important information exchange channel, their LEAs would greatly benefit from even more Member States and SAC using SIENA as the preferred channel.</w:t>
      </w:r>
    </w:p>
    <w:p w14:paraId="2C928052" w14:textId="77777777" w:rsidR="001246D3" w:rsidRPr="00A62BB9" w:rsidRDefault="001246D3" w:rsidP="00704502">
      <w:pPr>
        <w:spacing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One representative stressed that they in particular expected positive impacts from EU measures addressing the use of secure communication means. They currently rely on WhatsApp for fast cross-border communication and for sharing initiative information without personal data, but would prefer a police communication mobile app or platform linked to SIENA with encrypted messaging. Hence, the development of </w:t>
      </w:r>
      <w:r w:rsidRPr="00A62BB9">
        <w:rPr>
          <w:rFonts w:ascii="Times New Roman" w:hAnsi="Times New Roman" w:cs="Times New Roman"/>
          <w:b/>
          <w:bCs/>
          <w:noProof/>
          <w:sz w:val="24"/>
          <w:szCs w:val="24"/>
          <w:lang w:val="en-GB"/>
        </w:rPr>
        <w:t>common standards for secure communication means</w:t>
      </w:r>
      <w:r w:rsidRPr="00A62BB9">
        <w:rPr>
          <w:rFonts w:ascii="Times New Roman" w:hAnsi="Times New Roman" w:cs="Times New Roman"/>
          <w:noProof/>
          <w:sz w:val="24"/>
          <w:szCs w:val="24"/>
          <w:lang w:val="en-GB"/>
        </w:rPr>
        <w:t xml:space="preserve"> and the development of a “central LEA app” would help to solve the security problems with respect to WhatsApp and reduce delays when waiting for replies and reactions from officials from the other side of the border.</w:t>
      </w:r>
    </w:p>
    <w:p w14:paraId="0B519206" w14:textId="77777777" w:rsidR="001246D3" w:rsidRPr="00A62BB9" w:rsidRDefault="001246D3" w:rsidP="00704502">
      <w:pPr>
        <w:spacing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Interviewees expressed different expected impacts concerning </w:t>
      </w:r>
      <w:r w:rsidRPr="00A62BB9">
        <w:rPr>
          <w:rFonts w:ascii="Times New Roman" w:hAnsi="Times New Roman" w:cs="Times New Roman"/>
          <w:b/>
          <w:bCs/>
          <w:noProof/>
          <w:sz w:val="24"/>
          <w:szCs w:val="24"/>
          <w:lang w:val="en-GB"/>
        </w:rPr>
        <w:t>training activities</w:t>
      </w:r>
      <w:r w:rsidRPr="00A62BB9">
        <w:rPr>
          <w:rFonts w:ascii="Times New Roman" w:hAnsi="Times New Roman" w:cs="Times New Roman"/>
          <w:noProof/>
          <w:sz w:val="24"/>
          <w:szCs w:val="24"/>
          <w:lang w:val="en-GB"/>
        </w:rPr>
        <w:t>. If English were defined as an appropriate criterion for specific roles within certain LEAs working on primarily on international cases, one interviewee saw little added value as those officials working in cross-border cases in his/her country who need to speak English have a sufficient command of English. On the other hand, representatives from another case study expected positive impacts. They illustrated their opinion with the example of the usage of SIENA: If an official needs support to fill in a form in SIENA, then the SPOCs helps with the translation. If appropriate English skills were defined as an entry criterion, then the SPOCs could spend less human resources (or less working time) to assist with translations. Concerning the introduction of mandatory training on EU law enforcement cooperation for officials in specific roles relevant for cross-border law enforcement, one interviewee stressed the positive impacts that could stem from a reduction in specific initial training, which are set up in advance before each joint operations. If training was more standardised, administrative costs for the performance of trainings and working hours spent by officials on trainings could be reduced.</w:t>
      </w:r>
    </w:p>
    <w:p w14:paraId="535BA78D" w14:textId="77777777" w:rsidR="001246D3" w:rsidRPr="00A62BB9" w:rsidRDefault="001246D3" w:rsidP="001246D3">
      <w:pPr>
        <w:pStyle w:val="Body"/>
        <w:keepNext/>
        <w:jc w:val="both"/>
        <w:rPr>
          <w:rFonts w:ascii="Times New Roman" w:hAnsi="Times New Roman"/>
          <w:noProof/>
          <w:color w:val="44546A" w:themeColor="text2"/>
          <w:sz w:val="24"/>
          <w:szCs w:val="24"/>
        </w:rPr>
      </w:pPr>
      <w:r w:rsidRPr="00A62BB9">
        <w:rPr>
          <w:rFonts w:ascii="Times New Roman" w:hAnsi="Times New Roman"/>
          <w:b/>
          <w:bCs/>
          <w:i/>
          <w:iCs/>
          <w:noProof/>
          <w:color w:val="44546A" w:themeColor="text2"/>
          <w:sz w:val="24"/>
          <w:szCs w:val="24"/>
        </w:rPr>
        <w:t>The problem definition</w:t>
      </w:r>
    </w:p>
    <w:p w14:paraId="7E37AEFA" w14:textId="77777777" w:rsidR="001246D3" w:rsidRPr="00A62BB9" w:rsidRDefault="001246D3" w:rsidP="001246D3">
      <w:pPr>
        <w:pStyle w:val="Body"/>
        <w:jc w:val="both"/>
        <w:rPr>
          <w:rFonts w:ascii="Times New Roman" w:hAnsi="Times New Roman"/>
          <w:i/>
          <w:iCs/>
          <w:noProof/>
          <w:sz w:val="24"/>
          <w:szCs w:val="24"/>
          <w:u w:val="single"/>
        </w:rPr>
      </w:pPr>
      <w:r w:rsidRPr="00A62BB9">
        <w:rPr>
          <w:rFonts w:ascii="Times New Roman" w:hAnsi="Times New Roman"/>
          <w:i/>
          <w:iCs/>
          <w:noProof/>
          <w:sz w:val="24"/>
          <w:szCs w:val="24"/>
          <w:u w:val="single"/>
        </w:rPr>
        <w:t>Developments in the Public Order and SOC landscape</w:t>
      </w:r>
    </w:p>
    <w:p w14:paraId="39409618" w14:textId="77777777" w:rsidR="001246D3" w:rsidRPr="00A62BB9" w:rsidRDefault="001246D3" w:rsidP="001246D3">
      <w:pPr>
        <w:pStyle w:val="Body"/>
        <w:jc w:val="both"/>
        <w:rPr>
          <w:rFonts w:ascii="Times New Roman" w:hAnsi="Times New Roman"/>
          <w:i/>
          <w:iCs/>
          <w:noProof/>
          <w:sz w:val="24"/>
          <w:szCs w:val="24"/>
        </w:rPr>
      </w:pPr>
      <w:r w:rsidRPr="00A62BB9">
        <w:rPr>
          <w:rFonts w:ascii="Times New Roman" w:hAnsi="Times New Roman"/>
          <w:noProof/>
          <w:sz w:val="24"/>
          <w:szCs w:val="24"/>
        </w:rPr>
        <w:t xml:space="preserve">Overall, the interviewees agreed that </w:t>
      </w:r>
      <w:r w:rsidRPr="00A62BB9">
        <w:rPr>
          <w:rFonts w:ascii="Times New Roman" w:hAnsi="Times New Roman"/>
          <w:b/>
          <w:bCs/>
          <w:noProof/>
          <w:sz w:val="24"/>
          <w:szCs w:val="24"/>
        </w:rPr>
        <w:t>major issues are related to collaboration to fight SOC</w:t>
      </w:r>
      <w:r w:rsidRPr="00A62BB9">
        <w:rPr>
          <w:rFonts w:ascii="Times New Roman" w:hAnsi="Times New Roman"/>
          <w:noProof/>
          <w:sz w:val="24"/>
          <w:szCs w:val="24"/>
        </w:rPr>
        <w:t>. In particular, the experts reported the presence of three main types of organised crime</w:t>
      </w:r>
      <w:r w:rsidRPr="00A62BB9">
        <w:rPr>
          <w:rFonts w:ascii="Times New Roman" w:hAnsi="Times New Roman"/>
          <w:i/>
          <w:iCs/>
          <w:noProof/>
          <w:sz w:val="24"/>
          <w:szCs w:val="24"/>
        </w:rPr>
        <w:t xml:space="preserve"> </w:t>
      </w:r>
      <w:r w:rsidRPr="00A62BB9">
        <w:rPr>
          <w:rFonts w:ascii="Times New Roman" w:hAnsi="Times New Roman"/>
          <w:noProof/>
          <w:sz w:val="24"/>
          <w:szCs w:val="24"/>
        </w:rPr>
        <w:t>groups:</w:t>
      </w:r>
    </w:p>
    <w:p w14:paraId="7DCAF87F" w14:textId="77777777" w:rsidR="001246D3" w:rsidRPr="00A62BB9" w:rsidRDefault="001246D3" w:rsidP="00900BC7">
      <w:pPr>
        <w:pStyle w:val="Bulletmain"/>
        <w:numPr>
          <w:ilvl w:val="0"/>
          <w:numId w:val="132"/>
        </w:numPr>
        <w:spacing w:before="40" w:after="40"/>
        <w:rPr>
          <w:rFonts w:ascii="Times New Roman" w:hAnsi="Times New Roman"/>
          <w:noProof/>
          <w:sz w:val="24"/>
          <w:szCs w:val="24"/>
        </w:rPr>
      </w:pPr>
      <w:r w:rsidRPr="00A62BB9">
        <w:rPr>
          <w:rFonts w:ascii="Times New Roman" w:hAnsi="Times New Roman"/>
          <w:i/>
          <w:iCs/>
          <w:noProof/>
          <w:sz w:val="24"/>
          <w:szCs w:val="24"/>
        </w:rPr>
        <w:t>Mafia-like groups</w:t>
      </w:r>
      <w:r w:rsidRPr="00A62BB9">
        <w:rPr>
          <w:rFonts w:ascii="Times New Roman" w:hAnsi="Times New Roman"/>
          <w:noProof/>
          <w:sz w:val="24"/>
          <w:szCs w:val="24"/>
        </w:rPr>
        <w:t>: A group that has a significant size and structure, which could be active in the economic sphere in infiltrations and in the illegal economy.</w:t>
      </w:r>
    </w:p>
    <w:p w14:paraId="6EAC21E9" w14:textId="77777777" w:rsidR="001246D3" w:rsidRPr="00A62BB9" w:rsidRDefault="001246D3" w:rsidP="00900BC7">
      <w:pPr>
        <w:pStyle w:val="Bulletmain"/>
        <w:numPr>
          <w:ilvl w:val="0"/>
          <w:numId w:val="132"/>
        </w:numPr>
        <w:spacing w:before="40" w:after="40"/>
        <w:rPr>
          <w:rFonts w:ascii="Times New Roman" w:hAnsi="Times New Roman"/>
          <w:noProof/>
          <w:sz w:val="24"/>
          <w:szCs w:val="24"/>
        </w:rPr>
      </w:pPr>
      <w:r w:rsidRPr="00A62BB9">
        <w:rPr>
          <w:rFonts w:ascii="Times New Roman" w:hAnsi="Times New Roman"/>
          <w:i/>
          <w:iCs/>
          <w:noProof/>
          <w:sz w:val="24"/>
          <w:szCs w:val="24"/>
        </w:rPr>
        <w:t>Local groups</w:t>
      </w:r>
      <w:r w:rsidRPr="00A62BB9">
        <w:rPr>
          <w:rFonts w:ascii="Times New Roman" w:hAnsi="Times New Roman"/>
          <w:noProof/>
          <w:sz w:val="24"/>
          <w:szCs w:val="24"/>
        </w:rPr>
        <w:t xml:space="preserve">: Small groups linked to the territory where many different groups operate, performing different activities and having a flexible organisational structure. </w:t>
      </w:r>
    </w:p>
    <w:p w14:paraId="5C9DD88F" w14:textId="77777777" w:rsidR="001246D3" w:rsidRPr="00A62BB9" w:rsidRDefault="001246D3" w:rsidP="00900BC7">
      <w:pPr>
        <w:pStyle w:val="Bulletmain"/>
        <w:numPr>
          <w:ilvl w:val="0"/>
          <w:numId w:val="132"/>
        </w:numPr>
        <w:spacing w:before="40" w:after="40"/>
        <w:rPr>
          <w:rFonts w:ascii="Times New Roman" w:hAnsi="Times New Roman"/>
          <w:noProof/>
          <w:sz w:val="24"/>
          <w:szCs w:val="24"/>
        </w:rPr>
      </w:pPr>
      <w:r w:rsidRPr="00A62BB9">
        <w:rPr>
          <w:rFonts w:ascii="Times New Roman" w:hAnsi="Times New Roman"/>
          <w:i/>
          <w:iCs/>
          <w:noProof/>
          <w:sz w:val="24"/>
          <w:szCs w:val="24"/>
        </w:rPr>
        <w:t>Emerging groups</w:t>
      </w:r>
      <w:r w:rsidRPr="00A62BB9">
        <w:rPr>
          <w:rFonts w:ascii="Times New Roman" w:hAnsi="Times New Roman"/>
          <w:noProof/>
          <w:sz w:val="24"/>
          <w:szCs w:val="24"/>
        </w:rPr>
        <w:t>: A mix of ethnic and local groups that has resulted from the migratory process that has affected Europe.</w:t>
      </w:r>
    </w:p>
    <w:p w14:paraId="2E89DBF6" w14:textId="77777777" w:rsidR="001246D3" w:rsidRPr="00A62BB9" w:rsidRDefault="001246D3" w:rsidP="001246D3">
      <w:pPr>
        <w:pStyle w:val="Body"/>
        <w:jc w:val="both"/>
        <w:rPr>
          <w:rFonts w:ascii="Times New Roman" w:hAnsi="Times New Roman"/>
          <w:noProof/>
          <w:sz w:val="24"/>
          <w:szCs w:val="24"/>
          <w:highlight w:val="yellow"/>
        </w:rPr>
      </w:pPr>
      <w:r w:rsidRPr="00A62BB9">
        <w:rPr>
          <w:rFonts w:ascii="Times New Roman" w:hAnsi="Times New Roman"/>
          <w:noProof/>
          <w:sz w:val="24"/>
          <w:szCs w:val="24"/>
        </w:rPr>
        <w:t>With reference to these groups, the consulted experts reported that in Europe expect that while there will be fewer mafia-like groups, emerging ethnic groups will be increasingly important in the future.</w:t>
      </w:r>
    </w:p>
    <w:p w14:paraId="79C8496D" w14:textId="77777777" w:rsidR="001246D3" w:rsidRPr="00A62BB9" w:rsidRDefault="001246D3" w:rsidP="001246D3">
      <w:pPr>
        <w:pStyle w:val="Body"/>
        <w:keepNext/>
        <w:jc w:val="both"/>
        <w:rPr>
          <w:rFonts w:ascii="Times New Roman" w:hAnsi="Times New Roman"/>
          <w:i/>
          <w:iCs/>
          <w:noProof/>
          <w:sz w:val="24"/>
          <w:szCs w:val="24"/>
          <w:u w:val="single"/>
        </w:rPr>
      </w:pPr>
      <w:r w:rsidRPr="00A62BB9">
        <w:rPr>
          <w:rFonts w:ascii="Times New Roman" w:hAnsi="Times New Roman"/>
          <w:i/>
          <w:iCs/>
          <w:noProof/>
          <w:sz w:val="24"/>
          <w:szCs w:val="24"/>
          <w:u w:val="single"/>
        </w:rPr>
        <w:t>Law enforcement cooperation</w:t>
      </w:r>
    </w:p>
    <w:p w14:paraId="13B5CB5E"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The academic experts reported that, overall, the actual practice of law enforcement cooperation has not significantly changed in the last ten years and is still strongly based on </w:t>
      </w:r>
      <w:r w:rsidRPr="00A62BB9">
        <w:rPr>
          <w:rFonts w:ascii="Times New Roman" w:hAnsi="Times New Roman"/>
          <w:b/>
          <w:bCs/>
          <w:noProof/>
          <w:sz w:val="24"/>
          <w:szCs w:val="24"/>
        </w:rPr>
        <w:t xml:space="preserve">direct contacts and trust </w:t>
      </w:r>
      <w:r w:rsidRPr="00A62BB9">
        <w:rPr>
          <w:rFonts w:ascii="Times New Roman" w:hAnsi="Times New Roman"/>
          <w:noProof/>
          <w:sz w:val="24"/>
          <w:szCs w:val="24"/>
        </w:rPr>
        <w:t>between law enforcement officials, rather than on formal cooperation schemes.</w:t>
      </w:r>
    </w:p>
    <w:p w14:paraId="404796DC" w14:textId="77777777" w:rsidR="001246D3" w:rsidRPr="00A62BB9" w:rsidRDefault="001246D3" w:rsidP="001246D3">
      <w:pPr>
        <w:pStyle w:val="Body"/>
        <w:keepNext/>
        <w:jc w:val="both"/>
        <w:rPr>
          <w:rFonts w:ascii="Times New Roman" w:hAnsi="Times New Roman"/>
          <w:i/>
          <w:noProof/>
          <w:sz w:val="24"/>
          <w:szCs w:val="24"/>
          <w:u w:val="single"/>
        </w:rPr>
      </w:pPr>
      <w:r w:rsidRPr="00A62BB9">
        <w:rPr>
          <w:rFonts w:ascii="Times New Roman" w:hAnsi="Times New Roman"/>
          <w:i/>
          <w:iCs/>
          <w:noProof/>
          <w:sz w:val="24"/>
          <w:szCs w:val="24"/>
          <w:u w:val="single"/>
        </w:rPr>
        <w:t>Information sharing</w:t>
      </w:r>
    </w:p>
    <w:p w14:paraId="15735B3A"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Academics reported that one of the main emerging issues is the </w:t>
      </w:r>
      <w:r w:rsidRPr="00A62BB9">
        <w:rPr>
          <w:rFonts w:ascii="Times New Roman" w:hAnsi="Times New Roman"/>
          <w:b/>
          <w:bCs/>
          <w:noProof/>
          <w:sz w:val="24"/>
          <w:szCs w:val="24"/>
        </w:rPr>
        <w:t>high volume of data</w:t>
      </w:r>
      <w:r w:rsidRPr="00A62BB9">
        <w:rPr>
          <w:rFonts w:ascii="Times New Roman" w:hAnsi="Times New Roman"/>
          <w:noProof/>
          <w:sz w:val="24"/>
          <w:szCs w:val="24"/>
        </w:rPr>
        <w:t xml:space="preserve"> (Big Data) to be analysed, since the analyses is challenging in cases of vast amounts of information, including the amount of additional human resources that are currently required.</w:t>
      </w:r>
    </w:p>
    <w:p w14:paraId="057F89BB"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With reference to the exchange of information, experts were critical towards the current </w:t>
      </w:r>
      <w:r w:rsidRPr="00A62BB9">
        <w:rPr>
          <w:rFonts w:ascii="Times New Roman" w:hAnsi="Times New Roman"/>
          <w:b/>
          <w:bCs/>
          <w:noProof/>
          <w:sz w:val="24"/>
          <w:szCs w:val="24"/>
        </w:rPr>
        <w:t>availability of external analyses concerning information exchange</w:t>
      </w:r>
      <w:r w:rsidRPr="00A62BB9">
        <w:rPr>
          <w:rFonts w:ascii="Times New Roman" w:hAnsi="Times New Roman"/>
          <w:noProof/>
          <w:sz w:val="24"/>
          <w:szCs w:val="24"/>
        </w:rPr>
        <w:t>. For instance, key EU bodies were stated to give no access to independent researchers, which hampers transparency and objective analysis.</w:t>
      </w:r>
    </w:p>
    <w:p w14:paraId="08D36D41" w14:textId="77777777" w:rsidR="001246D3" w:rsidRPr="00A62BB9" w:rsidRDefault="001246D3" w:rsidP="001246D3">
      <w:pPr>
        <w:pStyle w:val="Body"/>
        <w:keepNext/>
        <w:jc w:val="both"/>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Policy objectives</w:t>
      </w:r>
    </w:p>
    <w:p w14:paraId="3213116F"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Academic experts highlighted that when designing policies, it is important to take into account different and sometimes conflicting types of rationales. The main types which are usually considered are: Economic rationality; political rationality; legal rationality and practical rationality. Therefore, it is fundamental to achieve a proper balance between the different rationalities and consider the relevance of all of them. However, according to the academics consulted, EU policies usually stem from political rationality and this in many cases contrasts with practical and professional rationality.</w:t>
      </w:r>
    </w:p>
    <w:p w14:paraId="2090995B"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Over the last ten years, there have been some important developments, but the steps forward have not translated into operational practices that are easy to implement. Indeed, there are regulatory asymmetries between Member States that need to be reduced. Such asymmetries between Member States are exploited by criminals. </w:t>
      </w:r>
    </w:p>
    <w:p w14:paraId="6657FD37" w14:textId="77777777" w:rsidR="001246D3" w:rsidRPr="00A62BB9" w:rsidRDefault="001246D3" w:rsidP="001246D3">
      <w:pPr>
        <w:rPr>
          <w:rFonts w:ascii="Times New Roman" w:hAnsi="Times New Roman" w:cs="Times New Roman"/>
          <w:b/>
          <w:noProof/>
          <w:sz w:val="24"/>
          <w:szCs w:val="24"/>
        </w:rPr>
      </w:pPr>
      <w:r w:rsidRPr="00A62BB9">
        <w:rPr>
          <w:rFonts w:ascii="Times New Roman" w:hAnsi="Times New Roman" w:cs="Times New Roman"/>
          <w:b/>
          <w:noProof/>
          <w:sz w:val="24"/>
          <w:szCs w:val="24"/>
        </w:rPr>
        <w:t>Focus groups</w:t>
      </w:r>
    </w:p>
    <w:p w14:paraId="589A19EB" w14:textId="77777777" w:rsidR="001246D3" w:rsidRPr="00A62BB9" w:rsidRDefault="001246D3" w:rsidP="001246D3">
      <w:pPr>
        <w:pStyle w:val="Body"/>
        <w:jc w:val="both"/>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 xml:space="preserve">Objectives and overview of the focus groups </w:t>
      </w:r>
    </w:p>
    <w:p w14:paraId="2AE13EA3"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Four focus groups were carried out to inform the Study to support the preparation of an impact assessment on the EU policy initiatives facilitating cross-border law enforcement cooperation. </w:t>
      </w:r>
    </w:p>
    <w:p w14:paraId="1E2CCD22"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To inform the study and to make recommendations for possible additional measures in the area of intra-EU law enforcement cooperation and to propose, assess and compare policy options for possible future action, the Study Team conducted interviews, analysed existing bi-, tri-, and multilateral agreements on law enforcement cooperation between EU Member States and carried out three hours long focus groups on four agreements. </w:t>
      </w:r>
    </w:p>
    <w:p w14:paraId="37C643A1"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This synopsis report provides an overview of the focus groups conducted, which included: </w:t>
      </w:r>
    </w:p>
    <w:p w14:paraId="4C1D4CC2" w14:textId="77777777" w:rsidR="001246D3" w:rsidRPr="00A62BB9" w:rsidRDefault="001246D3" w:rsidP="00900BC7">
      <w:pPr>
        <w:pStyle w:val="Bulletmain"/>
        <w:numPr>
          <w:ilvl w:val="0"/>
          <w:numId w:val="137"/>
        </w:numPr>
        <w:spacing w:before="40" w:after="40"/>
        <w:rPr>
          <w:rFonts w:ascii="Times New Roman" w:hAnsi="Times New Roman"/>
          <w:noProof/>
          <w:sz w:val="24"/>
          <w:szCs w:val="24"/>
        </w:rPr>
      </w:pPr>
      <w:r w:rsidRPr="00A62BB9">
        <w:rPr>
          <w:rFonts w:ascii="Times New Roman" w:hAnsi="Times New Roman"/>
          <w:noProof/>
          <w:sz w:val="24"/>
          <w:szCs w:val="24"/>
        </w:rPr>
        <w:t xml:space="preserve">The bilateral agreement between Switzerland and France; </w:t>
      </w:r>
    </w:p>
    <w:p w14:paraId="1B167D14" w14:textId="77777777" w:rsidR="001246D3" w:rsidRPr="00A62BB9" w:rsidRDefault="001246D3" w:rsidP="00900BC7">
      <w:pPr>
        <w:pStyle w:val="Bulletmain"/>
        <w:numPr>
          <w:ilvl w:val="0"/>
          <w:numId w:val="137"/>
        </w:numPr>
        <w:spacing w:before="40" w:after="40"/>
        <w:rPr>
          <w:rFonts w:ascii="Times New Roman" w:hAnsi="Times New Roman"/>
          <w:noProof/>
          <w:sz w:val="24"/>
          <w:szCs w:val="24"/>
        </w:rPr>
      </w:pPr>
      <w:r w:rsidRPr="00A62BB9">
        <w:rPr>
          <w:rFonts w:ascii="Times New Roman" w:hAnsi="Times New Roman"/>
          <w:noProof/>
          <w:sz w:val="24"/>
          <w:szCs w:val="24"/>
        </w:rPr>
        <w:t>The bilateral agreement between Germany and the Czech Republic;</w:t>
      </w:r>
    </w:p>
    <w:p w14:paraId="48C9307F" w14:textId="77777777" w:rsidR="001246D3" w:rsidRPr="00A62BB9" w:rsidRDefault="001246D3" w:rsidP="00900BC7">
      <w:pPr>
        <w:pStyle w:val="Bulletmain"/>
        <w:numPr>
          <w:ilvl w:val="0"/>
          <w:numId w:val="137"/>
        </w:numPr>
        <w:spacing w:before="40" w:after="40"/>
        <w:rPr>
          <w:rFonts w:ascii="Times New Roman" w:hAnsi="Times New Roman"/>
          <w:noProof/>
          <w:sz w:val="24"/>
          <w:szCs w:val="24"/>
        </w:rPr>
      </w:pPr>
      <w:r w:rsidRPr="00A62BB9">
        <w:rPr>
          <w:rFonts w:ascii="Times New Roman" w:hAnsi="Times New Roman"/>
          <w:noProof/>
          <w:sz w:val="24"/>
          <w:szCs w:val="24"/>
        </w:rPr>
        <w:t>The trilateral agreement between Belgium, Luxembourg and the Netherlands (</w:t>
      </w:r>
      <w:r w:rsidRPr="00A62BB9">
        <w:rPr>
          <w:rFonts w:ascii="Times New Roman" w:hAnsi="Times New Roman"/>
          <w:i/>
          <w:iCs/>
          <w:noProof/>
          <w:sz w:val="24"/>
          <w:szCs w:val="24"/>
        </w:rPr>
        <w:t>BENELUX agreement</w:t>
      </w:r>
      <w:r w:rsidRPr="00A62BB9">
        <w:rPr>
          <w:rFonts w:ascii="Times New Roman" w:hAnsi="Times New Roman"/>
          <w:noProof/>
          <w:sz w:val="24"/>
          <w:szCs w:val="24"/>
        </w:rPr>
        <w:t>); and</w:t>
      </w:r>
    </w:p>
    <w:p w14:paraId="695655DF" w14:textId="77777777" w:rsidR="001246D3" w:rsidRPr="00A62BB9" w:rsidRDefault="001246D3" w:rsidP="00900BC7">
      <w:pPr>
        <w:pStyle w:val="Bulletmain"/>
        <w:numPr>
          <w:ilvl w:val="0"/>
          <w:numId w:val="137"/>
        </w:numPr>
        <w:spacing w:before="40" w:after="40"/>
        <w:rPr>
          <w:rFonts w:ascii="Times New Roman" w:hAnsi="Times New Roman"/>
          <w:noProof/>
          <w:sz w:val="24"/>
          <w:szCs w:val="24"/>
        </w:rPr>
      </w:pPr>
      <w:r w:rsidRPr="00A62BB9">
        <w:rPr>
          <w:rFonts w:ascii="Times New Roman" w:hAnsi="Times New Roman"/>
          <w:noProof/>
          <w:sz w:val="24"/>
          <w:szCs w:val="24"/>
        </w:rPr>
        <w:t>The multilateral agreement between Norway, Sweden, Denmark, Finland, and Iceland (</w:t>
      </w:r>
      <w:r w:rsidRPr="00A62BB9">
        <w:rPr>
          <w:rFonts w:ascii="Times New Roman" w:hAnsi="Times New Roman"/>
          <w:i/>
          <w:iCs/>
          <w:noProof/>
          <w:sz w:val="24"/>
          <w:szCs w:val="24"/>
        </w:rPr>
        <w:t>Nordic agreement</w:t>
      </w:r>
      <w:r w:rsidRPr="00A62BB9">
        <w:rPr>
          <w:rFonts w:ascii="Times New Roman" w:hAnsi="Times New Roman"/>
          <w:noProof/>
          <w:sz w:val="24"/>
          <w:szCs w:val="24"/>
        </w:rPr>
        <w:t>).</w:t>
      </w:r>
    </w:p>
    <w:p w14:paraId="30292EC5" w14:textId="77777777" w:rsidR="001246D3" w:rsidRPr="00A62BB9" w:rsidRDefault="001246D3" w:rsidP="005B3636">
      <w:pPr>
        <w:pStyle w:val="Body"/>
        <w:spacing w:before="240"/>
        <w:jc w:val="both"/>
        <w:rPr>
          <w:rFonts w:ascii="Times New Roman" w:hAnsi="Times New Roman"/>
          <w:noProof/>
          <w:sz w:val="24"/>
          <w:szCs w:val="24"/>
        </w:rPr>
      </w:pPr>
      <w:r w:rsidRPr="00A62BB9">
        <w:rPr>
          <w:rFonts w:ascii="Times New Roman" w:hAnsi="Times New Roman"/>
          <w:noProof/>
          <w:sz w:val="24"/>
          <w:szCs w:val="24"/>
        </w:rPr>
        <w:t>These four agreements were selected in consultation with DG HOME. They were chosen due to the strong history on law enforcement cooperation between the countries involved, which was expected to yield examples of good practices and remaining challenges in the area of law enforcement cooperation. The focus groups were conducted in the second half of March 2021.</w:t>
      </w:r>
    </w:p>
    <w:p w14:paraId="36F3FE7A"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In total 48 stakeholders participated in the focus groups. The stakeholders were selected for their experience working under the respective bi-/tri-/multilateral agreement. This included stakeholders with either strategic or operational level experience and stakeholders from either police, customs, or, other specialist departments. </w:t>
      </w:r>
    </w:p>
    <w:p w14:paraId="49767007" w14:textId="77777777" w:rsidR="001246D3" w:rsidRPr="0005064F" w:rsidRDefault="001246D3" w:rsidP="001246D3">
      <w:pPr>
        <w:pStyle w:val="Caption"/>
        <w:keepNext/>
        <w:jc w:val="center"/>
        <w:rPr>
          <w:noProof/>
          <w:lang w:val="en-GB"/>
        </w:rPr>
      </w:pPr>
      <w:r w:rsidRPr="00A62BB9">
        <w:rPr>
          <w:rFonts w:ascii="Times New Roman" w:hAnsi="Times New Roman"/>
          <w:noProof/>
          <w:sz w:val="24"/>
          <w:szCs w:val="24"/>
          <w:lang w:val="en-GB"/>
        </w:rPr>
        <w:t>Number of participants per focus group</w:t>
      </w:r>
    </w:p>
    <w:tbl>
      <w:tblPr>
        <w:tblStyle w:val="TableGrid"/>
        <w:tblW w:w="5000" w:type="pct"/>
        <w:tblLook w:val="04A0" w:firstRow="1" w:lastRow="0" w:firstColumn="1" w:lastColumn="0" w:noHBand="0" w:noVBand="1"/>
      </w:tblPr>
      <w:tblGrid>
        <w:gridCol w:w="6699"/>
        <w:gridCol w:w="3155"/>
      </w:tblGrid>
      <w:tr w:rsidR="001246D3" w:rsidRPr="00DC0202" w14:paraId="66F531B0" w14:textId="77777777" w:rsidTr="00386871">
        <w:trPr>
          <w:trHeight w:val="423"/>
          <w:tblHeader/>
        </w:trPr>
        <w:tc>
          <w:tcPr>
            <w:tcW w:w="3399" w:type="pct"/>
            <w:shd w:val="clear" w:color="auto" w:fill="00B0F0"/>
          </w:tcPr>
          <w:p w14:paraId="5FB490FC" w14:textId="77777777" w:rsidR="001246D3" w:rsidRPr="00DC0202" w:rsidRDefault="001246D3" w:rsidP="00386871">
            <w:pPr>
              <w:pStyle w:val="Body"/>
              <w:spacing w:after="0"/>
              <w:jc w:val="center"/>
              <w:rPr>
                <w:noProof/>
                <w:sz w:val="18"/>
                <w:szCs w:val="18"/>
              </w:rPr>
            </w:pPr>
            <w:r w:rsidRPr="00DC0202">
              <w:rPr>
                <w:noProof/>
                <w:sz w:val="18"/>
                <w:szCs w:val="18"/>
              </w:rPr>
              <w:t>Agreements</w:t>
            </w:r>
          </w:p>
        </w:tc>
        <w:tc>
          <w:tcPr>
            <w:tcW w:w="1601" w:type="pct"/>
            <w:shd w:val="clear" w:color="auto" w:fill="00B0F0"/>
          </w:tcPr>
          <w:p w14:paraId="2D2B0896" w14:textId="77777777" w:rsidR="001246D3" w:rsidRPr="00DC0202" w:rsidRDefault="001246D3" w:rsidP="00386871">
            <w:pPr>
              <w:pStyle w:val="Body"/>
              <w:spacing w:after="0"/>
              <w:jc w:val="center"/>
              <w:rPr>
                <w:noProof/>
                <w:sz w:val="18"/>
                <w:szCs w:val="18"/>
              </w:rPr>
            </w:pPr>
            <w:r w:rsidRPr="00DC0202">
              <w:rPr>
                <w:noProof/>
                <w:sz w:val="18"/>
                <w:szCs w:val="18"/>
              </w:rPr>
              <w:t>Number of participants</w:t>
            </w:r>
          </w:p>
        </w:tc>
      </w:tr>
      <w:tr w:rsidR="001246D3" w:rsidRPr="00DC0202" w14:paraId="51D45477" w14:textId="77777777" w:rsidTr="00386871">
        <w:trPr>
          <w:trHeight w:val="372"/>
        </w:trPr>
        <w:tc>
          <w:tcPr>
            <w:tcW w:w="3399" w:type="pct"/>
          </w:tcPr>
          <w:p w14:paraId="67802CEA" w14:textId="77777777" w:rsidR="001246D3" w:rsidRPr="00DC0202" w:rsidRDefault="001246D3" w:rsidP="00386871">
            <w:pPr>
              <w:pStyle w:val="Body"/>
              <w:spacing w:after="0"/>
              <w:rPr>
                <w:noProof/>
                <w:sz w:val="18"/>
                <w:szCs w:val="18"/>
              </w:rPr>
            </w:pPr>
            <w:r w:rsidRPr="00DC0202">
              <w:rPr>
                <w:noProof/>
                <w:sz w:val="18"/>
                <w:szCs w:val="18"/>
              </w:rPr>
              <w:t>Benelux Agreement (BE, NL, LU)</w:t>
            </w:r>
          </w:p>
        </w:tc>
        <w:tc>
          <w:tcPr>
            <w:tcW w:w="1601" w:type="pct"/>
          </w:tcPr>
          <w:p w14:paraId="3B47F023" w14:textId="77777777" w:rsidR="001246D3" w:rsidRPr="00DC0202" w:rsidRDefault="001246D3" w:rsidP="00386871">
            <w:pPr>
              <w:pStyle w:val="Body"/>
              <w:spacing w:after="0"/>
              <w:jc w:val="center"/>
              <w:rPr>
                <w:noProof/>
                <w:sz w:val="18"/>
                <w:szCs w:val="18"/>
              </w:rPr>
            </w:pPr>
            <w:r w:rsidRPr="00DC0202">
              <w:rPr>
                <w:noProof/>
                <w:sz w:val="18"/>
                <w:szCs w:val="18"/>
              </w:rPr>
              <w:t>9</w:t>
            </w:r>
          </w:p>
        </w:tc>
      </w:tr>
      <w:tr w:rsidR="001246D3" w:rsidRPr="00DC0202" w14:paraId="4971669D" w14:textId="77777777" w:rsidTr="00386871">
        <w:trPr>
          <w:trHeight w:val="378"/>
        </w:trPr>
        <w:tc>
          <w:tcPr>
            <w:tcW w:w="3399" w:type="pct"/>
          </w:tcPr>
          <w:p w14:paraId="59B94CB2" w14:textId="77777777" w:rsidR="001246D3" w:rsidRPr="00DC0202" w:rsidRDefault="001246D3" w:rsidP="00386871">
            <w:pPr>
              <w:pStyle w:val="Body"/>
              <w:spacing w:after="0"/>
              <w:rPr>
                <w:noProof/>
                <w:sz w:val="18"/>
                <w:szCs w:val="18"/>
              </w:rPr>
            </w:pPr>
            <w:r w:rsidRPr="00DC0202">
              <w:rPr>
                <w:noProof/>
                <w:sz w:val="18"/>
                <w:szCs w:val="18"/>
              </w:rPr>
              <w:t>DE – CZ agreement</w:t>
            </w:r>
          </w:p>
        </w:tc>
        <w:tc>
          <w:tcPr>
            <w:tcW w:w="1601" w:type="pct"/>
          </w:tcPr>
          <w:p w14:paraId="34C01EFC" w14:textId="77777777" w:rsidR="001246D3" w:rsidRPr="00DC0202" w:rsidRDefault="001246D3" w:rsidP="00386871">
            <w:pPr>
              <w:pStyle w:val="Body"/>
              <w:spacing w:after="0"/>
              <w:jc w:val="center"/>
              <w:rPr>
                <w:noProof/>
                <w:sz w:val="18"/>
                <w:szCs w:val="18"/>
              </w:rPr>
            </w:pPr>
            <w:r w:rsidRPr="00DC0202">
              <w:rPr>
                <w:noProof/>
                <w:sz w:val="18"/>
                <w:szCs w:val="18"/>
              </w:rPr>
              <w:t>12</w:t>
            </w:r>
          </w:p>
        </w:tc>
      </w:tr>
      <w:tr w:rsidR="001246D3" w:rsidRPr="00DC0202" w14:paraId="702AD6AB" w14:textId="77777777" w:rsidTr="00386871">
        <w:trPr>
          <w:trHeight w:val="366"/>
        </w:trPr>
        <w:tc>
          <w:tcPr>
            <w:tcW w:w="3399" w:type="pct"/>
          </w:tcPr>
          <w:p w14:paraId="1E7A704D" w14:textId="77777777" w:rsidR="001246D3" w:rsidRPr="00DC0202" w:rsidRDefault="001246D3" w:rsidP="00386871">
            <w:pPr>
              <w:pStyle w:val="Body"/>
              <w:spacing w:after="0"/>
              <w:rPr>
                <w:noProof/>
                <w:sz w:val="18"/>
                <w:szCs w:val="18"/>
              </w:rPr>
            </w:pPr>
            <w:r w:rsidRPr="00DC0202">
              <w:rPr>
                <w:noProof/>
                <w:sz w:val="18"/>
                <w:szCs w:val="18"/>
              </w:rPr>
              <w:t>CH – FR agreement</w:t>
            </w:r>
          </w:p>
        </w:tc>
        <w:tc>
          <w:tcPr>
            <w:tcW w:w="1601" w:type="pct"/>
          </w:tcPr>
          <w:p w14:paraId="5A32F697" w14:textId="77777777" w:rsidR="001246D3" w:rsidRPr="00DC0202" w:rsidRDefault="001246D3" w:rsidP="00386871">
            <w:pPr>
              <w:pStyle w:val="Body"/>
              <w:spacing w:after="0"/>
              <w:jc w:val="center"/>
              <w:rPr>
                <w:noProof/>
                <w:sz w:val="18"/>
                <w:szCs w:val="18"/>
              </w:rPr>
            </w:pPr>
            <w:r w:rsidRPr="00DC0202">
              <w:rPr>
                <w:noProof/>
                <w:sz w:val="18"/>
                <w:szCs w:val="18"/>
              </w:rPr>
              <w:t>10</w:t>
            </w:r>
          </w:p>
        </w:tc>
      </w:tr>
      <w:tr w:rsidR="001246D3" w:rsidRPr="00DC0202" w14:paraId="19FAF17A" w14:textId="77777777" w:rsidTr="00386871">
        <w:trPr>
          <w:trHeight w:val="315"/>
        </w:trPr>
        <w:tc>
          <w:tcPr>
            <w:tcW w:w="3399" w:type="pct"/>
          </w:tcPr>
          <w:p w14:paraId="367A59D4" w14:textId="77777777" w:rsidR="001246D3" w:rsidRPr="00DC0202" w:rsidRDefault="001246D3" w:rsidP="00386871">
            <w:pPr>
              <w:pStyle w:val="Body"/>
              <w:spacing w:after="0"/>
              <w:rPr>
                <w:noProof/>
                <w:sz w:val="18"/>
                <w:szCs w:val="18"/>
              </w:rPr>
            </w:pPr>
            <w:r w:rsidRPr="00DC0202">
              <w:rPr>
                <w:noProof/>
                <w:sz w:val="18"/>
                <w:szCs w:val="18"/>
              </w:rPr>
              <w:t>Nordic countries agreement (DK, FI, IS, NO, SE)</w:t>
            </w:r>
          </w:p>
        </w:tc>
        <w:tc>
          <w:tcPr>
            <w:tcW w:w="1601" w:type="pct"/>
          </w:tcPr>
          <w:p w14:paraId="0ED4EFA9" w14:textId="77777777" w:rsidR="001246D3" w:rsidRPr="00DC0202" w:rsidRDefault="001246D3" w:rsidP="00386871">
            <w:pPr>
              <w:pStyle w:val="Body"/>
              <w:spacing w:after="0"/>
              <w:jc w:val="center"/>
              <w:rPr>
                <w:noProof/>
                <w:sz w:val="18"/>
                <w:szCs w:val="18"/>
              </w:rPr>
            </w:pPr>
            <w:r w:rsidRPr="00DC0202">
              <w:rPr>
                <w:noProof/>
                <w:sz w:val="18"/>
                <w:szCs w:val="18"/>
              </w:rPr>
              <w:t>17</w:t>
            </w:r>
          </w:p>
        </w:tc>
      </w:tr>
    </w:tbl>
    <w:p w14:paraId="4B0E88F2" w14:textId="7F13E91D" w:rsidR="001246D3" w:rsidRPr="006D4CE5" w:rsidRDefault="001246D3" w:rsidP="001246D3">
      <w:pPr>
        <w:spacing w:after="160" w:line="259" w:lineRule="auto"/>
        <w:jc w:val="center"/>
        <w:rPr>
          <w:rFonts w:ascii="Verdana" w:hAnsi="Verdana" w:cstheme="minorHAnsi"/>
          <w:i/>
          <w:iCs/>
          <w:noProof/>
          <w:color w:val="7F7F7F" w:themeColor="text1" w:themeTint="80"/>
          <w:sz w:val="18"/>
          <w:szCs w:val="18"/>
        </w:rPr>
      </w:pPr>
      <w:r w:rsidRPr="006D4CE5">
        <w:rPr>
          <w:rFonts w:ascii="Verdana" w:hAnsi="Verdana" w:cstheme="minorHAnsi"/>
          <w:i/>
          <w:iCs/>
          <w:noProof/>
          <w:color w:val="7F7F7F" w:themeColor="text1" w:themeTint="80"/>
          <w:sz w:val="18"/>
          <w:szCs w:val="18"/>
        </w:rPr>
        <w:t xml:space="preserve">Source: </w:t>
      </w:r>
      <w:r w:rsidR="000F0DE5" w:rsidRPr="00CB565C">
        <w:rPr>
          <w:rFonts w:ascii="Verdana" w:hAnsi="Verdana"/>
          <w:i/>
          <w:noProof/>
          <w:color w:val="7F7F7F" w:themeColor="text1" w:themeTint="80"/>
          <w:sz w:val="18"/>
          <w:szCs w:val="18"/>
        </w:rPr>
        <w:t>EY/RAND Europe Study’s</w:t>
      </w:r>
      <w:r w:rsidR="000F0DE5" w:rsidRPr="00CB565C">
        <w:rPr>
          <w:rFonts w:ascii="Verdana" w:hAnsi="Verdana"/>
          <w:i/>
          <w:noProof/>
          <w:color w:val="7F7F7F" w:themeColor="text1" w:themeTint="80"/>
          <w:szCs w:val="16"/>
        </w:rPr>
        <w:t xml:space="preserve"> </w:t>
      </w:r>
      <w:r w:rsidR="000F0DE5" w:rsidRPr="00CB565C">
        <w:rPr>
          <w:rFonts w:ascii="Verdana" w:hAnsi="Verdana"/>
          <w:i/>
          <w:noProof/>
          <w:color w:val="7F7F7F" w:themeColor="text1" w:themeTint="80"/>
          <w:sz w:val="18"/>
          <w:szCs w:val="16"/>
        </w:rPr>
        <w:t>elaboration</w:t>
      </w:r>
      <w:r w:rsidR="000F0DE5" w:rsidRPr="00CB565C">
        <w:rPr>
          <w:i/>
          <w:noProof/>
          <w:color w:val="7F7F7F" w:themeColor="text1" w:themeTint="80"/>
          <w:sz w:val="18"/>
          <w:szCs w:val="16"/>
        </w:rPr>
        <w:t xml:space="preserve"> </w:t>
      </w:r>
      <w:r w:rsidRPr="006D4CE5">
        <w:rPr>
          <w:rFonts w:ascii="Verdana" w:hAnsi="Verdana" w:cstheme="minorHAnsi"/>
          <w:i/>
          <w:iCs/>
          <w:noProof/>
          <w:color w:val="7F7F7F" w:themeColor="text1" w:themeTint="80"/>
          <w:sz w:val="18"/>
          <w:szCs w:val="18"/>
        </w:rPr>
        <w:t>, based on</w:t>
      </w:r>
      <w:r>
        <w:rPr>
          <w:rFonts w:ascii="Verdana" w:hAnsi="Verdana" w:cstheme="minorHAnsi"/>
          <w:i/>
          <w:iCs/>
          <w:noProof/>
          <w:color w:val="7F7F7F" w:themeColor="text1" w:themeTint="80"/>
          <w:sz w:val="18"/>
          <w:szCs w:val="18"/>
        </w:rPr>
        <w:t xml:space="preserve"> interviews of focus groups</w:t>
      </w:r>
    </w:p>
    <w:p w14:paraId="07A88B87" w14:textId="77777777" w:rsidR="001246D3" w:rsidRPr="00A62BB9" w:rsidRDefault="001246D3" w:rsidP="001246D3">
      <w:pPr>
        <w:pStyle w:val="Body"/>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 xml:space="preserve">Results of the focus groups </w:t>
      </w:r>
    </w:p>
    <w:p w14:paraId="67FD64D3" w14:textId="77777777" w:rsidR="001246D3" w:rsidRPr="00A62BB9" w:rsidRDefault="001246D3" w:rsidP="001246D3">
      <w:pPr>
        <w:pStyle w:val="Body"/>
        <w:rPr>
          <w:rFonts w:ascii="Times New Roman" w:hAnsi="Times New Roman"/>
          <w:i/>
          <w:iCs/>
          <w:noProof/>
          <w:sz w:val="24"/>
          <w:szCs w:val="24"/>
          <w:u w:val="single"/>
        </w:rPr>
      </w:pPr>
      <w:r w:rsidRPr="00A62BB9">
        <w:rPr>
          <w:rFonts w:ascii="Times New Roman" w:hAnsi="Times New Roman"/>
          <w:i/>
          <w:iCs/>
          <w:noProof/>
          <w:sz w:val="24"/>
          <w:szCs w:val="24"/>
          <w:u w:val="single"/>
        </w:rPr>
        <w:t>Benelux Agreement</w:t>
      </w:r>
    </w:p>
    <w:p w14:paraId="7F11E7FD"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The focus group on the </w:t>
      </w:r>
      <w:r w:rsidRPr="00A62BB9">
        <w:rPr>
          <w:rFonts w:ascii="Times New Roman" w:hAnsi="Times New Roman"/>
          <w:i/>
          <w:iCs/>
          <w:noProof/>
          <w:sz w:val="24"/>
          <w:szCs w:val="24"/>
        </w:rPr>
        <w:t>Treaty between the Kingdom of the Netherlands, Kingdom of Belgium and the Grand Duchy of Luxembourg on police cooperation</w:t>
      </w:r>
      <w:r w:rsidRPr="00A62BB9">
        <w:rPr>
          <w:rFonts w:ascii="Times New Roman" w:hAnsi="Times New Roman"/>
          <w:noProof/>
          <w:sz w:val="24"/>
          <w:szCs w:val="24"/>
        </w:rPr>
        <w:t xml:space="preserve"> was conducted on 19 March 2021.</w:t>
      </w:r>
      <w:r w:rsidRPr="00A62BB9">
        <w:rPr>
          <w:rStyle w:val="FootnoteReference"/>
          <w:rFonts w:ascii="Times New Roman" w:hAnsi="Times New Roman"/>
          <w:noProof/>
          <w:sz w:val="24"/>
          <w:szCs w:val="24"/>
        </w:rPr>
        <w:footnoteReference w:id="140"/>
      </w:r>
      <w:r w:rsidRPr="00A62BB9">
        <w:rPr>
          <w:rFonts w:ascii="Times New Roman" w:hAnsi="Times New Roman"/>
          <w:noProof/>
          <w:sz w:val="24"/>
          <w:szCs w:val="24"/>
        </w:rPr>
        <w:t xml:space="preserve"> A total of nine stakeholders participated: five representatives from the Netherlands, two from Luxemburg and two from Belgium.</w:t>
      </w:r>
    </w:p>
    <w:p w14:paraId="5DBAEFC0"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The purpose of the Treaty is to intensify political cooperation in the territories of the Contracting Parties in terms of prevention, investigation, and detection of criminal offenses as well as the maintenance of public order and safety. As the Treaty is currently in the process of being ratified by the three Member States, the focus group also looked at differences between the currently applicable version of the Benelux Treaty adopted on 8 June 2004, and the new one of 23 July 2018. Discussions and responses from stakeholders during the focus group indicate that overall, the treaty aligns with the wider EU framework for cooperation and exchange, and it is effective in supporting daily police cooperation. It enables law enforcement activities to be conducted without being hindered by borders. Examples include having central contact points and providing joint training for specialised interventions to police units. Moreover, two improvements under the new Benelux treaty include the fact that across border observation can start in the other country territory and that in the case of hot pursuit, authorities will have complete and unlimited access to proceed in other countries of the agreement. </w:t>
      </w:r>
    </w:p>
    <w:p w14:paraId="678C846B" w14:textId="77777777" w:rsidR="001246D3" w:rsidRPr="00A62BB9" w:rsidRDefault="001246D3" w:rsidP="001246D3">
      <w:pPr>
        <w:pStyle w:val="Body"/>
        <w:keepNext/>
        <w:rPr>
          <w:rFonts w:ascii="Times New Roman" w:hAnsi="Times New Roman"/>
          <w:i/>
          <w:iCs/>
          <w:noProof/>
          <w:sz w:val="24"/>
          <w:szCs w:val="24"/>
          <w:u w:val="single"/>
        </w:rPr>
      </w:pPr>
      <w:r w:rsidRPr="00A62BB9">
        <w:rPr>
          <w:rFonts w:ascii="Times New Roman" w:hAnsi="Times New Roman"/>
          <w:i/>
          <w:iCs/>
          <w:noProof/>
          <w:sz w:val="24"/>
          <w:szCs w:val="24"/>
          <w:u w:val="single"/>
        </w:rPr>
        <w:t>CZ – DE Agreement</w:t>
      </w:r>
    </w:p>
    <w:p w14:paraId="14C0FDC0"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The focus group on </w:t>
      </w:r>
      <w:r w:rsidRPr="00A62BB9">
        <w:rPr>
          <w:rFonts w:ascii="Times New Roman" w:hAnsi="Times New Roman"/>
          <w:i/>
          <w:iCs/>
          <w:noProof/>
          <w:sz w:val="24"/>
          <w:szCs w:val="24"/>
        </w:rPr>
        <w:t>the Treaty between the Czech Republic and the Federal Republic of Germany on Police Cooperation</w:t>
      </w:r>
      <w:r w:rsidRPr="00A62BB9">
        <w:rPr>
          <w:rFonts w:ascii="Times New Roman" w:hAnsi="Times New Roman"/>
          <w:noProof/>
          <w:sz w:val="24"/>
          <w:szCs w:val="24"/>
        </w:rPr>
        <w:t xml:space="preserve"> was held on 17 March 2021.</w:t>
      </w:r>
      <w:r w:rsidRPr="00A62BB9">
        <w:rPr>
          <w:rStyle w:val="FootnoteReference"/>
          <w:rFonts w:ascii="Times New Roman" w:hAnsi="Times New Roman"/>
          <w:noProof/>
          <w:sz w:val="24"/>
          <w:szCs w:val="24"/>
        </w:rPr>
        <w:footnoteReference w:id="141"/>
      </w:r>
      <w:r w:rsidRPr="00A62BB9">
        <w:rPr>
          <w:rFonts w:ascii="Times New Roman" w:hAnsi="Times New Roman"/>
          <w:noProof/>
          <w:sz w:val="24"/>
          <w:szCs w:val="24"/>
        </w:rPr>
        <w:t xml:space="preserve"> A total of 12 stakeholders took part: three representatives from the Czech Republic and nine from Germany.</w:t>
      </w:r>
    </w:p>
    <w:p w14:paraId="2CD900CF"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The agreement aims to generally strengthen the cooperation between the two countries and to prevent and investigate criminal activities. This includes cases that are classed as a crime by one party and as an administrative offence by the other party. </w:t>
      </w:r>
    </w:p>
    <w:p w14:paraId="1C00D6CC"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During the discussion, the participants highlighted the need, importance, and effectiveness of this bilateral agreement. They explained that cooperation between the two countries is important because of crimes occurring regularly in the border region. Overall, the participants considered the cooperation between the two countries to be speedy, efficient, and overall uncomplicated. For instance, the agreement allows to exchange information directly with customs investigation officials and mobile units. This is useful especially during drug investigation cases or in the fight against smuggling. Moreover, customs and police from both countries have the possibility to join common training, which are often both theorical and practical. </w:t>
      </w:r>
    </w:p>
    <w:p w14:paraId="673D2287" w14:textId="77777777" w:rsidR="001246D3" w:rsidRPr="00A62BB9" w:rsidRDefault="001246D3" w:rsidP="001246D3">
      <w:pPr>
        <w:spacing w:before="40" w:after="40"/>
        <w:contextualSpacing/>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 xml:space="preserve">The discussion also indicated that a more centralised system and an increased involvement of the judicial authorities would be useful to further improve the cooperation and avoid possible duplications in the exchange of information. </w:t>
      </w:r>
    </w:p>
    <w:p w14:paraId="2F628DC1" w14:textId="77777777" w:rsidR="001246D3" w:rsidRPr="00A62BB9" w:rsidRDefault="001246D3" w:rsidP="001246D3">
      <w:pPr>
        <w:pStyle w:val="Body"/>
        <w:jc w:val="both"/>
        <w:rPr>
          <w:rFonts w:ascii="Times New Roman" w:hAnsi="Times New Roman"/>
          <w:i/>
          <w:iCs/>
          <w:noProof/>
          <w:sz w:val="24"/>
          <w:szCs w:val="24"/>
          <w:u w:val="single"/>
        </w:rPr>
      </w:pPr>
      <w:r w:rsidRPr="00A62BB9">
        <w:rPr>
          <w:rFonts w:ascii="Times New Roman" w:hAnsi="Times New Roman"/>
          <w:i/>
          <w:iCs/>
          <w:noProof/>
          <w:sz w:val="24"/>
          <w:szCs w:val="24"/>
          <w:u w:val="single"/>
        </w:rPr>
        <w:t>CH – FR Agreement</w:t>
      </w:r>
    </w:p>
    <w:p w14:paraId="72E4F07D"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The focus group on the A</w:t>
      </w:r>
      <w:r w:rsidRPr="00A62BB9">
        <w:rPr>
          <w:rFonts w:ascii="Times New Roman" w:hAnsi="Times New Roman"/>
          <w:i/>
          <w:iCs/>
          <w:noProof/>
          <w:sz w:val="24"/>
          <w:szCs w:val="24"/>
        </w:rPr>
        <w:t>greement between the Swiss Federal Council and the government of the Republic of France on Cross-border Cooperation in judicial, police and custom matters</w:t>
      </w:r>
      <w:r w:rsidRPr="00A62BB9">
        <w:rPr>
          <w:rFonts w:ascii="Times New Roman" w:hAnsi="Times New Roman"/>
          <w:noProof/>
          <w:sz w:val="24"/>
          <w:szCs w:val="24"/>
        </w:rPr>
        <w:t xml:space="preserve"> was conducted on 15 March 2021.</w:t>
      </w:r>
      <w:r w:rsidRPr="00A62BB9">
        <w:rPr>
          <w:rStyle w:val="FootnoteReference"/>
          <w:rFonts w:ascii="Times New Roman" w:hAnsi="Times New Roman"/>
          <w:noProof/>
          <w:sz w:val="24"/>
          <w:szCs w:val="24"/>
        </w:rPr>
        <w:footnoteReference w:id="142"/>
      </w:r>
      <w:r w:rsidRPr="00A62BB9">
        <w:rPr>
          <w:rFonts w:ascii="Times New Roman" w:hAnsi="Times New Roman"/>
          <w:noProof/>
          <w:sz w:val="24"/>
          <w:szCs w:val="24"/>
        </w:rPr>
        <w:t xml:space="preserve"> A total of ten stakeholders joined the discussion: five from Switzerland and five from France. </w:t>
      </w:r>
    </w:p>
    <w:p w14:paraId="74D109A0"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The objective of the agreement is to prevent and investigate crimes and offences, as well as to ensure public order and safety. It came into force at a time in which Switzerland was yet part of the Schengen agreement, which means that the country actively pursued bilateral treaties with neighbouring countries. The idea of the agreement was to be </w:t>
      </w:r>
      <w:r w:rsidRPr="00A62BB9">
        <w:rPr>
          <w:rFonts w:ascii="Times New Roman" w:hAnsi="Times New Roman"/>
          <w:i/>
          <w:iCs/>
          <w:noProof/>
          <w:sz w:val="24"/>
          <w:szCs w:val="24"/>
        </w:rPr>
        <w:t>en pair</w:t>
      </w:r>
      <w:r w:rsidRPr="00A62BB9">
        <w:rPr>
          <w:rFonts w:ascii="Times New Roman" w:hAnsi="Times New Roman"/>
          <w:noProof/>
          <w:sz w:val="24"/>
          <w:szCs w:val="24"/>
        </w:rPr>
        <w:t xml:space="preserve"> with the EU standards and to further address the needs of the police on the field. They rely on efficient communication and a common language to ensure effective cooperation. For instance, they make use of liaison officials, of various platforms that connect different agencies, and of more informal communication activities. Moreover, due to the area hosting many international organisations, the agreement also allows a smooth cooperation during demonstrations (e.g. demonstrations: against the Turkish government; for Armenian rights; for taxi drivers; for women rights), and the possibility to share information concerning risks and threats to the public order. </w:t>
      </w:r>
    </w:p>
    <w:p w14:paraId="126B3F1B"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However, some existing processes make it difficult for officials to obtain information and intelligence quickly. Also, the lack of a common legal procedural code is limiting. Large differences in the two countries’ legal structure can sometimes hinder effective cooperation. </w:t>
      </w:r>
    </w:p>
    <w:p w14:paraId="3760AB94" w14:textId="77777777" w:rsidR="001246D3" w:rsidRPr="00A62BB9" w:rsidRDefault="001246D3" w:rsidP="001246D3">
      <w:pPr>
        <w:pStyle w:val="Body"/>
        <w:keepNext/>
        <w:jc w:val="both"/>
        <w:rPr>
          <w:rFonts w:ascii="Times New Roman" w:hAnsi="Times New Roman"/>
          <w:i/>
          <w:iCs/>
          <w:noProof/>
          <w:sz w:val="24"/>
          <w:szCs w:val="24"/>
          <w:u w:val="single"/>
        </w:rPr>
      </w:pPr>
      <w:r w:rsidRPr="00A62BB9">
        <w:rPr>
          <w:rFonts w:ascii="Times New Roman" w:hAnsi="Times New Roman"/>
          <w:i/>
          <w:iCs/>
          <w:noProof/>
          <w:sz w:val="24"/>
          <w:szCs w:val="24"/>
          <w:u w:val="single"/>
        </w:rPr>
        <w:t>Nordic countries Agreement</w:t>
      </w:r>
    </w:p>
    <w:p w14:paraId="12A30C28" w14:textId="77777777" w:rsidR="001246D3" w:rsidRPr="00A62BB9" w:rsidRDefault="001246D3" w:rsidP="001246D3">
      <w:pPr>
        <w:pStyle w:val="Body"/>
        <w:keepNext/>
        <w:jc w:val="both"/>
        <w:rPr>
          <w:rFonts w:ascii="Times New Roman" w:hAnsi="Times New Roman"/>
          <w:noProof/>
          <w:sz w:val="24"/>
          <w:szCs w:val="24"/>
        </w:rPr>
      </w:pPr>
      <w:r w:rsidRPr="00A62BB9">
        <w:rPr>
          <w:rFonts w:ascii="Times New Roman" w:hAnsi="Times New Roman"/>
          <w:noProof/>
          <w:sz w:val="24"/>
          <w:szCs w:val="24"/>
        </w:rPr>
        <w:t xml:space="preserve">The focus group on the </w:t>
      </w:r>
      <w:r w:rsidRPr="00A62BB9">
        <w:rPr>
          <w:rFonts w:ascii="Times New Roman" w:hAnsi="Times New Roman"/>
          <w:i/>
          <w:iCs/>
          <w:noProof/>
          <w:sz w:val="24"/>
          <w:szCs w:val="24"/>
        </w:rPr>
        <w:t>Nordic Administrative Agreement on Cooperation between Police Authorities in the Nordic countries</w:t>
      </w:r>
      <w:r w:rsidRPr="00A62BB9">
        <w:rPr>
          <w:rFonts w:ascii="Times New Roman" w:hAnsi="Times New Roman"/>
          <w:noProof/>
          <w:sz w:val="24"/>
          <w:szCs w:val="24"/>
        </w:rPr>
        <w:t xml:space="preserve"> </w:t>
      </w:r>
      <w:r w:rsidRPr="00A62BB9">
        <w:rPr>
          <w:rFonts w:ascii="Times New Roman" w:hAnsi="Times New Roman"/>
          <w:i/>
          <w:iCs/>
          <w:noProof/>
          <w:sz w:val="24"/>
          <w:szCs w:val="24"/>
        </w:rPr>
        <w:t xml:space="preserve">(NO-SE-DK-IS-FI) </w:t>
      </w:r>
      <w:r w:rsidRPr="00A62BB9">
        <w:rPr>
          <w:rFonts w:ascii="Times New Roman" w:hAnsi="Times New Roman"/>
          <w:noProof/>
          <w:sz w:val="24"/>
          <w:szCs w:val="24"/>
        </w:rPr>
        <w:t>was conducted on 22 March 2021.</w:t>
      </w:r>
      <w:r w:rsidRPr="00A62BB9">
        <w:rPr>
          <w:rStyle w:val="FootnoteReference"/>
          <w:rFonts w:ascii="Times New Roman" w:hAnsi="Times New Roman"/>
          <w:noProof/>
          <w:sz w:val="24"/>
          <w:szCs w:val="24"/>
        </w:rPr>
        <w:footnoteReference w:id="143"/>
      </w:r>
      <w:r w:rsidRPr="00A62BB9">
        <w:rPr>
          <w:rFonts w:ascii="Times New Roman" w:hAnsi="Times New Roman"/>
          <w:noProof/>
          <w:sz w:val="24"/>
          <w:szCs w:val="24"/>
        </w:rPr>
        <w:t xml:space="preserve"> A total of 17 stakeholders participated: two representatives from Norway, six from Sweden, three from Denmark, three from Finland and three from Iceland. The participants decided to start the focus group by delivering a brief presentation about the agreement. As part of this presentation, the stakeholders mentioned the strategic objectives for the Nordic police cooperation (2019-2022) which include effective law enforcement, progressive and future-proof policing, a strong regional voice on the international Arena and good conditions for police work, in the Nordic region.</w:t>
      </w:r>
    </w:p>
    <w:p w14:paraId="30FB482C"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The agreement, which is currently being evaluated, aims to prevent, detect, and investigate criminal offences in order to ensure public order and internal security. The discussion with the stakeholders indicated that this agreement constitutes a </w:t>
      </w:r>
      <w:r w:rsidRPr="00A62BB9">
        <w:rPr>
          <w:rFonts w:ascii="Times New Roman" w:hAnsi="Times New Roman"/>
          <w:i/>
          <w:iCs/>
          <w:noProof/>
          <w:sz w:val="24"/>
          <w:szCs w:val="24"/>
        </w:rPr>
        <w:t xml:space="preserve">memorandum of understanding, </w:t>
      </w:r>
      <w:r w:rsidRPr="00A62BB9">
        <w:rPr>
          <w:rFonts w:ascii="Times New Roman" w:hAnsi="Times New Roman"/>
          <w:noProof/>
          <w:sz w:val="24"/>
          <w:szCs w:val="24"/>
        </w:rPr>
        <w:t>setting out</w:t>
      </w:r>
      <w:r w:rsidRPr="00A62BB9">
        <w:rPr>
          <w:rFonts w:ascii="Times New Roman" w:hAnsi="Times New Roman"/>
          <w:i/>
          <w:iCs/>
          <w:noProof/>
          <w:sz w:val="24"/>
          <w:szCs w:val="24"/>
        </w:rPr>
        <w:t xml:space="preserve"> </w:t>
      </w:r>
      <w:r w:rsidRPr="00A62BB9">
        <w:rPr>
          <w:rFonts w:ascii="Times New Roman" w:hAnsi="Times New Roman"/>
          <w:noProof/>
          <w:sz w:val="24"/>
          <w:szCs w:val="24"/>
        </w:rPr>
        <w:t>the parameters of the cooperation between the Nordic countries. Stakeholders believe that the cooperation is effective because it is mainly informal and based on trust. Cooperation takes place on a daily basis and is continuous between the Nordic countries. They have liaisons officials now covering 32 countries, which facilitates communication and the fight against crime. All countries that are party to the Nordic agreement have access to the different liaison officials (e.g. Norway has access to Danish liaison officials). They also have constant operative operations, e.g. on the bridge between Sweden and Denmark.</w:t>
      </w:r>
    </w:p>
    <w:p w14:paraId="330C7D0D" w14:textId="77777777" w:rsidR="001246D3" w:rsidRPr="00A62BB9" w:rsidRDefault="001246D3" w:rsidP="001246D3">
      <w:pPr>
        <w:pStyle w:val="Body"/>
        <w:jc w:val="both"/>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 xml:space="preserve">Good practices </w:t>
      </w:r>
    </w:p>
    <w:p w14:paraId="012636FD" w14:textId="77777777" w:rsidR="001246D3" w:rsidRPr="00A62BB9" w:rsidRDefault="001246D3" w:rsidP="00704502">
      <w:pPr>
        <w:spacing w:line="240" w:lineRule="auto"/>
        <w:jc w:val="both"/>
        <w:rPr>
          <w:rFonts w:ascii="Times New Roman" w:hAnsi="Times New Roman" w:cs="Times New Roman"/>
          <w:noProof/>
          <w:sz w:val="24"/>
          <w:szCs w:val="24"/>
          <w:lang w:val="en-GB"/>
        </w:rPr>
      </w:pPr>
      <w:r w:rsidRPr="00A62BB9">
        <w:rPr>
          <w:rFonts w:ascii="Times New Roman" w:hAnsi="Times New Roman" w:cs="Times New Roman"/>
          <w:noProof/>
          <w:sz w:val="24"/>
          <w:szCs w:val="24"/>
          <w:lang w:val="en-GB"/>
        </w:rPr>
        <w:t>The focus group activity also informed the identification of good practices and remaining challenges. Several focus group participants expressed that bi-/tri-/multilateral agreements are useful, as they can provide additional provisions that may be not covered in other existing frameworks,</w:t>
      </w:r>
      <w:r w:rsidRPr="00A62BB9">
        <w:rPr>
          <w:rFonts w:ascii="Times New Roman" w:hAnsi="Times New Roman" w:cs="Times New Roman"/>
          <w:noProof/>
          <w:sz w:val="24"/>
          <w:szCs w:val="24"/>
          <w:vertAlign w:val="superscript"/>
          <w:lang w:val="en-GB"/>
        </w:rPr>
        <w:t xml:space="preserve"> </w:t>
      </w:r>
      <w:r w:rsidRPr="00A62BB9">
        <w:rPr>
          <w:rFonts w:ascii="Times New Roman" w:hAnsi="Times New Roman" w:cs="Times New Roman"/>
          <w:noProof/>
          <w:sz w:val="24"/>
          <w:szCs w:val="24"/>
          <w:lang w:val="en-GB"/>
        </w:rPr>
        <w:t>such as the Schengen Agreement</w:t>
      </w:r>
      <w:r w:rsidRPr="00A62BB9">
        <w:rPr>
          <w:rStyle w:val="FootnoteReference"/>
          <w:rFonts w:ascii="Times New Roman" w:hAnsi="Times New Roman" w:cs="Times New Roman"/>
          <w:noProof/>
          <w:sz w:val="24"/>
          <w:szCs w:val="24"/>
        </w:rPr>
        <w:footnoteReference w:id="144"/>
      </w:r>
      <w:r w:rsidRPr="00A62BB9">
        <w:rPr>
          <w:rFonts w:ascii="Times New Roman" w:hAnsi="Times New Roman" w:cs="Times New Roman"/>
          <w:noProof/>
          <w:sz w:val="24"/>
          <w:szCs w:val="24"/>
          <w:lang w:val="en-GB"/>
        </w:rPr>
        <w:t xml:space="preserve"> and the Prüm Convention.</w:t>
      </w:r>
      <w:r w:rsidRPr="00A62BB9">
        <w:rPr>
          <w:rStyle w:val="FootnoteReference"/>
          <w:rFonts w:ascii="Times New Roman" w:hAnsi="Times New Roman" w:cs="Times New Roman"/>
          <w:noProof/>
          <w:sz w:val="24"/>
          <w:szCs w:val="24"/>
        </w:rPr>
        <w:footnoteReference w:id="145"/>
      </w:r>
    </w:p>
    <w:p w14:paraId="5A1EC6C4" w14:textId="77777777" w:rsidR="001246D3" w:rsidRPr="00A62BB9" w:rsidRDefault="001246D3" w:rsidP="00F2536C">
      <w:pPr>
        <w:pStyle w:val="Body"/>
        <w:jc w:val="both"/>
        <w:rPr>
          <w:rFonts w:ascii="Times New Roman" w:hAnsi="Times New Roman"/>
          <w:noProof/>
          <w:sz w:val="24"/>
          <w:szCs w:val="24"/>
        </w:rPr>
      </w:pPr>
      <w:r w:rsidRPr="00A62BB9">
        <w:rPr>
          <w:rFonts w:ascii="Times New Roman" w:hAnsi="Times New Roman"/>
          <w:noProof/>
          <w:sz w:val="24"/>
          <w:szCs w:val="24"/>
        </w:rPr>
        <w:t>The discussions of the participants during the focus groups highlighted the following as good practices:</w:t>
      </w:r>
    </w:p>
    <w:p w14:paraId="69BC3174"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b/>
          <w:bCs/>
          <w:noProof/>
          <w:sz w:val="24"/>
          <w:szCs w:val="24"/>
        </w:rPr>
        <w:t>Common training</w:t>
      </w:r>
      <w:r w:rsidRPr="00A62BB9">
        <w:rPr>
          <w:rFonts w:ascii="Times New Roman" w:hAnsi="Times New Roman"/>
          <w:noProof/>
          <w:sz w:val="24"/>
          <w:szCs w:val="24"/>
        </w:rPr>
        <w:t>: Considered very useful to learn and practice new skills, establish trusting relationships and further foster the willingness to engage in cooperation. This also includes information sessions provided to local police forces with the aim to explain the links between the operational level and the bilateral agreement by showing the judicial viewpoint of the agreement as well as the practical implementation.</w:t>
      </w:r>
    </w:p>
    <w:p w14:paraId="73C230B0"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b/>
          <w:bCs/>
          <w:noProof/>
          <w:sz w:val="24"/>
          <w:szCs w:val="24"/>
        </w:rPr>
        <w:t>Regular meetings</w:t>
      </w:r>
      <w:r w:rsidRPr="00A62BB9">
        <w:rPr>
          <w:rFonts w:ascii="Times New Roman" w:hAnsi="Times New Roman"/>
          <w:noProof/>
          <w:sz w:val="24"/>
          <w:szCs w:val="24"/>
        </w:rPr>
        <w:t>: considered good opportunities to share experiences, discuss particular issues across countries, exchange information and explore strategies to prevent serious organised crime as well as an opportunity to further foster cooperation. During the COVID-19 pandemic these have been replaced by video conferences, and have also been used to discuss the latest infection rates and how each country was coping with the situation.</w:t>
      </w:r>
    </w:p>
    <w:p w14:paraId="7BD2D24F"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b/>
          <w:noProof/>
          <w:sz w:val="24"/>
          <w:szCs w:val="24"/>
        </w:rPr>
        <w:t>Direct communication</w:t>
      </w:r>
      <w:r w:rsidRPr="00A62BB9">
        <w:rPr>
          <w:rFonts w:ascii="Times New Roman" w:hAnsi="Times New Roman"/>
          <w:noProof/>
          <w:sz w:val="24"/>
          <w:szCs w:val="24"/>
        </w:rPr>
        <w:t xml:space="preserve">: The participants explained that quick communication is an essential facilitator of successful collaboration. Police forces need to communicate efficiently to be one step ahead of criminals. </w:t>
      </w:r>
    </w:p>
    <w:p w14:paraId="61DB22FF"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b/>
          <w:noProof/>
          <w:sz w:val="24"/>
          <w:szCs w:val="24"/>
        </w:rPr>
        <w:t>Liaison officials</w:t>
      </w:r>
      <w:r w:rsidRPr="00A62BB9">
        <w:rPr>
          <w:rFonts w:ascii="Times New Roman" w:hAnsi="Times New Roman"/>
          <w:noProof/>
          <w:sz w:val="24"/>
          <w:szCs w:val="24"/>
        </w:rPr>
        <w:t xml:space="preserve">: These are considered essential for an effective cooperation. However, the number of liaison officials differ between the countries. For instance, the Nordic countries have liaison officials (both customs and police forces) in about 32 countries, giving all countries that are a party to the Nordic agreement access to this kind of network, but it is not the case everywhere. </w:t>
      </w:r>
    </w:p>
    <w:p w14:paraId="2EDA8C0C"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b/>
          <w:bCs/>
          <w:noProof/>
          <w:sz w:val="24"/>
          <w:szCs w:val="24"/>
        </w:rPr>
        <w:t>Willingness</w:t>
      </w:r>
      <w:r w:rsidRPr="00A62BB9">
        <w:rPr>
          <w:rFonts w:ascii="Times New Roman" w:hAnsi="Times New Roman"/>
          <w:b/>
          <w:noProof/>
          <w:sz w:val="24"/>
          <w:szCs w:val="24"/>
        </w:rPr>
        <w:t xml:space="preserve"> to cooperate: </w:t>
      </w:r>
      <w:r w:rsidRPr="00A62BB9">
        <w:rPr>
          <w:rFonts w:ascii="Times New Roman" w:hAnsi="Times New Roman"/>
          <w:bCs/>
          <w:noProof/>
          <w:sz w:val="24"/>
          <w:szCs w:val="24"/>
        </w:rPr>
        <w:t>By all the participants this was considered a fundamental</w:t>
      </w:r>
      <w:r w:rsidRPr="00A62BB9">
        <w:rPr>
          <w:rFonts w:ascii="Times New Roman" w:hAnsi="Times New Roman"/>
          <w:b/>
          <w:noProof/>
          <w:sz w:val="24"/>
          <w:szCs w:val="24"/>
        </w:rPr>
        <w:t xml:space="preserve"> </w:t>
      </w:r>
      <w:r w:rsidRPr="00A62BB9">
        <w:rPr>
          <w:rFonts w:ascii="Times New Roman" w:hAnsi="Times New Roman"/>
          <w:noProof/>
          <w:sz w:val="24"/>
          <w:szCs w:val="24"/>
        </w:rPr>
        <w:t xml:space="preserve">ingredient of effective cross-border cooperation. </w:t>
      </w:r>
    </w:p>
    <w:p w14:paraId="113B620F" w14:textId="77777777" w:rsidR="001246D3" w:rsidRPr="00A62BB9" w:rsidRDefault="001246D3" w:rsidP="001246D3">
      <w:pPr>
        <w:pStyle w:val="Body"/>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 xml:space="preserve">Challenges </w:t>
      </w:r>
    </w:p>
    <w:p w14:paraId="2E2D87AE"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Although the focus group participants mentioned many advantages of the bi-/tri-/multilateral agreements in question, and shared various good practices, they also touched upon some remaining challenges. During the discussions they identified a few shortcomings of - and gaps in - the EU framework for intra-EU law enforcement cooperation and shed light on internal cooperation issues. The key points highlighted below:</w:t>
      </w:r>
    </w:p>
    <w:p w14:paraId="23BAFAD3"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b/>
          <w:bCs/>
          <w:noProof/>
          <w:sz w:val="24"/>
          <w:szCs w:val="24"/>
        </w:rPr>
        <w:t>Lack of harmonisation</w:t>
      </w:r>
      <w:r w:rsidRPr="00A62BB9">
        <w:rPr>
          <w:rFonts w:ascii="Times New Roman" w:hAnsi="Times New Roman"/>
          <w:noProof/>
          <w:sz w:val="24"/>
          <w:szCs w:val="24"/>
        </w:rPr>
        <w:t xml:space="preserve"> and persistent </w:t>
      </w:r>
      <w:r w:rsidRPr="00A62BB9">
        <w:rPr>
          <w:rFonts w:ascii="Times New Roman" w:hAnsi="Times New Roman"/>
          <w:b/>
          <w:bCs/>
          <w:noProof/>
          <w:sz w:val="24"/>
          <w:szCs w:val="24"/>
        </w:rPr>
        <w:t xml:space="preserve">structural differences </w:t>
      </w:r>
      <w:r w:rsidRPr="00A62BB9">
        <w:rPr>
          <w:rFonts w:ascii="Times New Roman" w:hAnsi="Times New Roman"/>
          <w:noProof/>
          <w:sz w:val="24"/>
          <w:szCs w:val="24"/>
        </w:rPr>
        <w:t xml:space="preserve">between countries were considered the biggest challenges for law enforcement cooperation. </w:t>
      </w:r>
    </w:p>
    <w:p w14:paraId="5735379C"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b/>
          <w:bCs/>
          <w:noProof/>
          <w:sz w:val="24"/>
          <w:szCs w:val="24"/>
        </w:rPr>
        <w:t>Operational perspective</w:t>
      </w:r>
      <w:r w:rsidRPr="00A62BB9">
        <w:rPr>
          <w:rFonts w:ascii="Times New Roman" w:hAnsi="Times New Roman"/>
          <w:noProof/>
          <w:sz w:val="24"/>
          <w:szCs w:val="24"/>
        </w:rPr>
        <w:t xml:space="preserve">: Another key deficiency identified is the limited </w:t>
      </w:r>
      <w:r w:rsidRPr="00A62BB9">
        <w:rPr>
          <w:rFonts w:ascii="Times New Roman" w:hAnsi="Times New Roman"/>
          <w:bCs/>
          <w:noProof/>
          <w:sz w:val="24"/>
          <w:szCs w:val="24"/>
        </w:rPr>
        <w:t xml:space="preserve">effectiveness of SPOCs, often </w:t>
      </w:r>
      <w:r w:rsidRPr="00A62BB9">
        <w:rPr>
          <w:rFonts w:ascii="Times New Roman" w:hAnsi="Times New Roman"/>
          <w:noProof/>
          <w:sz w:val="24"/>
          <w:szCs w:val="24"/>
        </w:rPr>
        <w:t xml:space="preserve">due to the limited resources allocated to them at the national level, both in terms of number and type of police forces available. </w:t>
      </w:r>
    </w:p>
    <w:p w14:paraId="2FA33609"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b/>
          <w:bCs/>
          <w:noProof/>
          <w:sz w:val="24"/>
          <w:szCs w:val="24"/>
        </w:rPr>
        <w:t>C</w:t>
      </w:r>
      <w:r w:rsidRPr="00A62BB9">
        <w:rPr>
          <w:rFonts w:ascii="Times New Roman" w:hAnsi="Times New Roman"/>
          <w:b/>
          <w:noProof/>
          <w:sz w:val="24"/>
          <w:szCs w:val="24"/>
        </w:rPr>
        <w:t>hallenges related to the exchange of information</w:t>
      </w:r>
      <w:r w:rsidRPr="00A62BB9">
        <w:rPr>
          <w:rFonts w:ascii="Times New Roman" w:hAnsi="Times New Roman"/>
          <w:noProof/>
          <w:sz w:val="24"/>
          <w:szCs w:val="24"/>
        </w:rPr>
        <w:t xml:space="preserve">: Difficulties to easily find out what type of information is available in other countries, and logistic, budget and personnel limitations hinder the ability to exchange information and follow up quickly. </w:t>
      </w:r>
    </w:p>
    <w:p w14:paraId="235CD35C" w14:textId="77777777" w:rsidR="001246D3" w:rsidRPr="00A62BB9" w:rsidRDefault="001246D3" w:rsidP="001246D3">
      <w:pPr>
        <w:pStyle w:val="Body"/>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 xml:space="preserve">In summary </w:t>
      </w:r>
    </w:p>
    <w:p w14:paraId="3B252CF7" w14:textId="77777777" w:rsidR="005B3636"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 xml:space="preserve">Overall, the focus group activity provided a wide range of views regarding cross-border law enforcement cooperation in terms of what is working well and what is working less well. The focus groups shed light on the cross-border law enforcement cooperation related measures and practices existing at the EU and national level, within the countries of the agreements selected. </w:t>
      </w:r>
    </w:p>
    <w:p w14:paraId="1760973C" w14:textId="77777777" w:rsidR="001246D3" w:rsidRPr="005B3636" w:rsidRDefault="001246D3" w:rsidP="001246D3">
      <w:pPr>
        <w:rPr>
          <w:rFonts w:ascii="Times New Roman" w:hAnsi="Times New Roman" w:cs="Times New Roman"/>
          <w:b/>
          <w:noProof/>
          <w:sz w:val="28"/>
          <w:szCs w:val="28"/>
        </w:rPr>
      </w:pPr>
      <w:r w:rsidRPr="005B3636">
        <w:rPr>
          <w:rFonts w:ascii="Times New Roman" w:hAnsi="Times New Roman" w:cs="Times New Roman"/>
          <w:b/>
          <w:noProof/>
          <w:sz w:val="28"/>
          <w:szCs w:val="28"/>
        </w:rPr>
        <w:t xml:space="preserve">Technical workshops </w:t>
      </w:r>
    </w:p>
    <w:p w14:paraId="6F9687A0" w14:textId="77777777" w:rsidR="001246D3" w:rsidRPr="00A62BB9" w:rsidRDefault="001246D3" w:rsidP="001246D3">
      <w:pPr>
        <w:rPr>
          <w:rFonts w:ascii="Times New Roman" w:hAnsi="Times New Roman" w:cs="Times New Roman"/>
          <w:b/>
          <w:noProof/>
          <w:sz w:val="24"/>
          <w:szCs w:val="24"/>
        </w:rPr>
      </w:pPr>
      <w:r w:rsidRPr="00A62BB9">
        <w:rPr>
          <w:rFonts w:ascii="Times New Roman" w:hAnsi="Times New Roman" w:cs="Times New Roman"/>
          <w:b/>
          <w:noProof/>
          <w:sz w:val="24"/>
          <w:szCs w:val="24"/>
        </w:rPr>
        <w:t>First technical workshop</w:t>
      </w:r>
    </w:p>
    <w:p w14:paraId="7CDDF31E" w14:textId="77777777" w:rsidR="001246D3" w:rsidRPr="00A62BB9" w:rsidRDefault="001246D3" w:rsidP="001246D3">
      <w:pPr>
        <w:pStyle w:val="Body"/>
        <w:jc w:val="both"/>
        <w:rPr>
          <w:rFonts w:ascii="Times New Roman" w:hAnsi="Times New Roman"/>
          <w:noProof/>
          <w:sz w:val="24"/>
          <w:szCs w:val="24"/>
          <w:lang w:val="en-US"/>
        </w:rPr>
      </w:pPr>
      <w:r w:rsidRPr="00A62BB9">
        <w:rPr>
          <w:rFonts w:ascii="Times New Roman" w:hAnsi="Times New Roman"/>
          <w:noProof/>
          <w:sz w:val="24"/>
          <w:szCs w:val="24"/>
          <w:lang w:val="en-US"/>
        </w:rPr>
        <w:t xml:space="preserve">The first technical workshop, which was held on 24 March 2021 and to which close to 200 participants registered, involved a presentation by the Study Team of preliminary findings concerning notably the problem assessment and interactive parallel workshops. </w:t>
      </w:r>
    </w:p>
    <w:p w14:paraId="69C4B89D" w14:textId="77777777" w:rsidR="001246D3" w:rsidRPr="00A62BB9" w:rsidRDefault="001246D3" w:rsidP="001246D3">
      <w:pPr>
        <w:pStyle w:val="Body"/>
        <w:jc w:val="both"/>
        <w:rPr>
          <w:rFonts w:ascii="Times New Roman" w:hAnsi="Times New Roman"/>
          <w:noProof/>
          <w:sz w:val="24"/>
          <w:szCs w:val="24"/>
          <w:lang w:val="en-US"/>
        </w:rPr>
      </w:pPr>
      <w:r w:rsidRPr="00A62BB9">
        <w:rPr>
          <w:rFonts w:ascii="Times New Roman" w:hAnsi="Times New Roman"/>
          <w:noProof/>
          <w:sz w:val="24"/>
          <w:szCs w:val="24"/>
          <w:lang w:val="en-US"/>
        </w:rPr>
        <w:t>The main findings from the discussions in the break-out sessions in the workshop were as follows:</w:t>
      </w:r>
    </w:p>
    <w:p w14:paraId="3AEB3C79" w14:textId="77777777" w:rsidR="001246D3" w:rsidRPr="00A62BB9" w:rsidRDefault="001246D3" w:rsidP="001246D3">
      <w:pPr>
        <w:pStyle w:val="Body"/>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 xml:space="preserve">What are the issues at stake? </w:t>
      </w:r>
    </w:p>
    <w:p w14:paraId="6D7BB4D6" w14:textId="77777777" w:rsidR="001246D3" w:rsidRPr="00A62BB9" w:rsidRDefault="001246D3" w:rsidP="001246D3">
      <w:pPr>
        <w:pStyle w:val="Body"/>
        <w:rPr>
          <w:rFonts w:ascii="Times New Roman" w:hAnsi="Times New Roman"/>
          <w:i/>
          <w:iCs/>
          <w:noProof/>
          <w:sz w:val="24"/>
          <w:szCs w:val="24"/>
          <w:lang w:val="en-US"/>
        </w:rPr>
      </w:pPr>
      <w:r w:rsidRPr="00A62BB9">
        <w:rPr>
          <w:rFonts w:ascii="Times New Roman" w:hAnsi="Times New Roman"/>
          <w:i/>
          <w:iCs/>
          <w:noProof/>
          <w:sz w:val="24"/>
          <w:szCs w:val="24"/>
          <w:lang w:val="en-US"/>
        </w:rPr>
        <w:t>Access to and exchange of information</w:t>
      </w:r>
    </w:p>
    <w:p w14:paraId="3DD56F80"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noProof/>
          <w:sz w:val="24"/>
          <w:szCs w:val="24"/>
        </w:rPr>
        <w:t>Key issues include limited awareness of and access to relevant EU and national databases as well as limited interoperability of national systems;</w:t>
      </w:r>
    </w:p>
    <w:p w14:paraId="402361C8"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noProof/>
          <w:sz w:val="24"/>
          <w:szCs w:val="24"/>
        </w:rPr>
        <w:t>Some issues specifically relate to the implementation of the SFD, notably the forms included as an annex to the SFD are too cumbersome and the definition of urgency/timeframe is not clear;</w:t>
      </w:r>
    </w:p>
    <w:p w14:paraId="286B1F28"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noProof/>
          <w:sz w:val="24"/>
          <w:szCs w:val="24"/>
        </w:rPr>
        <w:t>Police-to-police requests instead of other equally effective mechanisms (such as EUCARIS, ECRIS, VIS etc).</w:t>
      </w:r>
    </w:p>
    <w:p w14:paraId="309711C8" w14:textId="77777777" w:rsidR="001246D3" w:rsidRPr="00A62BB9" w:rsidRDefault="001246D3" w:rsidP="001246D3">
      <w:pPr>
        <w:pStyle w:val="Body"/>
        <w:jc w:val="both"/>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How are the current problems expected to develop in case no further EU action is taken?</w:t>
      </w:r>
    </w:p>
    <w:p w14:paraId="2E91EDBD" w14:textId="77777777" w:rsidR="001246D3" w:rsidRPr="00A62BB9" w:rsidRDefault="001246D3" w:rsidP="001246D3">
      <w:pPr>
        <w:pStyle w:val="Body"/>
        <w:jc w:val="both"/>
        <w:rPr>
          <w:rFonts w:ascii="Times New Roman" w:hAnsi="Times New Roman"/>
          <w:i/>
          <w:iCs/>
          <w:noProof/>
          <w:sz w:val="24"/>
          <w:szCs w:val="24"/>
          <w:lang w:val="en-US"/>
        </w:rPr>
      </w:pPr>
      <w:r w:rsidRPr="00A62BB9">
        <w:rPr>
          <w:rFonts w:ascii="Times New Roman" w:hAnsi="Times New Roman"/>
          <w:i/>
          <w:iCs/>
          <w:noProof/>
          <w:sz w:val="24"/>
          <w:szCs w:val="24"/>
          <w:lang w:val="en-US"/>
        </w:rPr>
        <w:t>Access to and exchange of information</w:t>
      </w:r>
    </w:p>
    <w:p w14:paraId="2F5A3B76"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noProof/>
          <w:sz w:val="24"/>
          <w:szCs w:val="24"/>
        </w:rPr>
        <w:t>Current problems will become more relevant in case no further EU action is taken;</w:t>
      </w:r>
    </w:p>
    <w:p w14:paraId="33A7E281"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noProof/>
          <w:sz w:val="24"/>
          <w:szCs w:val="24"/>
        </w:rPr>
        <w:t>The worsening of current problems is mainly attributed to new and evolving technological developments likely to affect the access to and exchange of information.</w:t>
      </w:r>
    </w:p>
    <w:p w14:paraId="4AA93106" w14:textId="77777777" w:rsidR="001246D3" w:rsidRPr="00A62BB9" w:rsidRDefault="001246D3" w:rsidP="001246D3">
      <w:pPr>
        <w:pStyle w:val="Body"/>
        <w:keepNext/>
        <w:jc w:val="both"/>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Is there a need for EU intervention to address current problems?</w:t>
      </w:r>
    </w:p>
    <w:p w14:paraId="57CA9BEE" w14:textId="77777777" w:rsidR="001246D3" w:rsidRPr="00A62BB9" w:rsidRDefault="001246D3" w:rsidP="001246D3">
      <w:pPr>
        <w:keepNext/>
        <w:jc w:val="both"/>
        <w:rPr>
          <w:rFonts w:ascii="Times New Roman" w:hAnsi="Times New Roman" w:cs="Times New Roman"/>
          <w:i/>
          <w:iCs/>
          <w:noProof/>
          <w:sz w:val="24"/>
          <w:szCs w:val="24"/>
        </w:rPr>
      </w:pPr>
      <w:r w:rsidRPr="00A62BB9">
        <w:rPr>
          <w:rFonts w:ascii="Times New Roman" w:hAnsi="Times New Roman" w:cs="Times New Roman"/>
          <w:i/>
          <w:iCs/>
          <w:noProof/>
          <w:sz w:val="24"/>
          <w:szCs w:val="24"/>
        </w:rPr>
        <w:t>Access to and exchange of information</w:t>
      </w:r>
    </w:p>
    <w:p w14:paraId="12CCD0C1"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noProof/>
          <w:sz w:val="24"/>
          <w:szCs w:val="24"/>
        </w:rPr>
        <w:t>Current problems need to be addressed at the EU level.</w:t>
      </w:r>
    </w:p>
    <w:p w14:paraId="5671470A" w14:textId="77777777" w:rsidR="001246D3" w:rsidRPr="00A62BB9" w:rsidRDefault="001246D3" w:rsidP="001246D3">
      <w:pPr>
        <w:pStyle w:val="Body"/>
        <w:jc w:val="both"/>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What types of policy measures could be considered to address the current problems?</w:t>
      </w:r>
    </w:p>
    <w:p w14:paraId="52BF3D0C" w14:textId="77777777" w:rsidR="001246D3" w:rsidRPr="00A62BB9" w:rsidRDefault="001246D3" w:rsidP="001246D3">
      <w:pPr>
        <w:keepNext/>
        <w:jc w:val="both"/>
        <w:rPr>
          <w:rFonts w:ascii="Times New Roman" w:hAnsi="Times New Roman" w:cs="Times New Roman"/>
          <w:i/>
          <w:iCs/>
          <w:noProof/>
          <w:sz w:val="24"/>
          <w:szCs w:val="24"/>
        </w:rPr>
      </w:pPr>
      <w:r w:rsidRPr="00A62BB9">
        <w:rPr>
          <w:rFonts w:ascii="Times New Roman" w:hAnsi="Times New Roman" w:cs="Times New Roman"/>
          <w:i/>
          <w:iCs/>
          <w:noProof/>
          <w:sz w:val="24"/>
          <w:szCs w:val="24"/>
        </w:rPr>
        <w:t>Access to and exchange of information</w:t>
      </w:r>
    </w:p>
    <w:p w14:paraId="0D95DD37" w14:textId="77777777" w:rsidR="001246D3" w:rsidRPr="00A62BB9" w:rsidRDefault="001246D3" w:rsidP="00900BC7">
      <w:pPr>
        <w:pStyle w:val="Body"/>
        <w:numPr>
          <w:ilvl w:val="0"/>
          <w:numId w:val="138"/>
        </w:numPr>
        <w:spacing w:before="120" w:after="120"/>
        <w:jc w:val="both"/>
        <w:rPr>
          <w:rFonts w:ascii="Times New Roman" w:hAnsi="Times New Roman"/>
          <w:noProof/>
          <w:sz w:val="24"/>
          <w:szCs w:val="24"/>
        </w:rPr>
      </w:pPr>
      <w:r w:rsidRPr="00A62BB9">
        <w:rPr>
          <w:rFonts w:ascii="Times New Roman" w:hAnsi="Times New Roman"/>
          <w:noProof/>
          <w:sz w:val="24"/>
          <w:szCs w:val="24"/>
        </w:rPr>
        <w:t>In order to improve access to and information exchange, EU intervention should ensure full interconnection and streamlining of available systems for the exchange of information, the overall consistency of the EU legal framework, and the full awareness and capacity of national law enforcement authorities. It should also ensure the integration of modern requirements into fundamental rights and data protection rules.</w:t>
      </w:r>
    </w:p>
    <w:p w14:paraId="49543104" w14:textId="77777777" w:rsidR="001246D3" w:rsidRPr="00A62BB9" w:rsidRDefault="001246D3" w:rsidP="00A615EE">
      <w:pPr>
        <w:spacing w:before="360"/>
        <w:rPr>
          <w:rFonts w:ascii="Times New Roman" w:hAnsi="Times New Roman" w:cs="Times New Roman"/>
          <w:b/>
          <w:noProof/>
          <w:sz w:val="24"/>
          <w:szCs w:val="24"/>
        </w:rPr>
      </w:pPr>
      <w:r w:rsidRPr="00A62BB9">
        <w:rPr>
          <w:rFonts w:ascii="Times New Roman" w:hAnsi="Times New Roman" w:cs="Times New Roman"/>
          <w:b/>
          <w:noProof/>
          <w:sz w:val="24"/>
          <w:szCs w:val="24"/>
        </w:rPr>
        <w:t>Second technical workshop</w:t>
      </w:r>
      <w:r w:rsidR="000E42F1" w:rsidRPr="00A62BB9">
        <w:rPr>
          <w:rFonts w:ascii="Times New Roman" w:hAnsi="Times New Roman" w:cs="Times New Roman"/>
          <w:b/>
          <w:noProof/>
          <w:sz w:val="24"/>
          <w:szCs w:val="24"/>
        </w:rPr>
        <w:t xml:space="preserve">, 25 May 2021 </w:t>
      </w:r>
    </w:p>
    <w:p w14:paraId="3DE93C79"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The second technical workshop aimed at collecting national stakeholder’s points of view on possible EU measures to address current problems affecting cross-border law enforcement cooperation in relation to the access to and exchange of information, operational cooperation for public order and safety and operational cooperation for SOC and terrorism, as well as the discussion of likely impacts of these potential EU measures. Similarly to the first technical workshop, close to 200 persons signed up for the workshop. The workshop took place on 25 May 2021.</w:t>
      </w:r>
    </w:p>
    <w:p w14:paraId="37C1B584" w14:textId="77777777" w:rsidR="001246D3" w:rsidRPr="00A62BB9" w:rsidRDefault="001246D3" w:rsidP="001246D3">
      <w:pPr>
        <w:pStyle w:val="Body"/>
        <w:jc w:val="both"/>
        <w:rPr>
          <w:rFonts w:ascii="Times New Roman" w:hAnsi="Times New Roman"/>
          <w:noProof/>
          <w:sz w:val="24"/>
          <w:szCs w:val="24"/>
        </w:rPr>
      </w:pPr>
      <w:r w:rsidRPr="00A62BB9">
        <w:rPr>
          <w:rFonts w:ascii="Times New Roman" w:hAnsi="Times New Roman"/>
          <w:noProof/>
          <w:sz w:val="24"/>
          <w:szCs w:val="24"/>
        </w:rPr>
        <w:t>The main findings from each of the three breakout sessions are as follows:</w:t>
      </w:r>
    </w:p>
    <w:p w14:paraId="1D5D4E57" w14:textId="77777777" w:rsidR="001246D3" w:rsidRPr="00A62BB9" w:rsidRDefault="001246D3" w:rsidP="001246D3">
      <w:pPr>
        <w:pStyle w:val="Body"/>
        <w:keepNext/>
        <w:jc w:val="both"/>
        <w:rPr>
          <w:rFonts w:ascii="Times New Roman" w:hAnsi="Times New Roman"/>
          <w:b/>
          <w:bCs/>
          <w:i/>
          <w:iCs/>
          <w:noProof/>
          <w:color w:val="44546A" w:themeColor="text2"/>
          <w:sz w:val="24"/>
          <w:szCs w:val="24"/>
        </w:rPr>
      </w:pPr>
      <w:r w:rsidRPr="00A62BB9">
        <w:rPr>
          <w:rFonts w:ascii="Times New Roman" w:hAnsi="Times New Roman"/>
          <w:b/>
          <w:bCs/>
          <w:i/>
          <w:iCs/>
          <w:noProof/>
          <w:color w:val="44546A" w:themeColor="text2"/>
          <w:sz w:val="24"/>
          <w:szCs w:val="24"/>
        </w:rPr>
        <w:t>Breakout session 1 - Access to and exchange of necessary information</w:t>
      </w:r>
    </w:p>
    <w:p w14:paraId="1F931ABA" w14:textId="77777777" w:rsidR="001246D3" w:rsidRPr="00A62BB9" w:rsidRDefault="001246D3" w:rsidP="00900BC7">
      <w:pPr>
        <w:pStyle w:val="Body"/>
        <w:keepNext/>
        <w:numPr>
          <w:ilvl w:val="0"/>
          <w:numId w:val="139"/>
        </w:numPr>
        <w:spacing w:before="40" w:after="40"/>
        <w:jc w:val="both"/>
        <w:rPr>
          <w:rFonts w:ascii="Times New Roman" w:hAnsi="Times New Roman"/>
          <w:noProof/>
          <w:sz w:val="24"/>
          <w:szCs w:val="24"/>
        </w:rPr>
      </w:pPr>
      <w:r w:rsidRPr="00A62BB9">
        <w:rPr>
          <w:rFonts w:ascii="Times New Roman" w:hAnsi="Times New Roman"/>
          <w:noProof/>
          <w:sz w:val="24"/>
          <w:szCs w:val="24"/>
        </w:rPr>
        <w:t>Set-up and competences of the SPOC and PCCCs</w:t>
      </w:r>
    </w:p>
    <w:p w14:paraId="6975111B" w14:textId="77777777" w:rsidR="001246D3" w:rsidRPr="00A62BB9" w:rsidRDefault="001246D3" w:rsidP="00900BC7">
      <w:pPr>
        <w:pStyle w:val="Body"/>
        <w:numPr>
          <w:ilvl w:val="1"/>
          <w:numId w:val="139"/>
        </w:numPr>
        <w:spacing w:before="40" w:after="40"/>
        <w:jc w:val="both"/>
        <w:rPr>
          <w:rFonts w:ascii="Times New Roman" w:hAnsi="Times New Roman"/>
          <w:noProof/>
          <w:sz w:val="24"/>
          <w:szCs w:val="24"/>
        </w:rPr>
      </w:pPr>
      <w:r w:rsidRPr="00A62BB9">
        <w:rPr>
          <w:rFonts w:ascii="Times New Roman" w:hAnsi="Times New Roman"/>
          <w:noProof/>
          <w:sz w:val="24"/>
          <w:szCs w:val="24"/>
          <w:u w:val="single"/>
        </w:rPr>
        <w:t>Strengths</w:t>
      </w:r>
      <w:r w:rsidRPr="00A62BB9">
        <w:rPr>
          <w:rFonts w:ascii="Times New Roman" w:hAnsi="Times New Roman"/>
          <w:noProof/>
          <w:sz w:val="24"/>
          <w:szCs w:val="24"/>
        </w:rPr>
        <w:t>: Time savings, more clarity of competences, responsibilities and rules, increased monitoring of possibilities for the SPOCs concerning the cases, the access to national and international databases and platforms, possibility to ask for judicial authority support at any moment, and common standards of CMS;</w:t>
      </w:r>
    </w:p>
    <w:p w14:paraId="4B1E3A36" w14:textId="77777777" w:rsidR="001246D3" w:rsidRPr="00A62BB9" w:rsidRDefault="001246D3" w:rsidP="00900BC7">
      <w:pPr>
        <w:pStyle w:val="Body"/>
        <w:numPr>
          <w:ilvl w:val="1"/>
          <w:numId w:val="139"/>
        </w:numPr>
        <w:spacing w:before="40" w:after="40"/>
        <w:jc w:val="both"/>
        <w:rPr>
          <w:rFonts w:ascii="Times New Roman" w:hAnsi="Times New Roman"/>
          <w:noProof/>
          <w:sz w:val="24"/>
          <w:szCs w:val="24"/>
        </w:rPr>
      </w:pPr>
      <w:r w:rsidRPr="00A62BB9">
        <w:rPr>
          <w:rFonts w:ascii="Times New Roman" w:hAnsi="Times New Roman"/>
          <w:noProof/>
          <w:sz w:val="24"/>
          <w:szCs w:val="24"/>
          <w:u w:val="single"/>
        </w:rPr>
        <w:t>Weaknesses</w:t>
      </w:r>
      <w:r w:rsidRPr="00A62BB9">
        <w:rPr>
          <w:rFonts w:ascii="Times New Roman" w:hAnsi="Times New Roman"/>
          <w:noProof/>
          <w:sz w:val="24"/>
          <w:szCs w:val="24"/>
        </w:rPr>
        <w:t>: The feasibility of some of the measures depending on the national-set up was questioned, and the structural differences of SPOCs, PCCCs and judicial authorities between Member States, and the actual availability of data highlighted as challenges.</w:t>
      </w:r>
    </w:p>
    <w:p w14:paraId="61ABF7B1" w14:textId="77777777" w:rsidR="001246D3" w:rsidRPr="00A62BB9" w:rsidRDefault="001246D3" w:rsidP="00900BC7">
      <w:pPr>
        <w:pStyle w:val="Body"/>
        <w:numPr>
          <w:ilvl w:val="0"/>
          <w:numId w:val="139"/>
        </w:numPr>
        <w:spacing w:before="40" w:after="40"/>
        <w:jc w:val="both"/>
        <w:rPr>
          <w:rFonts w:ascii="Times New Roman" w:hAnsi="Times New Roman"/>
          <w:noProof/>
          <w:sz w:val="24"/>
          <w:szCs w:val="24"/>
        </w:rPr>
      </w:pPr>
      <w:r w:rsidRPr="00A62BB9">
        <w:rPr>
          <w:rFonts w:ascii="Times New Roman" w:hAnsi="Times New Roman"/>
          <w:noProof/>
          <w:sz w:val="24"/>
          <w:szCs w:val="24"/>
        </w:rPr>
        <w:t>SPOC/PCCC Case Management Systems in the Member States</w:t>
      </w:r>
    </w:p>
    <w:p w14:paraId="1D4A257B" w14:textId="77777777" w:rsidR="001246D3" w:rsidRPr="00A62BB9" w:rsidRDefault="001246D3" w:rsidP="00900BC7">
      <w:pPr>
        <w:pStyle w:val="Body"/>
        <w:numPr>
          <w:ilvl w:val="1"/>
          <w:numId w:val="139"/>
        </w:numPr>
        <w:spacing w:before="40" w:after="40"/>
        <w:jc w:val="both"/>
        <w:rPr>
          <w:rFonts w:ascii="Times New Roman" w:hAnsi="Times New Roman"/>
          <w:noProof/>
          <w:sz w:val="24"/>
          <w:szCs w:val="24"/>
        </w:rPr>
      </w:pPr>
      <w:r w:rsidRPr="00A62BB9">
        <w:rPr>
          <w:rFonts w:ascii="Times New Roman" w:hAnsi="Times New Roman"/>
          <w:noProof/>
          <w:sz w:val="24"/>
          <w:szCs w:val="24"/>
          <w:u w:val="single"/>
        </w:rPr>
        <w:t>Strengths</w:t>
      </w:r>
      <w:r w:rsidRPr="00A62BB9">
        <w:rPr>
          <w:rFonts w:ascii="Times New Roman" w:hAnsi="Times New Roman"/>
          <w:noProof/>
          <w:sz w:val="24"/>
          <w:szCs w:val="24"/>
        </w:rPr>
        <w:t>: An intelligent tool would facilitate the workflow, presence of minimum essential requirements for CMS for all Member States, time savings, better data quality, avoidance of duplications, establishment of similar workflows in different Member States;</w:t>
      </w:r>
    </w:p>
    <w:p w14:paraId="408CB3E7" w14:textId="77777777" w:rsidR="001246D3" w:rsidRPr="00A62BB9" w:rsidRDefault="001246D3" w:rsidP="00900BC7">
      <w:pPr>
        <w:pStyle w:val="Body"/>
        <w:numPr>
          <w:ilvl w:val="1"/>
          <w:numId w:val="139"/>
        </w:numPr>
        <w:spacing w:before="40" w:after="40"/>
        <w:jc w:val="both"/>
        <w:rPr>
          <w:rFonts w:ascii="Times New Roman" w:hAnsi="Times New Roman"/>
          <w:noProof/>
          <w:sz w:val="24"/>
          <w:szCs w:val="24"/>
        </w:rPr>
      </w:pPr>
      <w:r w:rsidRPr="00A62BB9">
        <w:rPr>
          <w:rFonts w:ascii="Times New Roman" w:hAnsi="Times New Roman"/>
          <w:noProof/>
          <w:sz w:val="24"/>
          <w:szCs w:val="24"/>
          <w:u w:val="single"/>
        </w:rPr>
        <w:t>Weaknesses</w:t>
      </w:r>
      <w:r w:rsidRPr="00A62BB9">
        <w:rPr>
          <w:rFonts w:ascii="Times New Roman" w:hAnsi="Times New Roman"/>
          <w:noProof/>
          <w:sz w:val="24"/>
          <w:szCs w:val="24"/>
        </w:rPr>
        <w:t>: Costs for Member States in developing the CMS, feasibility linked to national specificities (the integration of specific solution within the national systems might be challenging, depending on the current individual solution used in the Member State).</w:t>
      </w:r>
    </w:p>
    <w:p w14:paraId="70DE850C" w14:textId="77777777" w:rsidR="001246D3" w:rsidRPr="00A62BB9" w:rsidRDefault="001246D3" w:rsidP="00900BC7">
      <w:pPr>
        <w:pStyle w:val="Bulletmain"/>
        <w:numPr>
          <w:ilvl w:val="0"/>
          <w:numId w:val="139"/>
        </w:numPr>
        <w:spacing w:before="40" w:after="40"/>
        <w:rPr>
          <w:rFonts w:ascii="Times New Roman" w:hAnsi="Times New Roman"/>
          <w:noProof/>
          <w:sz w:val="24"/>
          <w:szCs w:val="24"/>
        </w:rPr>
      </w:pPr>
      <w:r w:rsidRPr="00A62BB9">
        <w:rPr>
          <w:rFonts w:ascii="Times New Roman" w:hAnsi="Times New Roman"/>
          <w:noProof/>
          <w:sz w:val="24"/>
          <w:szCs w:val="24"/>
        </w:rPr>
        <w:t>Information exchange via SIENA and other communication channels</w:t>
      </w:r>
    </w:p>
    <w:p w14:paraId="23A31F49" w14:textId="77777777" w:rsidR="001246D3" w:rsidRPr="00A62BB9" w:rsidRDefault="001246D3" w:rsidP="00900BC7">
      <w:pPr>
        <w:pStyle w:val="Bulletmain"/>
        <w:numPr>
          <w:ilvl w:val="1"/>
          <w:numId w:val="139"/>
        </w:numPr>
        <w:spacing w:before="40" w:after="40"/>
        <w:rPr>
          <w:rFonts w:ascii="Times New Roman" w:hAnsi="Times New Roman"/>
          <w:noProof/>
          <w:sz w:val="24"/>
          <w:szCs w:val="24"/>
        </w:rPr>
      </w:pPr>
      <w:r w:rsidRPr="00A62BB9">
        <w:rPr>
          <w:rFonts w:ascii="Times New Roman" w:hAnsi="Times New Roman"/>
          <w:noProof/>
          <w:sz w:val="24"/>
          <w:szCs w:val="24"/>
          <w:u w:val="single"/>
        </w:rPr>
        <w:t>Strengths</w:t>
      </w:r>
      <w:r w:rsidRPr="00A62BB9">
        <w:rPr>
          <w:rFonts w:ascii="Times New Roman" w:hAnsi="Times New Roman"/>
          <w:noProof/>
          <w:sz w:val="24"/>
          <w:szCs w:val="24"/>
        </w:rPr>
        <w:t>: Time savings, increased clarity on which communication channel should be used when, increased level of security;</w:t>
      </w:r>
    </w:p>
    <w:p w14:paraId="43F40C29" w14:textId="77777777" w:rsidR="001246D3" w:rsidRPr="00A62BB9" w:rsidRDefault="001246D3" w:rsidP="00900BC7">
      <w:pPr>
        <w:pStyle w:val="Bulletmain"/>
        <w:numPr>
          <w:ilvl w:val="1"/>
          <w:numId w:val="139"/>
        </w:numPr>
        <w:spacing w:before="40" w:after="40"/>
        <w:rPr>
          <w:rFonts w:ascii="Times New Roman" w:hAnsi="Times New Roman"/>
          <w:noProof/>
          <w:sz w:val="24"/>
          <w:szCs w:val="24"/>
        </w:rPr>
      </w:pPr>
      <w:r w:rsidRPr="00A62BB9">
        <w:rPr>
          <w:rFonts w:ascii="Times New Roman" w:hAnsi="Times New Roman"/>
          <w:noProof/>
          <w:sz w:val="24"/>
          <w:szCs w:val="24"/>
          <w:u w:val="single"/>
        </w:rPr>
        <w:t>Weaknesses</w:t>
      </w:r>
      <w:r w:rsidRPr="00A62BB9">
        <w:rPr>
          <w:rFonts w:ascii="Times New Roman" w:hAnsi="Times New Roman"/>
          <w:noProof/>
          <w:sz w:val="24"/>
          <w:szCs w:val="24"/>
        </w:rPr>
        <w:t>: C</w:t>
      </w:r>
      <w:r w:rsidRPr="00A62BB9">
        <w:rPr>
          <w:rFonts w:ascii="Times New Roman" w:hAnsi="Times New Roman"/>
          <w:iCs/>
          <w:noProof/>
          <w:sz w:val="24"/>
          <w:szCs w:val="24"/>
        </w:rPr>
        <w:t>omplexity</w:t>
      </w:r>
      <w:r w:rsidRPr="00A62BB9">
        <w:rPr>
          <w:rFonts w:ascii="Times New Roman" w:hAnsi="Times New Roman"/>
          <w:noProof/>
          <w:sz w:val="24"/>
          <w:szCs w:val="24"/>
        </w:rPr>
        <w:t xml:space="preserve"> of access rights.</w:t>
      </w:r>
    </w:p>
    <w:p w14:paraId="0483562B" w14:textId="77777777" w:rsidR="001246D3" w:rsidRPr="00A62BB9" w:rsidRDefault="001246D3" w:rsidP="00900BC7">
      <w:pPr>
        <w:pStyle w:val="Bulletmain"/>
        <w:numPr>
          <w:ilvl w:val="0"/>
          <w:numId w:val="139"/>
        </w:numPr>
        <w:spacing w:before="40" w:after="40"/>
        <w:rPr>
          <w:rFonts w:ascii="Times New Roman" w:hAnsi="Times New Roman"/>
          <w:noProof/>
          <w:sz w:val="24"/>
          <w:szCs w:val="24"/>
        </w:rPr>
      </w:pPr>
      <w:r w:rsidRPr="00A62BB9">
        <w:rPr>
          <w:rFonts w:ascii="Times New Roman" w:hAnsi="Times New Roman"/>
          <w:noProof/>
          <w:sz w:val="24"/>
          <w:szCs w:val="24"/>
        </w:rPr>
        <w:t>Use of secure communication means</w:t>
      </w:r>
    </w:p>
    <w:p w14:paraId="3D8D57DC" w14:textId="77777777" w:rsidR="001246D3" w:rsidRPr="00A62BB9" w:rsidRDefault="001246D3" w:rsidP="00900BC7">
      <w:pPr>
        <w:pStyle w:val="Bulletmain"/>
        <w:numPr>
          <w:ilvl w:val="1"/>
          <w:numId w:val="139"/>
        </w:numPr>
        <w:spacing w:before="40" w:after="40"/>
        <w:rPr>
          <w:rFonts w:ascii="Times New Roman" w:hAnsi="Times New Roman"/>
          <w:noProof/>
          <w:sz w:val="24"/>
          <w:szCs w:val="24"/>
        </w:rPr>
      </w:pPr>
      <w:r w:rsidRPr="00A62BB9">
        <w:rPr>
          <w:rFonts w:ascii="Times New Roman" w:hAnsi="Times New Roman"/>
          <w:noProof/>
          <w:sz w:val="24"/>
          <w:szCs w:val="24"/>
          <w:u w:val="single"/>
        </w:rPr>
        <w:t>Strengths</w:t>
      </w:r>
      <w:r w:rsidRPr="00A62BB9">
        <w:rPr>
          <w:rFonts w:ascii="Times New Roman" w:hAnsi="Times New Roman"/>
          <w:noProof/>
          <w:sz w:val="24"/>
          <w:szCs w:val="24"/>
        </w:rPr>
        <w:t>: The idea of a “LEA app” was considered as interesting by some participants.</w:t>
      </w:r>
    </w:p>
    <w:p w14:paraId="72705B26" w14:textId="77777777" w:rsidR="001246D3" w:rsidRPr="00A62BB9" w:rsidRDefault="001246D3" w:rsidP="00900BC7">
      <w:pPr>
        <w:pStyle w:val="Bulletmain"/>
        <w:numPr>
          <w:ilvl w:val="0"/>
          <w:numId w:val="139"/>
        </w:numPr>
        <w:spacing w:before="40" w:after="40"/>
        <w:rPr>
          <w:rFonts w:ascii="Times New Roman" w:hAnsi="Times New Roman"/>
          <w:noProof/>
          <w:sz w:val="24"/>
          <w:szCs w:val="24"/>
        </w:rPr>
      </w:pPr>
      <w:r w:rsidRPr="00A62BB9">
        <w:rPr>
          <w:rFonts w:ascii="Times New Roman" w:hAnsi="Times New Roman"/>
          <w:noProof/>
          <w:sz w:val="24"/>
          <w:szCs w:val="24"/>
        </w:rPr>
        <w:t>Training activities</w:t>
      </w:r>
    </w:p>
    <w:p w14:paraId="5B65C4E7" w14:textId="77777777" w:rsidR="001246D3" w:rsidRPr="00A62BB9" w:rsidRDefault="001246D3" w:rsidP="00900BC7">
      <w:pPr>
        <w:pStyle w:val="Bulletmain"/>
        <w:numPr>
          <w:ilvl w:val="1"/>
          <w:numId w:val="139"/>
        </w:numPr>
        <w:spacing w:before="40" w:after="40"/>
        <w:rPr>
          <w:rFonts w:ascii="Times New Roman" w:hAnsi="Times New Roman"/>
          <w:noProof/>
          <w:sz w:val="24"/>
          <w:szCs w:val="24"/>
        </w:rPr>
      </w:pPr>
      <w:r w:rsidRPr="00A62BB9">
        <w:rPr>
          <w:rFonts w:ascii="Times New Roman" w:hAnsi="Times New Roman"/>
          <w:noProof/>
          <w:sz w:val="24"/>
          <w:szCs w:val="24"/>
          <w:u w:val="single"/>
        </w:rPr>
        <w:t>Strengths</w:t>
      </w:r>
      <w:r w:rsidRPr="00A62BB9">
        <w:rPr>
          <w:rFonts w:ascii="Times New Roman" w:hAnsi="Times New Roman"/>
          <w:noProof/>
          <w:sz w:val="24"/>
          <w:szCs w:val="24"/>
        </w:rPr>
        <w:t>: Additional material provided by CEPOL would be welcomed, and harmonisation of the procedures would simplify the training;</w:t>
      </w:r>
    </w:p>
    <w:p w14:paraId="6A3FB4BF" w14:textId="77777777" w:rsidR="001246D3" w:rsidRDefault="001246D3" w:rsidP="00900BC7">
      <w:pPr>
        <w:pStyle w:val="Bulletmain"/>
        <w:numPr>
          <w:ilvl w:val="1"/>
          <w:numId w:val="139"/>
        </w:numPr>
        <w:spacing w:before="40" w:after="40"/>
        <w:rPr>
          <w:noProof/>
        </w:rPr>
      </w:pPr>
      <w:r w:rsidRPr="00A62BB9">
        <w:rPr>
          <w:rFonts w:ascii="Times New Roman" w:hAnsi="Times New Roman"/>
          <w:noProof/>
          <w:sz w:val="24"/>
          <w:szCs w:val="24"/>
          <w:u w:val="single"/>
        </w:rPr>
        <w:t>Weaknesses</w:t>
      </w:r>
      <w:r w:rsidRPr="00A62BB9">
        <w:rPr>
          <w:rFonts w:ascii="Times New Roman" w:hAnsi="Times New Roman"/>
          <w:noProof/>
          <w:sz w:val="24"/>
          <w:szCs w:val="24"/>
        </w:rPr>
        <w:t>: Training should not be too general but targeted, both in terms of the form and the content (e.g. efficient use of SIENA). The limited availability of time for the officials on the ground should be considered.</w:t>
      </w:r>
    </w:p>
    <w:p w14:paraId="2905F3A2" w14:textId="6F1FEBEB" w:rsidR="001246D3" w:rsidRDefault="001246D3" w:rsidP="00C76702">
      <w:pPr>
        <w:spacing w:after="120" w:line="240" w:lineRule="auto"/>
        <w:jc w:val="both"/>
        <w:rPr>
          <w:rFonts w:ascii="Times New Roman" w:hAnsi="Times New Roman" w:cs="Times New Roman"/>
          <w:noProof/>
          <w:sz w:val="24"/>
          <w:szCs w:val="24"/>
          <w:lang w:val="en-GB"/>
        </w:rPr>
      </w:pPr>
    </w:p>
    <w:p w14:paraId="36AA97FF" w14:textId="4CA00FE8" w:rsidR="00170573" w:rsidRPr="006241B7" w:rsidRDefault="00170573" w:rsidP="00C76702">
      <w:pPr>
        <w:spacing w:after="120" w:line="240" w:lineRule="auto"/>
        <w:jc w:val="both"/>
        <w:rPr>
          <w:rFonts w:ascii="Times New Roman" w:hAnsi="Times New Roman" w:cs="Times New Roman"/>
          <w:b/>
          <w:noProof/>
          <w:sz w:val="28"/>
          <w:szCs w:val="28"/>
          <w:lang w:val="en-GB"/>
        </w:rPr>
      </w:pPr>
      <w:r w:rsidRPr="006241B7">
        <w:rPr>
          <w:rFonts w:ascii="Times New Roman" w:hAnsi="Times New Roman" w:cs="Times New Roman"/>
          <w:b/>
          <w:noProof/>
          <w:sz w:val="28"/>
          <w:szCs w:val="28"/>
          <w:lang w:val="en-GB"/>
        </w:rPr>
        <w:t xml:space="preserve">Results from the public consultation </w:t>
      </w:r>
    </w:p>
    <w:p w14:paraId="0D0F36A5" w14:textId="77777777" w:rsidR="00170573" w:rsidRPr="005478FC" w:rsidRDefault="00170573" w:rsidP="006241B7">
      <w:pPr>
        <w:pStyle w:val="ListParagraph"/>
        <w:numPr>
          <w:ilvl w:val="0"/>
          <w:numId w:val="41"/>
        </w:numPr>
        <w:jc w:val="both"/>
        <w:rPr>
          <w:rFonts w:ascii="Times New Roman" w:hAnsi="Times New Roman" w:cs="Times New Roman"/>
          <w:b/>
          <w:smallCaps/>
          <w:noProof/>
          <w:sz w:val="24"/>
          <w:szCs w:val="24"/>
        </w:rPr>
      </w:pPr>
      <w:r w:rsidRPr="005478FC">
        <w:rPr>
          <w:rFonts w:ascii="Times New Roman" w:hAnsi="Times New Roman" w:cs="Times New Roman"/>
          <w:b/>
          <w:smallCaps/>
          <w:noProof/>
          <w:sz w:val="24"/>
          <w:szCs w:val="24"/>
        </w:rPr>
        <w:t>Introduction</w:t>
      </w:r>
    </w:p>
    <w:p w14:paraId="1BB01EC0" w14:textId="77777777" w:rsidR="00170573" w:rsidRPr="005C63C9" w:rsidRDefault="00170573" w:rsidP="00170573">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In the context of the </w:t>
      </w:r>
      <w:r w:rsidRPr="005C63C9">
        <w:rPr>
          <w:rFonts w:ascii="Times New Roman" w:hAnsi="Times New Roman" w:cs="Times New Roman"/>
          <w:i/>
          <w:iCs/>
          <w:noProof/>
          <w:sz w:val="24"/>
          <w:szCs w:val="24"/>
        </w:rPr>
        <w:t>Study to support the preparation of an impact assessment on the European Union (EU) policy initiatives facilitating cross-border law enforcement cooperation</w:t>
      </w:r>
      <w:r w:rsidRPr="005C63C9">
        <w:rPr>
          <w:rFonts w:ascii="Times New Roman" w:hAnsi="Times New Roman" w:cs="Times New Roman"/>
          <w:noProof/>
          <w:sz w:val="24"/>
          <w:szCs w:val="24"/>
        </w:rPr>
        <w:t>, carried out by EY and RAND Europe, a</w:t>
      </w:r>
      <w:r>
        <w:rPr>
          <w:rFonts w:ascii="Times New Roman" w:hAnsi="Times New Roman" w:cs="Times New Roman"/>
          <w:noProof/>
          <w:sz w:val="24"/>
          <w:szCs w:val="24"/>
        </w:rPr>
        <w:t xml:space="preserve"> </w:t>
      </w:r>
      <w:r w:rsidRPr="005C63C9">
        <w:rPr>
          <w:rFonts w:ascii="Times New Roman" w:hAnsi="Times New Roman" w:cs="Times New Roman"/>
          <w:noProof/>
          <w:sz w:val="24"/>
          <w:szCs w:val="24"/>
        </w:rPr>
        <w:t>Public Consultation (PC) in all EU official languages concerning current problems and the future of cross-border law enforcement cooperation was carried out via the Commission’s tool EUSurvey. The PC ran between 19 April and 14 June 2021. Overall, 20 responses were received from stakeholders in 12 countries, including 10 Member States (AT, BE, CZ, DE, EL, ES, HU, IT, LU and PT), one Schengen Associate Country (CH) and one third country (US).</w:t>
      </w:r>
    </w:p>
    <w:p w14:paraId="4E98782D" w14:textId="77777777" w:rsidR="00170573" w:rsidRPr="005478FC" w:rsidRDefault="00170573" w:rsidP="006241B7">
      <w:pPr>
        <w:pStyle w:val="ListParagraph"/>
        <w:numPr>
          <w:ilvl w:val="0"/>
          <w:numId w:val="41"/>
        </w:numPr>
        <w:jc w:val="both"/>
        <w:rPr>
          <w:rFonts w:ascii="Times New Roman" w:hAnsi="Times New Roman" w:cs="Times New Roman"/>
          <w:b/>
          <w:smallCaps/>
          <w:noProof/>
          <w:sz w:val="24"/>
          <w:szCs w:val="24"/>
        </w:rPr>
      </w:pPr>
      <w:r w:rsidRPr="005478FC">
        <w:rPr>
          <w:rFonts w:ascii="Times New Roman" w:hAnsi="Times New Roman" w:cs="Times New Roman"/>
          <w:b/>
          <w:smallCaps/>
          <w:noProof/>
          <w:sz w:val="24"/>
          <w:szCs w:val="24"/>
        </w:rPr>
        <w:t>Background information</w:t>
      </w:r>
    </w:p>
    <w:p w14:paraId="4A473AAD" w14:textId="77777777" w:rsidR="00170573" w:rsidRPr="005C63C9" w:rsidRDefault="00170573" w:rsidP="00170573">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Regarding the </w:t>
      </w:r>
      <w:r w:rsidRPr="005C63C9">
        <w:rPr>
          <w:rFonts w:ascii="Times New Roman" w:hAnsi="Times New Roman" w:cs="Times New Roman"/>
          <w:b/>
          <w:bCs/>
          <w:noProof/>
          <w:sz w:val="24"/>
          <w:szCs w:val="24"/>
        </w:rPr>
        <w:t>profile of the respondents</w:t>
      </w:r>
      <w:r w:rsidRPr="005C63C9">
        <w:rPr>
          <w:rFonts w:ascii="Times New Roman" w:hAnsi="Times New Roman" w:cs="Times New Roman"/>
          <w:noProof/>
          <w:sz w:val="24"/>
          <w:szCs w:val="24"/>
        </w:rPr>
        <w:t>, nine answered the survey as individuals (eight EU citizens and one non-EU citizen), while the remaining 11 respondents answered on behalf of an organisation (two public authorities, one business association, one trade union, two NGOs, one academic/research institution, and four “other”). The size of the concerned organisations was the following: five large (250 or more employees), three medium (50 to 249 employees), two small (10 to 49 employees) and one micro (1 to 9 employees) organisation. Of these organisations, five are included in the Transparency Register.</w:t>
      </w:r>
      <w:r w:rsidRPr="005C63C9">
        <w:rPr>
          <w:rStyle w:val="FootnoteReference"/>
          <w:rFonts w:ascii="Times New Roman" w:hAnsi="Times New Roman" w:cs="Times New Roman"/>
          <w:noProof/>
          <w:sz w:val="24"/>
          <w:szCs w:val="24"/>
        </w:rPr>
        <w:footnoteReference w:id="146"/>
      </w:r>
    </w:p>
    <w:p w14:paraId="29A2E101" w14:textId="77777777" w:rsidR="00170573" w:rsidRPr="005478FC" w:rsidRDefault="00170573" w:rsidP="006241B7">
      <w:pPr>
        <w:pStyle w:val="ListParagraph"/>
        <w:numPr>
          <w:ilvl w:val="0"/>
          <w:numId w:val="41"/>
        </w:numPr>
        <w:jc w:val="both"/>
        <w:rPr>
          <w:rFonts w:ascii="Times New Roman" w:hAnsi="Times New Roman" w:cs="Times New Roman"/>
          <w:b/>
          <w:smallCaps/>
          <w:noProof/>
          <w:sz w:val="24"/>
          <w:szCs w:val="24"/>
        </w:rPr>
      </w:pPr>
      <w:r w:rsidRPr="005478FC">
        <w:rPr>
          <w:rFonts w:ascii="Times New Roman" w:hAnsi="Times New Roman" w:cs="Times New Roman"/>
          <w:b/>
          <w:smallCaps/>
          <w:noProof/>
          <w:sz w:val="24"/>
          <w:szCs w:val="24"/>
        </w:rPr>
        <w:t>Part I - Questions concerning current problems</w:t>
      </w:r>
    </w:p>
    <w:p w14:paraId="689EBB41" w14:textId="77777777" w:rsidR="00170573" w:rsidRPr="00FD3CAA" w:rsidRDefault="00170573" w:rsidP="00170573">
      <w:pPr>
        <w:spacing w:after="120" w:line="240" w:lineRule="auto"/>
        <w:jc w:val="both"/>
        <w:rPr>
          <w:rFonts w:ascii="Times New Roman" w:hAnsi="Times New Roman" w:cs="Times New Roman"/>
          <w:b/>
          <w:noProof/>
          <w:sz w:val="24"/>
          <w:szCs w:val="24"/>
        </w:rPr>
      </w:pPr>
      <w:r w:rsidRPr="00FD3CAA">
        <w:rPr>
          <w:rFonts w:ascii="Times New Roman" w:hAnsi="Times New Roman" w:cs="Times New Roman"/>
          <w:b/>
          <w:noProof/>
          <w:sz w:val="24"/>
          <w:szCs w:val="24"/>
        </w:rPr>
        <w:t>The threat landscape</w:t>
      </w:r>
    </w:p>
    <w:p w14:paraId="2C8288ED" w14:textId="77777777" w:rsidR="00170573" w:rsidRPr="005C63C9" w:rsidRDefault="00170573" w:rsidP="00170573">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Considering the evolution of the </w:t>
      </w:r>
      <w:r w:rsidRPr="005C63C9">
        <w:rPr>
          <w:rFonts w:ascii="Times New Roman" w:hAnsi="Times New Roman" w:cs="Times New Roman"/>
          <w:b/>
          <w:bCs/>
          <w:noProof/>
          <w:sz w:val="24"/>
          <w:szCs w:val="24"/>
        </w:rPr>
        <w:t>crime situation</w:t>
      </w:r>
      <w:r w:rsidRPr="005C63C9">
        <w:rPr>
          <w:rFonts w:ascii="Times New Roman" w:hAnsi="Times New Roman" w:cs="Times New Roman"/>
          <w:noProof/>
          <w:sz w:val="24"/>
          <w:szCs w:val="24"/>
        </w:rPr>
        <w:t xml:space="preserve"> in Europe, the majority of respondents agreed that the number of crimes increased in the last 5-10 years in all the main crime areas,</w:t>
      </w:r>
      <w:r w:rsidRPr="005C63C9">
        <w:rPr>
          <w:rStyle w:val="FootnoteReference"/>
          <w:rFonts w:ascii="Times New Roman" w:hAnsi="Times New Roman" w:cs="Times New Roman"/>
          <w:noProof/>
          <w:sz w:val="24"/>
          <w:szCs w:val="24"/>
        </w:rPr>
        <w:footnoteReference w:id="147"/>
      </w:r>
      <w:r w:rsidRPr="005C63C9">
        <w:rPr>
          <w:rFonts w:ascii="Times New Roman" w:hAnsi="Times New Roman" w:cs="Times New Roman"/>
          <w:noProof/>
          <w:sz w:val="24"/>
          <w:szCs w:val="24"/>
        </w:rPr>
        <w:t xml:space="preserve"> with the highest rates for cybercrime, drugs and trafficking in human beings. Similarly, the number is expected to further increase in the next 5-10 years (apart from trade of illicit tobacco).</w:t>
      </w:r>
      <w:r w:rsidRPr="005C63C9">
        <w:rPr>
          <w:rStyle w:val="FootnoteReference"/>
          <w:rFonts w:ascii="Times New Roman" w:hAnsi="Times New Roman" w:cs="Times New Roman"/>
          <w:noProof/>
          <w:sz w:val="24"/>
          <w:szCs w:val="24"/>
        </w:rPr>
        <w:footnoteReference w:id="148"/>
      </w:r>
      <w:r w:rsidRPr="005C63C9">
        <w:rPr>
          <w:rFonts w:ascii="Times New Roman" w:hAnsi="Times New Roman" w:cs="Times New Roman"/>
          <w:noProof/>
          <w:sz w:val="24"/>
          <w:szCs w:val="24"/>
        </w:rPr>
        <w:t xml:space="preserve"> Moreover, all these crime areas are considered to have a cross-border dimension and require EU-wide cooperation of law enforcement authorities to be properly addressed,</w:t>
      </w:r>
      <w:r w:rsidRPr="005C63C9">
        <w:rPr>
          <w:rStyle w:val="FootnoteReference"/>
          <w:rFonts w:ascii="Times New Roman" w:hAnsi="Times New Roman" w:cs="Times New Roman"/>
          <w:noProof/>
          <w:sz w:val="24"/>
          <w:szCs w:val="24"/>
        </w:rPr>
        <w:footnoteReference w:id="149"/>
      </w:r>
      <w:r w:rsidRPr="005C63C9">
        <w:rPr>
          <w:rFonts w:ascii="Times New Roman" w:hAnsi="Times New Roman" w:cs="Times New Roman"/>
          <w:noProof/>
          <w:sz w:val="24"/>
          <w:szCs w:val="24"/>
        </w:rPr>
        <w:t xml:space="preserve"> especially cybercrime, drugs, terrorism, financial crimes and trafficking in human beings.</w:t>
      </w:r>
    </w:p>
    <w:p w14:paraId="26CBBD8C" w14:textId="77777777" w:rsidR="00170573" w:rsidRPr="005C63C9" w:rsidRDefault="00170573" w:rsidP="00170573">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From the point of view of </w:t>
      </w:r>
      <w:r w:rsidRPr="005C63C9">
        <w:rPr>
          <w:rFonts w:ascii="Times New Roman" w:hAnsi="Times New Roman" w:cs="Times New Roman"/>
          <w:b/>
          <w:bCs/>
          <w:noProof/>
          <w:sz w:val="24"/>
          <w:szCs w:val="24"/>
        </w:rPr>
        <w:t>public order and safety</w:t>
      </w:r>
      <w:r w:rsidRPr="005C63C9">
        <w:rPr>
          <w:rFonts w:ascii="Times New Roman" w:hAnsi="Times New Roman" w:cs="Times New Roman"/>
          <w:noProof/>
          <w:sz w:val="24"/>
          <w:szCs w:val="24"/>
        </w:rPr>
        <w:t>, respondents to the public consultation stated that the situation in the past-5-10 years did not deteriorate.</w:t>
      </w:r>
      <w:r w:rsidRPr="005C63C9">
        <w:rPr>
          <w:rStyle w:val="FootnoteReference"/>
          <w:rFonts w:ascii="Times New Roman" w:hAnsi="Times New Roman" w:cs="Times New Roman"/>
          <w:noProof/>
          <w:sz w:val="24"/>
          <w:szCs w:val="24"/>
        </w:rPr>
        <w:footnoteReference w:id="150"/>
      </w:r>
      <w:r w:rsidRPr="005C63C9">
        <w:rPr>
          <w:rFonts w:ascii="Times New Roman" w:hAnsi="Times New Roman" w:cs="Times New Roman"/>
          <w:noProof/>
          <w:sz w:val="24"/>
          <w:szCs w:val="24"/>
        </w:rPr>
        <w:t xml:space="preserve"> Nevertheless, similar to the responses for the crime areas above, most respondents agreed that all the key areas under investigation require EU-wide law enforcement cooperation.</w:t>
      </w:r>
      <w:r w:rsidRPr="005C63C9">
        <w:rPr>
          <w:rStyle w:val="FootnoteReference"/>
          <w:rFonts w:ascii="Times New Roman" w:hAnsi="Times New Roman" w:cs="Times New Roman"/>
          <w:noProof/>
          <w:sz w:val="24"/>
          <w:szCs w:val="24"/>
        </w:rPr>
        <w:footnoteReference w:id="151"/>
      </w:r>
    </w:p>
    <w:p w14:paraId="71336857" w14:textId="77777777" w:rsidR="00170573" w:rsidRPr="00FD3CAA" w:rsidRDefault="00170573" w:rsidP="00E84C64">
      <w:pPr>
        <w:spacing w:after="120" w:line="240" w:lineRule="auto"/>
        <w:jc w:val="both"/>
        <w:rPr>
          <w:rFonts w:ascii="Times New Roman" w:hAnsi="Times New Roman" w:cs="Times New Roman"/>
          <w:b/>
          <w:noProof/>
          <w:sz w:val="24"/>
          <w:szCs w:val="24"/>
        </w:rPr>
      </w:pPr>
      <w:r w:rsidRPr="00FD3CAA">
        <w:rPr>
          <w:rFonts w:ascii="Times New Roman" w:hAnsi="Times New Roman" w:cs="Times New Roman"/>
          <w:b/>
          <w:noProof/>
          <w:sz w:val="24"/>
          <w:szCs w:val="24"/>
        </w:rPr>
        <w:t>Cross-border law enforcement cooperation to fight transnational crimes</w:t>
      </w:r>
    </w:p>
    <w:p w14:paraId="5C36D28E" w14:textId="77777777" w:rsidR="00170573" w:rsidRPr="005C63C9" w:rsidRDefault="00170573" w:rsidP="00E84C64">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Around half of the respondents to the consultation considered themselves to have an extensive or even in-depth knowledge of the EU framework for cross-border law enforcement cooperation (56%, n=9). The position of the respondents on the effectiveness of the current </w:t>
      </w:r>
      <w:r w:rsidRPr="005C63C9">
        <w:rPr>
          <w:rFonts w:ascii="Times New Roman" w:hAnsi="Times New Roman" w:cs="Times New Roman"/>
          <w:b/>
          <w:bCs/>
          <w:noProof/>
          <w:sz w:val="24"/>
          <w:szCs w:val="24"/>
        </w:rPr>
        <w:t xml:space="preserve">cross-border law enforcement cooperation mechanisms between EU Member States </w:t>
      </w:r>
      <w:r w:rsidRPr="005C63C9">
        <w:rPr>
          <w:rFonts w:ascii="Times New Roman" w:hAnsi="Times New Roman" w:cs="Times New Roman"/>
          <w:noProof/>
          <w:sz w:val="24"/>
          <w:szCs w:val="24"/>
        </w:rPr>
        <w:t>to fight transnational crimes overall is fairly positive, as 43% (n=6), consider it high, 43% (n=6) moderate and 14% (n=2) small. Similarly, taking into consideration the situation in the individual crime areas, cooperation mechanisms are considered effective in most areas to a moderate extent,</w:t>
      </w:r>
      <w:r w:rsidRPr="005C63C9">
        <w:rPr>
          <w:rStyle w:val="FootnoteReference"/>
          <w:rFonts w:ascii="Times New Roman" w:hAnsi="Times New Roman" w:cs="Times New Roman"/>
          <w:noProof/>
          <w:sz w:val="24"/>
          <w:szCs w:val="24"/>
        </w:rPr>
        <w:footnoteReference w:id="152"/>
      </w:r>
      <w:r w:rsidRPr="005C63C9">
        <w:rPr>
          <w:rFonts w:ascii="Times New Roman" w:hAnsi="Times New Roman" w:cs="Times New Roman"/>
          <w:noProof/>
          <w:sz w:val="24"/>
          <w:szCs w:val="24"/>
        </w:rPr>
        <w:t xml:space="preserve"> with the exception of cybercrime, for which respondents are divided (36%, n=5 small extent, 21%, n=3 moderate, 29%, n=4 high, and 14%, n=2 very high) and drugs (50%, n=7 responding high or very high extent).</w:t>
      </w:r>
    </w:p>
    <w:p w14:paraId="3E3882A7" w14:textId="77777777" w:rsidR="00170573" w:rsidRPr="00FD3CAA" w:rsidRDefault="00170573" w:rsidP="00E84C64">
      <w:pPr>
        <w:spacing w:after="120" w:line="240" w:lineRule="auto"/>
        <w:jc w:val="both"/>
        <w:rPr>
          <w:rFonts w:ascii="Times New Roman" w:hAnsi="Times New Roman" w:cs="Times New Roman"/>
          <w:b/>
          <w:noProof/>
          <w:sz w:val="24"/>
          <w:szCs w:val="24"/>
        </w:rPr>
      </w:pPr>
      <w:r w:rsidRPr="00FD3CAA">
        <w:rPr>
          <w:rFonts w:ascii="Times New Roman" w:hAnsi="Times New Roman" w:cs="Times New Roman"/>
          <w:b/>
          <w:noProof/>
          <w:sz w:val="24"/>
          <w:szCs w:val="24"/>
        </w:rPr>
        <w:t>Cross-border law enforcement cooperation to ensure public order</w:t>
      </w:r>
    </w:p>
    <w:p w14:paraId="18F91E2E" w14:textId="77777777" w:rsidR="00170573" w:rsidRPr="005C63C9" w:rsidRDefault="00170573" w:rsidP="00E84C64">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Regarding </w:t>
      </w:r>
      <w:r w:rsidRPr="005C63C9">
        <w:rPr>
          <w:rFonts w:ascii="Times New Roman" w:hAnsi="Times New Roman" w:cs="Times New Roman"/>
          <w:b/>
          <w:bCs/>
          <w:noProof/>
          <w:sz w:val="24"/>
          <w:szCs w:val="24"/>
        </w:rPr>
        <w:t>public order</w:t>
      </w:r>
      <w:r w:rsidRPr="005C63C9">
        <w:rPr>
          <w:rFonts w:ascii="Times New Roman" w:hAnsi="Times New Roman" w:cs="Times New Roman"/>
          <w:noProof/>
          <w:sz w:val="24"/>
          <w:szCs w:val="24"/>
        </w:rPr>
        <w:t>, half of the respondents deems cooperation mechanisms overall effective to a high or very high extent in protecting the mobility of EU citizens and safeguarding public order (50%, n=7). More specifically, a high level of effectiveness was noted in particular for international sport/music/cultural events, with 57% (n=8) of the respondents indicating that it is effective to a high or very high extent. An overall relatively high proportion of the respondents were also of the view that cooperation is rather effective in relation to cross-border commuting, with 50% (n=7) stating that this is a achieved to a moderate extent and 43% (n=6) to a high extent. The opinion is more mixed for natural disasters, pandemics and tourism.</w:t>
      </w:r>
      <w:r w:rsidRPr="005C63C9">
        <w:rPr>
          <w:rStyle w:val="FootnoteReference"/>
          <w:rFonts w:ascii="Times New Roman" w:hAnsi="Times New Roman" w:cs="Times New Roman"/>
          <w:noProof/>
          <w:sz w:val="24"/>
          <w:szCs w:val="24"/>
        </w:rPr>
        <w:footnoteReference w:id="153"/>
      </w:r>
    </w:p>
    <w:p w14:paraId="28079890" w14:textId="77777777" w:rsidR="00170573" w:rsidRPr="00FD3CAA" w:rsidRDefault="00170573" w:rsidP="00D04F27">
      <w:pPr>
        <w:spacing w:after="120" w:line="240" w:lineRule="auto"/>
        <w:jc w:val="both"/>
        <w:rPr>
          <w:rFonts w:ascii="Times New Roman" w:hAnsi="Times New Roman" w:cs="Times New Roman"/>
          <w:b/>
          <w:noProof/>
          <w:sz w:val="24"/>
          <w:szCs w:val="24"/>
        </w:rPr>
      </w:pPr>
      <w:r w:rsidRPr="00FD3CAA">
        <w:rPr>
          <w:rFonts w:ascii="Times New Roman" w:hAnsi="Times New Roman" w:cs="Times New Roman"/>
          <w:b/>
          <w:noProof/>
          <w:sz w:val="24"/>
          <w:szCs w:val="24"/>
        </w:rPr>
        <w:t>Barriers to cross-border law enforcement cooperation</w:t>
      </w:r>
    </w:p>
    <w:p w14:paraId="46749B96" w14:textId="77777777" w:rsidR="00170573" w:rsidRPr="005C63C9" w:rsidRDefault="00170573" w:rsidP="002E3778">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According to the respondents, the </w:t>
      </w:r>
      <w:r w:rsidRPr="005C63C9">
        <w:rPr>
          <w:rFonts w:ascii="Times New Roman" w:hAnsi="Times New Roman" w:cs="Times New Roman"/>
          <w:b/>
          <w:bCs/>
          <w:noProof/>
          <w:sz w:val="24"/>
          <w:szCs w:val="24"/>
        </w:rPr>
        <w:t>main issues affecting cross-border law enforcement cooperation</w:t>
      </w:r>
      <w:r w:rsidRPr="005C63C9">
        <w:rPr>
          <w:rFonts w:ascii="Times New Roman" w:hAnsi="Times New Roman" w:cs="Times New Roman"/>
          <w:noProof/>
          <w:sz w:val="24"/>
          <w:szCs w:val="24"/>
        </w:rPr>
        <w:t xml:space="preserve"> include that</w:t>
      </w:r>
      <w:r w:rsidRPr="005C63C9">
        <w:rPr>
          <w:rFonts w:ascii="Times New Roman" w:hAnsi="Times New Roman" w:cs="Times New Roman"/>
          <w:b/>
          <w:bCs/>
          <w:noProof/>
          <w:sz w:val="24"/>
          <w:szCs w:val="24"/>
        </w:rPr>
        <w:t xml:space="preserve"> </w:t>
      </w:r>
      <w:r w:rsidRPr="005C63C9">
        <w:rPr>
          <w:rFonts w:ascii="Times New Roman" w:hAnsi="Times New Roman" w:cs="Times New Roman"/>
          <w:noProof/>
          <w:sz w:val="24"/>
          <w:szCs w:val="24"/>
        </w:rPr>
        <w:t>the relevant EU legal framework is not consolidated (i.e. it is spread across several legislative instruments), and that it is not consistently implemented across the Member States (i.e. the Member States implement it differently), with 67% (n=10) and 64% (n=9) of respondents respectively stating that these issues are problematic to a high or very high extent. Considering the safeguards to protect fundamental rights of persons subject to measures of cross-border cooperation, half of the respondents deems them sufficient to a high of very high extent (50%, n=8), while the other 50% (n=8) stated that they are sufficient only to a small or to a moderate extent.</w:t>
      </w:r>
    </w:p>
    <w:p w14:paraId="0281AA14" w14:textId="77777777" w:rsidR="00170573" w:rsidRPr="00FD3CAA" w:rsidRDefault="00170573" w:rsidP="002E3778">
      <w:pPr>
        <w:spacing w:after="120" w:line="240" w:lineRule="auto"/>
        <w:jc w:val="both"/>
        <w:rPr>
          <w:rFonts w:ascii="Times New Roman" w:hAnsi="Times New Roman" w:cs="Times New Roman"/>
          <w:b/>
          <w:noProof/>
          <w:sz w:val="24"/>
          <w:szCs w:val="24"/>
        </w:rPr>
      </w:pPr>
      <w:r w:rsidRPr="00FD3CAA">
        <w:rPr>
          <w:rFonts w:ascii="Times New Roman" w:hAnsi="Times New Roman" w:cs="Times New Roman"/>
          <w:b/>
          <w:noProof/>
          <w:sz w:val="24"/>
          <w:szCs w:val="24"/>
        </w:rPr>
        <w:t>Investigative tools to tackle cross-border crimes</w:t>
      </w:r>
    </w:p>
    <w:p w14:paraId="436679E9" w14:textId="77777777" w:rsidR="00170573" w:rsidRPr="005C63C9" w:rsidRDefault="00170573" w:rsidP="002E3778">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Available </w:t>
      </w:r>
      <w:r w:rsidRPr="005C63C9">
        <w:rPr>
          <w:rFonts w:ascii="Times New Roman" w:hAnsi="Times New Roman" w:cs="Times New Roman"/>
          <w:b/>
          <w:bCs/>
          <w:noProof/>
          <w:sz w:val="24"/>
          <w:szCs w:val="24"/>
        </w:rPr>
        <w:t xml:space="preserve">investigative tools </w:t>
      </w:r>
      <w:r w:rsidRPr="005C63C9">
        <w:rPr>
          <w:rFonts w:ascii="Times New Roman" w:hAnsi="Times New Roman" w:cs="Times New Roman"/>
          <w:noProof/>
          <w:sz w:val="24"/>
          <w:szCs w:val="24"/>
        </w:rPr>
        <w:t>are considered to be effective in tackling and combating cross-border crimes,</w:t>
      </w:r>
      <w:r w:rsidRPr="005C63C9">
        <w:rPr>
          <w:rStyle w:val="FootnoteReference"/>
          <w:rFonts w:ascii="Times New Roman" w:hAnsi="Times New Roman" w:cs="Times New Roman"/>
          <w:noProof/>
          <w:sz w:val="24"/>
          <w:szCs w:val="24"/>
        </w:rPr>
        <w:footnoteReference w:id="154"/>
      </w:r>
      <w:r w:rsidRPr="005C63C9">
        <w:rPr>
          <w:rFonts w:ascii="Times New Roman" w:hAnsi="Times New Roman" w:cs="Times New Roman"/>
          <w:noProof/>
          <w:sz w:val="24"/>
          <w:szCs w:val="24"/>
        </w:rPr>
        <w:t xml:space="preserve"> in particular Joint Police Offices and the interception of communication, although more trust between the Member States was stated to be needed to a high or very high extent by 67% (n=10) of the respondents and higher technical and financial resources at the national level to a high or very high extent by 64% (n=9), and are thus are perceived to have the potential to enhance their use and overall effectiveness.</w:t>
      </w:r>
    </w:p>
    <w:p w14:paraId="4D5FC5C6" w14:textId="77777777" w:rsidR="00170573" w:rsidRPr="00FD3CAA" w:rsidRDefault="00170573" w:rsidP="002E3778">
      <w:pPr>
        <w:spacing w:after="120" w:line="240" w:lineRule="auto"/>
        <w:jc w:val="both"/>
        <w:rPr>
          <w:rFonts w:ascii="Times New Roman" w:hAnsi="Times New Roman" w:cs="Times New Roman"/>
          <w:b/>
          <w:noProof/>
          <w:sz w:val="24"/>
          <w:szCs w:val="24"/>
        </w:rPr>
      </w:pPr>
      <w:r w:rsidRPr="00FD3CAA">
        <w:rPr>
          <w:rFonts w:ascii="Times New Roman" w:hAnsi="Times New Roman" w:cs="Times New Roman"/>
          <w:b/>
          <w:noProof/>
          <w:sz w:val="24"/>
          <w:szCs w:val="24"/>
        </w:rPr>
        <w:t>Investigative tools to tackle serious and organised crime at the national level</w:t>
      </w:r>
    </w:p>
    <w:p w14:paraId="6E331D82" w14:textId="77777777" w:rsidR="00170573" w:rsidRDefault="00170573" w:rsidP="002E3778">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At </w:t>
      </w:r>
      <w:r w:rsidRPr="005C63C9">
        <w:rPr>
          <w:rFonts w:ascii="Times New Roman" w:hAnsi="Times New Roman" w:cs="Times New Roman"/>
          <w:b/>
          <w:bCs/>
          <w:noProof/>
          <w:sz w:val="24"/>
          <w:szCs w:val="24"/>
        </w:rPr>
        <w:t xml:space="preserve">the national level, investigative tools </w:t>
      </w:r>
      <w:r w:rsidRPr="005C63C9">
        <w:rPr>
          <w:rFonts w:ascii="Times New Roman" w:hAnsi="Times New Roman" w:cs="Times New Roman"/>
          <w:noProof/>
          <w:sz w:val="24"/>
          <w:szCs w:val="24"/>
        </w:rPr>
        <w:t>are considered to be less effective or even not effective at all,</w:t>
      </w:r>
      <w:r w:rsidRPr="005C63C9">
        <w:rPr>
          <w:rStyle w:val="FootnoteReference"/>
          <w:rFonts w:ascii="Times New Roman" w:hAnsi="Times New Roman" w:cs="Times New Roman"/>
          <w:noProof/>
          <w:sz w:val="24"/>
          <w:szCs w:val="24"/>
        </w:rPr>
        <w:footnoteReference w:id="155"/>
      </w:r>
      <w:r w:rsidRPr="005C63C9">
        <w:rPr>
          <w:rFonts w:ascii="Times New Roman" w:hAnsi="Times New Roman" w:cs="Times New Roman"/>
          <w:noProof/>
          <w:sz w:val="24"/>
          <w:szCs w:val="24"/>
        </w:rPr>
        <w:t xml:space="preserve"> with the exception of the interception of communication. Thus, the large majority of respondents sees the need for new tools to investigate organised crime groups in light of recent technological advancements/new technologies and the ability of criminals to exploit them (82%, n=9).</w:t>
      </w:r>
    </w:p>
    <w:p w14:paraId="3A000999" w14:textId="77777777" w:rsidR="00170573" w:rsidRPr="000B0FC1" w:rsidRDefault="00170573" w:rsidP="006241B7">
      <w:pPr>
        <w:jc w:val="both"/>
        <w:rPr>
          <w:noProof/>
          <w:szCs w:val="24"/>
        </w:rPr>
      </w:pPr>
      <w:r w:rsidRPr="000B0FC1">
        <w:rPr>
          <w:rFonts w:ascii="Times New Roman" w:hAnsi="Times New Roman" w:cs="Times New Roman"/>
          <w:b/>
          <w:smallCaps/>
          <w:noProof/>
          <w:sz w:val="24"/>
          <w:szCs w:val="24"/>
        </w:rPr>
        <w:t>Part II - Need for EU Action and possible policy options</w:t>
      </w:r>
    </w:p>
    <w:p w14:paraId="2E7D18B6" w14:textId="77777777" w:rsidR="00170573" w:rsidRPr="005C63C9" w:rsidRDefault="00170573" w:rsidP="00170573">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According to the majority of respondents, there is a </w:t>
      </w:r>
      <w:r w:rsidRPr="005C63C9">
        <w:rPr>
          <w:rFonts w:ascii="Times New Roman" w:hAnsi="Times New Roman" w:cs="Times New Roman"/>
          <w:b/>
          <w:bCs/>
          <w:noProof/>
          <w:sz w:val="24"/>
          <w:szCs w:val="24"/>
        </w:rPr>
        <w:t>need for EU intervention</w:t>
      </w:r>
      <w:r w:rsidRPr="005C63C9">
        <w:rPr>
          <w:rFonts w:ascii="Times New Roman" w:hAnsi="Times New Roman" w:cs="Times New Roman"/>
          <w:noProof/>
          <w:sz w:val="24"/>
          <w:szCs w:val="24"/>
        </w:rPr>
        <w:t xml:space="preserve"> to improve cross-border law enforcement cooperation through the adoption of legislative and/or non-legislative measures in the fight against serious and organised crime (86%; n=12), terrorism (79%, n=10) and other transnational crimes (71%, n=11), while such need is not perceived to be as strong for ensuring public order against less serious offences (31%, n=4). </w:t>
      </w:r>
    </w:p>
    <w:p w14:paraId="1029C7B3" w14:textId="77777777" w:rsidR="00170573" w:rsidRPr="005C63C9" w:rsidRDefault="00170573" w:rsidP="00170573">
      <w:pPr>
        <w:spacing w:after="120" w:line="240"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Among those considering EU intervention to be necessary, the focus of such intervention should be the revision and update of existing legislative measures according to 16 respondents, and also on non-legislative measures (e.g. guidelines, recommendations, good practices), as noted by 11 respondents.</w:t>
      </w:r>
    </w:p>
    <w:p w14:paraId="41F72F09" w14:textId="7FF06A31" w:rsidR="00170573" w:rsidRDefault="00170573" w:rsidP="006241B7">
      <w:pPr>
        <w:spacing w:after="160" w:line="259" w:lineRule="auto"/>
        <w:jc w:val="both"/>
        <w:rPr>
          <w:rFonts w:ascii="Times New Roman" w:hAnsi="Times New Roman" w:cs="Times New Roman"/>
          <w:noProof/>
          <w:sz w:val="24"/>
          <w:szCs w:val="24"/>
        </w:rPr>
      </w:pPr>
      <w:r w:rsidRPr="005C63C9">
        <w:rPr>
          <w:rFonts w:ascii="Times New Roman" w:hAnsi="Times New Roman" w:cs="Times New Roman"/>
          <w:noProof/>
          <w:sz w:val="24"/>
          <w:szCs w:val="24"/>
        </w:rPr>
        <w:t xml:space="preserve">The answers to the more specific questions concerning </w:t>
      </w:r>
      <w:r w:rsidRPr="005C63C9">
        <w:rPr>
          <w:rFonts w:ascii="Times New Roman" w:hAnsi="Times New Roman" w:cs="Times New Roman"/>
          <w:b/>
          <w:bCs/>
          <w:noProof/>
          <w:sz w:val="24"/>
          <w:szCs w:val="24"/>
        </w:rPr>
        <w:t xml:space="preserve">possible measures likely to enhance intra-EU law enforcement cooperation </w:t>
      </w:r>
      <w:r w:rsidRPr="005C63C9">
        <w:rPr>
          <w:rFonts w:ascii="Times New Roman" w:hAnsi="Times New Roman" w:cs="Times New Roman"/>
          <w:noProof/>
          <w:sz w:val="24"/>
          <w:szCs w:val="24"/>
        </w:rPr>
        <w:t>show a similar picture.</w:t>
      </w:r>
      <w:r w:rsidRPr="005C63C9">
        <w:rPr>
          <w:rFonts w:ascii="Times New Roman" w:hAnsi="Times New Roman" w:cs="Times New Roman"/>
          <w:b/>
          <w:bCs/>
          <w:noProof/>
          <w:sz w:val="24"/>
          <w:szCs w:val="24"/>
        </w:rPr>
        <w:t xml:space="preserve"> </w:t>
      </w:r>
      <w:r w:rsidRPr="005C63C9">
        <w:rPr>
          <w:rFonts w:ascii="Times New Roman" w:hAnsi="Times New Roman" w:cs="Times New Roman"/>
          <w:noProof/>
          <w:sz w:val="24"/>
          <w:szCs w:val="24"/>
        </w:rPr>
        <w:t>Those measures which are considered to have the potential to contribute to improving cross-border cooperation to a larger (high or very high) extent are the modernisation of the EU legal framework for law enforcement cooperation to cope with new challenges posed by criminals (67%, n=10), the setting up of new operational initiatives for law enforcement cooperation (64%, n=7) and the simplification and streamlining of the EU legal framework for law enforcement cooperation (53%, n=8). Comparatively less relevant would be the creation of a single set of rules for all law enforcement authorities (police, customs, etc.) (47%, n=7), the definition of EU common rules for the use of investigative tools to combat serious and organised crime/terrorism (43%, n=6) or the design of non-binding documents (new recommendations, guidelines and good practices) for law enforcement cooperation (33%, n=5). The position of the respondents on the extent to which the adoption of measures granting additional powers to law enforcement authorities would require additional safeguards to protect individuals’ fundamental rights is mixed.</w:t>
      </w:r>
      <w:r w:rsidRPr="005C63C9">
        <w:rPr>
          <w:rStyle w:val="FootnoteReference"/>
          <w:rFonts w:ascii="Times New Roman" w:hAnsi="Times New Roman" w:cs="Times New Roman"/>
          <w:noProof/>
          <w:sz w:val="24"/>
          <w:szCs w:val="24"/>
        </w:rPr>
        <w:footnoteReference w:id="156"/>
      </w:r>
    </w:p>
    <w:p w14:paraId="040718C0" w14:textId="77777777" w:rsidR="00170573" w:rsidRDefault="00170573" w:rsidP="006241B7">
      <w:pPr>
        <w:spacing w:after="160" w:line="259" w:lineRule="auto"/>
        <w:jc w:val="both"/>
        <w:rPr>
          <w:rFonts w:ascii="Times New Roman" w:hAnsi="Times New Roman" w:cs="Times New Roman"/>
          <w:b/>
          <w:noProof/>
          <w:sz w:val="28"/>
          <w:szCs w:val="24"/>
        </w:rPr>
      </w:pPr>
    </w:p>
    <w:p w14:paraId="31959B7C" w14:textId="3F42E2E4" w:rsidR="00170573" w:rsidRPr="006241B7" w:rsidRDefault="00170573" w:rsidP="006241B7">
      <w:pPr>
        <w:spacing w:after="160" w:line="259" w:lineRule="auto"/>
        <w:jc w:val="both"/>
        <w:rPr>
          <w:rFonts w:ascii="Times New Roman" w:hAnsi="Times New Roman" w:cs="Times New Roman"/>
          <w:b/>
          <w:noProof/>
          <w:sz w:val="28"/>
          <w:szCs w:val="24"/>
        </w:rPr>
      </w:pPr>
      <w:r w:rsidRPr="006241B7">
        <w:rPr>
          <w:rFonts w:ascii="Times New Roman" w:hAnsi="Times New Roman" w:cs="Times New Roman"/>
          <w:b/>
          <w:noProof/>
          <w:sz w:val="28"/>
          <w:szCs w:val="24"/>
        </w:rPr>
        <w:t>List of the stakeholders consulted</w:t>
      </w:r>
    </w:p>
    <w:p w14:paraId="6FF6F9C3" w14:textId="77777777" w:rsidR="00170573" w:rsidRPr="00FF7427" w:rsidRDefault="00170573" w:rsidP="00170573">
      <w:pPr>
        <w:rPr>
          <w:noProof/>
        </w:rPr>
      </w:pPr>
      <w:r w:rsidRPr="00237337">
        <w:rPr>
          <w:rFonts w:ascii="Times New Roman" w:hAnsi="Times New Roman" w:cs="Times New Roman"/>
          <w:b/>
          <w:i/>
          <w:noProof/>
          <w:sz w:val="24"/>
        </w:rPr>
        <w:t>Interviews</w:t>
      </w:r>
    </w:p>
    <w:p w14:paraId="70D8AF03" w14:textId="77777777" w:rsidR="00170573" w:rsidRPr="00237337" w:rsidRDefault="00170573" w:rsidP="00170573">
      <w:pPr>
        <w:rPr>
          <w:rFonts w:ascii="Times New Roman" w:hAnsi="Times New Roman" w:cs="Times New Roman"/>
          <w:b/>
          <w:noProof/>
          <w:sz w:val="24"/>
        </w:rPr>
      </w:pPr>
      <w:r w:rsidRPr="00237337">
        <w:rPr>
          <w:rFonts w:ascii="Times New Roman" w:hAnsi="Times New Roman" w:cs="Times New Roman"/>
          <w:b/>
          <w:noProof/>
          <w:sz w:val="24"/>
        </w:rPr>
        <w:t>EU Bodies</w:t>
      </w:r>
    </w:p>
    <w:p w14:paraId="43BF0BFD" w14:textId="77777777" w:rsidR="00170573" w:rsidRPr="00245FF0" w:rsidRDefault="00170573" w:rsidP="00170573">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the number of stakeholders consulted from EU bodies</w:t>
      </w:r>
    </w:p>
    <w:tbl>
      <w:tblPr>
        <w:tblStyle w:val="TableGrid"/>
        <w:tblW w:w="5000" w:type="pct"/>
        <w:tblLook w:val="04A0" w:firstRow="1" w:lastRow="0" w:firstColumn="1" w:lastColumn="0" w:noHBand="0" w:noVBand="1"/>
      </w:tblPr>
      <w:tblGrid>
        <w:gridCol w:w="5512"/>
        <w:gridCol w:w="4342"/>
      </w:tblGrid>
      <w:tr w:rsidR="00170573" w14:paraId="02922C5F" w14:textId="77777777" w:rsidTr="00C451D4">
        <w:trPr>
          <w:trHeight w:val="70"/>
        </w:trPr>
        <w:tc>
          <w:tcPr>
            <w:tcW w:w="2797" w:type="pct"/>
            <w:shd w:val="clear" w:color="auto" w:fill="00B0F0"/>
          </w:tcPr>
          <w:p w14:paraId="133BB32B" w14:textId="77777777" w:rsidR="00170573" w:rsidRPr="00D72B6C" w:rsidRDefault="00170573" w:rsidP="00C451D4">
            <w:pPr>
              <w:spacing w:after="0"/>
              <w:rPr>
                <w:rFonts w:cs="Calibri"/>
                <w:noProof/>
                <w:sz w:val="18"/>
                <w:szCs w:val="18"/>
              </w:rPr>
            </w:pPr>
            <w:r w:rsidRPr="00D72B6C">
              <w:rPr>
                <w:rFonts w:cs="Calibri"/>
                <w:noProof/>
                <w:sz w:val="18"/>
                <w:szCs w:val="18"/>
              </w:rPr>
              <w:t>EU Body/Institutions</w:t>
            </w:r>
          </w:p>
        </w:tc>
        <w:tc>
          <w:tcPr>
            <w:tcW w:w="2203" w:type="pct"/>
            <w:shd w:val="clear" w:color="auto" w:fill="00B0F0"/>
          </w:tcPr>
          <w:p w14:paraId="74552C52" w14:textId="77777777" w:rsidR="00170573" w:rsidRPr="00D72B6C" w:rsidRDefault="00170573" w:rsidP="00C451D4">
            <w:pPr>
              <w:spacing w:after="0"/>
              <w:jc w:val="center"/>
              <w:rPr>
                <w:rFonts w:cs="Calibri"/>
                <w:noProof/>
                <w:sz w:val="18"/>
                <w:szCs w:val="18"/>
              </w:rPr>
            </w:pPr>
            <w:r w:rsidRPr="00D72B6C">
              <w:rPr>
                <w:rFonts w:cs="Calibri"/>
                <w:noProof/>
                <w:sz w:val="18"/>
                <w:szCs w:val="18"/>
              </w:rPr>
              <w:t>N° of Interviewees</w:t>
            </w:r>
          </w:p>
        </w:tc>
      </w:tr>
      <w:tr w:rsidR="00170573" w14:paraId="4864651C" w14:textId="77777777" w:rsidTr="00C451D4">
        <w:trPr>
          <w:trHeight w:val="70"/>
        </w:trPr>
        <w:tc>
          <w:tcPr>
            <w:tcW w:w="2797" w:type="pct"/>
            <w:shd w:val="clear" w:color="auto" w:fill="F2F2F2" w:themeFill="background1" w:themeFillShade="F2"/>
            <w:vAlign w:val="center"/>
          </w:tcPr>
          <w:p w14:paraId="3CBCDF40" w14:textId="77777777" w:rsidR="00170573" w:rsidRPr="00D72B6C" w:rsidRDefault="00170573" w:rsidP="00C451D4">
            <w:pPr>
              <w:spacing w:after="0"/>
              <w:rPr>
                <w:rFonts w:cs="Calibri"/>
                <w:bCs/>
                <w:noProof/>
                <w:sz w:val="18"/>
                <w:szCs w:val="18"/>
              </w:rPr>
            </w:pPr>
            <w:r w:rsidRPr="00D72B6C">
              <w:rPr>
                <w:rFonts w:cs="Calibri"/>
                <w:bCs/>
                <w:noProof/>
                <w:sz w:val="18"/>
                <w:szCs w:val="18"/>
              </w:rPr>
              <w:t>CEPOL</w:t>
            </w:r>
          </w:p>
        </w:tc>
        <w:tc>
          <w:tcPr>
            <w:tcW w:w="2203" w:type="pct"/>
            <w:vAlign w:val="center"/>
          </w:tcPr>
          <w:p w14:paraId="34CD7092"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14:paraId="5921FA61" w14:textId="77777777" w:rsidTr="00C451D4">
        <w:trPr>
          <w:trHeight w:val="70"/>
        </w:trPr>
        <w:tc>
          <w:tcPr>
            <w:tcW w:w="2797" w:type="pct"/>
            <w:shd w:val="clear" w:color="auto" w:fill="F2F2F2" w:themeFill="background1" w:themeFillShade="F2"/>
            <w:vAlign w:val="center"/>
          </w:tcPr>
          <w:p w14:paraId="4E87B55E" w14:textId="77777777" w:rsidR="00170573" w:rsidRPr="00D72B6C" w:rsidRDefault="00170573" w:rsidP="00C451D4">
            <w:pPr>
              <w:spacing w:after="0"/>
              <w:rPr>
                <w:rFonts w:cs="Calibri"/>
                <w:bCs/>
                <w:noProof/>
                <w:sz w:val="18"/>
                <w:szCs w:val="18"/>
              </w:rPr>
            </w:pPr>
            <w:r w:rsidRPr="00D72B6C">
              <w:rPr>
                <w:rFonts w:cs="Calibri"/>
                <w:bCs/>
                <w:noProof/>
                <w:sz w:val="18"/>
                <w:szCs w:val="18"/>
              </w:rPr>
              <w:t>EDPS</w:t>
            </w:r>
          </w:p>
        </w:tc>
        <w:tc>
          <w:tcPr>
            <w:tcW w:w="2203" w:type="pct"/>
            <w:vAlign w:val="center"/>
          </w:tcPr>
          <w:p w14:paraId="4745BAF4"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14:paraId="221F7C54" w14:textId="77777777" w:rsidTr="00C451D4">
        <w:trPr>
          <w:trHeight w:val="70"/>
        </w:trPr>
        <w:tc>
          <w:tcPr>
            <w:tcW w:w="2797" w:type="pct"/>
            <w:shd w:val="clear" w:color="auto" w:fill="F2F2F2" w:themeFill="background1" w:themeFillShade="F2"/>
            <w:vAlign w:val="center"/>
          </w:tcPr>
          <w:p w14:paraId="078F4FFB" w14:textId="77777777" w:rsidR="00170573" w:rsidRPr="00D72B6C" w:rsidRDefault="00170573" w:rsidP="00C451D4">
            <w:pPr>
              <w:spacing w:after="0"/>
              <w:rPr>
                <w:rFonts w:cs="Calibri"/>
                <w:bCs/>
                <w:noProof/>
                <w:sz w:val="18"/>
                <w:szCs w:val="18"/>
              </w:rPr>
            </w:pPr>
            <w:r w:rsidRPr="00D72B6C">
              <w:rPr>
                <w:rFonts w:cs="Calibri"/>
                <w:bCs/>
                <w:noProof/>
                <w:sz w:val="18"/>
                <w:szCs w:val="18"/>
              </w:rPr>
              <w:t xml:space="preserve">EJN </w:t>
            </w:r>
          </w:p>
        </w:tc>
        <w:tc>
          <w:tcPr>
            <w:tcW w:w="2203" w:type="pct"/>
            <w:vAlign w:val="center"/>
          </w:tcPr>
          <w:p w14:paraId="1FFC0383"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14:paraId="36EA9BEF" w14:textId="77777777" w:rsidTr="00C451D4">
        <w:trPr>
          <w:trHeight w:val="70"/>
        </w:trPr>
        <w:tc>
          <w:tcPr>
            <w:tcW w:w="2797" w:type="pct"/>
            <w:shd w:val="clear" w:color="auto" w:fill="F2F2F2" w:themeFill="background1" w:themeFillShade="F2"/>
            <w:vAlign w:val="center"/>
          </w:tcPr>
          <w:p w14:paraId="2CF15DC9" w14:textId="77777777" w:rsidR="00170573" w:rsidRPr="00D72B6C" w:rsidRDefault="00170573" w:rsidP="00C451D4">
            <w:pPr>
              <w:spacing w:after="0"/>
              <w:rPr>
                <w:rFonts w:cs="Calibri"/>
                <w:bCs/>
                <w:noProof/>
                <w:sz w:val="18"/>
                <w:szCs w:val="18"/>
              </w:rPr>
            </w:pPr>
            <w:r w:rsidRPr="00D72B6C">
              <w:rPr>
                <w:rFonts w:cs="Calibri"/>
                <w:bCs/>
                <w:noProof/>
                <w:sz w:val="18"/>
                <w:szCs w:val="18"/>
              </w:rPr>
              <w:t>EJTN</w:t>
            </w:r>
          </w:p>
        </w:tc>
        <w:tc>
          <w:tcPr>
            <w:tcW w:w="2203" w:type="pct"/>
            <w:vAlign w:val="center"/>
          </w:tcPr>
          <w:p w14:paraId="42A7B57F" w14:textId="77777777" w:rsidR="00170573" w:rsidRPr="00D72B6C" w:rsidRDefault="00170573" w:rsidP="00C451D4">
            <w:pPr>
              <w:spacing w:after="0"/>
              <w:jc w:val="center"/>
              <w:rPr>
                <w:rFonts w:cs="Calibri"/>
                <w:noProof/>
                <w:sz w:val="18"/>
                <w:szCs w:val="18"/>
              </w:rPr>
            </w:pPr>
            <w:r w:rsidRPr="00D72B6C">
              <w:rPr>
                <w:rFonts w:cs="Calibri"/>
                <w:noProof/>
                <w:sz w:val="18"/>
                <w:szCs w:val="18"/>
              </w:rPr>
              <w:t>2</w:t>
            </w:r>
          </w:p>
        </w:tc>
      </w:tr>
      <w:tr w:rsidR="00170573" w14:paraId="0E1E476D" w14:textId="77777777" w:rsidTr="00C451D4">
        <w:trPr>
          <w:trHeight w:val="70"/>
        </w:trPr>
        <w:tc>
          <w:tcPr>
            <w:tcW w:w="2797" w:type="pct"/>
            <w:shd w:val="clear" w:color="auto" w:fill="F2F2F2" w:themeFill="background1" w:themeFillShade="F2"/>
            <w:vAlign w:val="center"/>
          </w:tcPr>
          <w:p w14:paraId="616CEEA6" w14:textId="77777777" w:rsidR="00170573" w:rsidRPr="00D72B6C" w:rsidRDefault="00170573" w:rsidP="00C451D4">
            <w:pPr>
              <w:spacing w:after="0"/>
              <w:rPr>
                <w:rFonts w:cs="Calibri"/>
                <w:bCs/>
                <w:noProof/>
                <w:sz w:val="18"/>
                <w:szCs w:val="18"/>
              </w:rPr>
            </w:pPr>
            <w:r w:rsidRPr="00D72B6C">
              <w:rPr>
                <w:rFonts w:cs="Calibri"/>
                <w:bCs/>
                <w:noProof/>
                <w:sz w:val="18"/>
                <w:szCs w:val="18"/>
              </w:rPr>
              <w:t xml:space="preserve">EMCDDA </w:t>
            </w:r>
          </w:p>
        </w:tc>
        <w:tc>
          <w:tcPr>
            <w:tcW w:w="2203" w:type="pct"/>
            <w:vAlign w:val="center"/>
          </w:tcPr>
          <w:p w14:paraId="2B0C3371"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14:paraId="5F6B8424" w14:textId="77777777" w:rsidTr="00C451D4">
        <w:trPr>
          <w:trHeight w:val="70"/>
        </w:trPr>
        <w:tc>
          <w:tcPr>
            <w:tcW w:w="2797" w:type="pct"/>
            <w:shd w:val="clear" w:color="auto" w:fill="F2F2F2" w:themeFill="background1" w:themeFillShade="F2"/>
            <w:vAlign w:val="center"/>
          </w:tcPr>
          <w:p w14:paraId="3AA6DE1D" w14:textId="77777777" w:rsidR="00170573" w:rsidRPr="00D72B6C" w:rsidRDefault="00170573" w:rsidP="00C451D4">
            <w:pPr>
              <w:spacing w:after="0"/>
              <w:rPr>
                <w:rFonts w:cs="Calibri"/>
                <w:bCs/>
                <w:noProof/>
                <w:sz w:val="18"/>
                <w:szCs w:val="18"/>
              </w:rPr>
            </w:pPr>
            <w:r w:rsidRPr="00D72B6C">
              <w:rPr>
                <w:rFonts w:cs="Calibri"/>
                <w:bCs/>
                <w:noProof/>
                <w:sz w:val="18"/>
                <w:szCs w:val="18"/>
              </w:rPr>
              <w:t>EPPO</w:t>
            </w:r>
          </w:p>
        </w:tc>
        <w:tc>
          <w:tcPr>
            <w:tcW w:w="2203" w:type="pct"/>
            <w:vAlign w:val="center"/>
          </w:tcPr>
          <w:p w14:paraId="2EA3DD3F"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14:paraId="0AFD4410" w14:textId="77777777" w:rsidTr="00C451D4">
        <w:trPr>
          <w:trHeight w:val="70"/>
        </w:trPr>
        <w:tc>
          <w:tcPr>
            <w:tcW w:w="2797" w:type="pct"/>
            <w:shd w:val="clear" w:color="auto" w:fill="F2F2F2" w:themeFill="background1" w:themeFillShade="F2"/>
            <w:vAlign w:val="center"/>
          </w:tcPr>
          <w:p w14:paraId="3AB93325" w14:textId="77777777" w:rsidR="00170573" w:rsidRPr="00D72B6C" w:rsidRDefault="00170573" w:rsidP="00C451D4">
            <w:pPr>
              <w:spacing w:after="0"/>
              <w:rPr>
                <w:rFonts w:cs="Calibri"/>
                <w:bCs/>
                <w:noProof/>
                <w:sz w:val="18"/>
                <w:szCs w:val="18"/>
              </w:rPr>
            </w:pPr>
            <w:r w:rsidRPr="00D72B6C">
              <w:rPr>
                <w:rFonts w:cs="Calibri"/>
                <w:bCs/>
                <w:noProof/>
                <w:sz w:val="18"/>
                <w:szCs w:val="18"/>
              </w:rPr>
              <w:t>EUCPN</w:t>
            </w:r>
          </w:p>
        </w:tc>
        <w:tc>
          <w:tcPr>
            <w:tcW w:w="2203" w:type="pct"/>
            <w:vAlign w:val="center"/>
          </w:tcPr>
          <w:p w14:paraId="6DEBD2A7"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14:paraId="5C217548" w14:textId="77777777" w:rsidTr="00C451D4">
        <w:trPr>
          <w:trHeight w:val="70"/>
        </w:trPr>
        <w:tc>
          <w:tcPr>
            <w:tcW w:w="2797" w:type="pct"/>
            <w:shd w:val="clear" w:color="auto" w:fill="F2F2F2" w:themeFill="background1" w:themeFillShade="F2"/>
            <w:vAlign w:val="center"/>
          </w:tcPr>
          <w:p w14:paraId="3128C2CD" w14:textId="77777777" w:rsidR="00170573" w:rsidRPr="00D72B6C" w:rsidRDefault="00170573" w:rsidP="00C451D4">
            <w:pPr>
              <w:spacing w:after="0"/>
              <w:rPr>
                <w:rFonts w:cs="Calibri"/>
                <w:bCs/>
                <w:noProof/>
                <w:sz w:val="18"/>
                <w:szCs w:val="18"/>
              </w:rPr>
            </w:pPr>
            <w:r w:rsidRPr="00D72B6C">
              <w:rPr>
                <w:rFonts w:cs="Calibri"/>
                <w:bCs/>
                <w:noProof/>
                <w:sz w:val="18"/>
                <w:szCs w:val="18"/>
              </w:rPr>
              <w:t>Eurojust</w:t>
            </w:r>
          </w:p>
        </w:tc>
        <w:tc>
          <w:tcPr>
            <w:tcW w:w="2203" w:type="pct"/>
            <w:vAlign w:val="center"/>
          </w:tcPr>
          <w:p w14:paraId="03C5F3AA"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14:paraId="1143C39D" w14:textId="77777777" w:rsidTr="00C451D4">
        <w:trPr>
          <w:trHeight w:val="70"/>
        </w:trPr>
        <w:tc>
          <w:tcPr>
            <w:tcW w:w="2797" w:type="pct"/>
            <w:shd w:val="clear" w:color="auto" w:fill="F2F2F2" w:themeFill="background1" w:themeFillShade="F2"/>
            <w:vAlign w:val="center"/>
          </w:tcPr>
          <w:p w14:paraId="0A9D31A9" w14:textId="77777777" w:rsidR="00170573" w:rsidRPr="00D72B6C" w:rsidRDefault="00170573" w:rsidP="00C451D4">
            <w:pPr>
              <w:spacing w:after="0"/>
              <w:rPr>
                <w:rFonts w:cs="Calibri"/>
                <w:bCs/>
                <w:noProof/>
                <w:sz w:val="18"/>
                <w:szCs w:val="18"/>
              </w:rPr>
            </w:pPr>
            <w:r w:rsidRPr="00D72B6C">
              <w:rPr>
                <w:rFonts w:cs="Calibri"/>
                <w:bCs/>
                <w:noProof/>
                <w:sz w:val="18"/>
                <w:szCs w:val="18"/>
              </w:rPr>
              <w:t>Europol</w:t>
            </w:r>
          </w:p>
        </w:tc>
        <w:tc>
          <w:tcPr>
            <w:tcW w:w="2203" w:type="pct"/>
            <w:vAlign w:val="center"/>
          </w:tcPr>
          <w:p w14:paraId="4B86E674"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14:paraId="47D6A444" w14:textId="77777777" w:rsidTr="00C451D4">
        <w:trPr>
          <w:trHeight w:val="70"/>
        </w:trPr>
        <w:tc>
          <w:tcPr>
            <w:tcW w:w="2797" w:type="pct"/>
            <w:shd w:val="clear" w:color="auto" w:fill="F2F2F2" w:themeFill="background1" w:themeFillShade="F2"/>
            <w:vAlign w:val="center"/>
          </w:tcPr>
          <w:p w14:paraId="6FB41ED8" w14:textId="77777777" w:rsidR="00170573" w:rsidRPr="00D72B6C" w:rsidRDefault="00170573" w:rsidP="00C451D4">
            <w:pPr>
              <w:spacing w:after="0"/>
              <w:rPr>
                <w:rFonts w:cs="Calibri"/>
                <w:bCs/>
                <w:noProof/>
                <w:sz w:val="18"/>
                <w:szCs w:val="18"/>
              </w:rPr>
            </w:pPr>
            <w:r w:rsidRPr="00D72B6C">
              <w:rPr>
                <w:rFonts w:cs="Calibri"/>
                <w:bCs/>
                <w:noProof/>
                <w:sz w:val="18"/>
                <w:szCs w:val="18"/>
              </w:rPr>
              <w:t xml:space="preserve">FRA </w:t>
            </w:r>
          </w:p>
        </w:tc>
        <w:tc>
          <w:tcPr>
            <w:tcW w:w="2203" w:type="pct"/>
            <w:vAlign w:val="center"/>
          </w:tcPr>
          <w:p w14:paraId="6C10493D"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bl>
    <w:p w14:paraId="1068AF54"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1B1AEF34" w14:textId="77777777" w:rsidR="00170573" w:rsidRPr="00A84FC7" w:rsidRDefault="00170573" w:rsidP="00170573">
      <w:pPr>
        <w:rPr>
          <w:rFonts w:ascii="Times New Roman" w:hAnsi="Times New Roman" w:cs="Times New Roman"/>
          <w:b/>
          <w:noProof/>
          <w:sz w:val="24"/>
        </w:rPr>
      </w:pPr>
      <w:r w:rsidRPr="00A84FC7">
        <w:rPr>
          <w:rFonts w:ascii="Times New Roman" w:hAnsi="Times New Roman" w:cs="Times New Roman"/>
          <w:b/>
          <w:noProof/>
          <w:sz w:val="24"/>
        </w:rPr>
        <w:t>Academia and Think Tanks</w:t>
      </w:r>
    </w:p>
    <w:p w14:paraId="73574E84" w14:textId="77777777" w:rsidR="00170573" w:rsidRPr="00245FF0" w:rsidRDefault="00170573" w:rsidP="00170573">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the number of stakeholders consulted from academia and think tanks</w:t>
      </w:r>
    </w:p>
    <w:tbl>
      <w:tblPr>
        <w:tblStyle w:val="TableGrid"/>
        <w:tblW w:w="0" w:type="auto"/>
        <w:tblLook w:val="04A0" w:firstRow="1" w:lastRow="0" w:firstColumn="1" w:lastColumn="0" w:noHBand="0" w:noVBand="1"/>
      </w:tblPr>
      <w:tblGrid>
        <w:gridCol w:w="5382"/>
        <w:gridCol w:w="4238"/>
      </w:tblGrid>
      <w:tr w:rsidR="00170573" w14:paraId="49995ACE" w14:textId="77777777" w:rsidTr="00C451D4">
        <w:tc>
          <w:tcPr>
            <w:tcW w:w="5382" w:type="dxa"/>
            <w:shd w:val="clear" w:color="auto" w:fill="00B0F0"/>
          </w:tcPr>
          <w:p w14:paraId="776C19BB" w14:textId="77777777" w:rsidR="00170573" w:rsidRPr="00D72B6C" w:rsidRDefault="00170573" w:rsidP="00C451D4">
            <w:pPr>
              <w:spacing w:after="0"/>
              <w:rPr>
                <w:rFonts w:cs="Calibri"/>
                <w:noProof/>
                <w:sz w:val="18"/>
                <w:szCs w:val="18"/>
              </w:rPr>
            </w:pPr>
            <w:r w:rsidRPr="00D72B6C">
              <w:rPr>
                <w:rFonts w:cs="Calibri"/>
                <w:noProof/>
                <w:sz w:val="18"/>
                <w:szCs w:val="18"/>
              </w:rPr>
              <w:t>Institution</w:t>
            </w:r>
          </w:p>
        </w:tc>
        <w:tc>
          <w:tcPr>
            <w:tcW w:w="4238" w:type="dxa"/>
            <w:shd w:val="clear" w:color="auto" w:fill="00B0F0"/>
          </w:tcPr>
          <w:p w14:paraId="09241DD6" w14:textId="77777777" w:rsidR="00170573" w:rsidRPr="00D72B6C" w:rsidRDefault="00170573" w:rsidP="00C451D4">
            <w:pPr>
              <w:spacing w:after="0"/>
              <w:jc w:val="center"/>
              <w:rPr>
                <w:rFonts w:cs="Calibri"/>
                <w:noProof/>
                <w:sz w:val="18"/>
                <w:szCs w:val="18"/>
              </w:rPr>
            </w:pPr>
            <w:r w:rsidRPr="00D72B6C">
              <w:rPr>
                <w:rFonts w:cs="Calibri"/>
                <w:noProof/>
                <w:sz w:val="18"/>
                <w:szCs w:val="18"/>
              </w:rPr>
              <w:t>N° of Interviewees</w:t>
            </w:r>
          </w:p>
        </w:tc>
      </w:tr>
      <w:tr w:rsidR="00170573" w14:paraId="4D8424C2" w14:textId="77777777" w:rsidTr="00C451D4">
        <w:tc>
          <w:tcPr>
            <w:tcW w:w="5382" w:type="dxa"/>
            <w:shd w:val="clear" w:color="auto" w:fill="F2F2F2" w:themeFill="background1" w:themeFillShade="F2"/>
            <w:vAlign w:val="center"/>
          </w:tcPr>
          <w:p w14:paraId="1B3D764B" w14:textId="77777777" w:rsidR="00170573" w:rsidRPr="00D72B6C" w:rsidRDefault="00170573" w:rsidP="00C451D4">
            <w:pPr>
              <w:spacing w:after="0"/>
              <w:rPr>
                <w:rFonts w:cs="Calibri"/>
                <w:bCs/>
                <w:noProof/>
                <w:sz w:val="18"/>
                <w:szCs w:val="18"/>
              </w:rPr>
            </w:pPr>
            <w:r w:rsidRPr="00D72B6C">
              <w:rPr>
                <w:rFonts w:cs="Calibri"/>
                <w:bCs/>
                <w:noProof/>
                <w:sz w:val="18"/>
                <w:szCs w:val="18"/>
              </w:rPr>
              <w:t>Leiden University</w:t>
            </w:r>
          </w:p>
        </w:tc>
        <w:tc>
          <w:tcPr>
            <w:tcW w:w="4238" w:type="dxa"/>
          </w:tcPr>
          <w:p w14:paraId="1FEFCC7A" w14:textId="77777777" w:rsidR="00170573" w:rsidRPr="00D72B6C" w:rsidRDefault="00170573" w:rsidP="00C451D4">
            <w:pPr>
              <w:spacing w:after="0"/>
              <w:jc w:val="center"/>
              <w:rPr>
                <w:rFonts w:cs="Calibri"/>
                <w:bCs/>
                <w:noProof/>
                <w:sz w:val="18"/>
                <w:szCs w:val="18"/>
              </w:rPr>
            </w:pPr>
            <w:r w:rsidRPr="00D72B6C">
              <w:rPr>
                <w:rFonts w:cs="Calibri"/>
                <w:bCs/>
                <w:noProof/>
                <w:sz w:val="18"/>
                <w:szCs w:val="18"/>
              </w:rPr>
              <w:t>1</w:t>
            </w:r>
          </w:p>
        </w:tc>
      </w:tr>
      <w:tr w:rsidR="00170573" w14:paraId="740F45A9" w14:textId="77777777" w:rsidTr="00C451D4">
        <w:tc>
          <w:tcPr>
            <w:tcW w:w="5382" w:type="dxa"/>
            <w:shd w:val="clear" w:color="auto" w:fill="F2F2F2" w:themeFill="background1" w:themeFillShade="F2"/>
            <w:vAlign w:val="center"/>
          </w:tcPr>
          <w:p w14:paraId="61830868" w14:textId="77777777" w:rsidR="00170573" w:rsidRPr="00D72B6C" w:rsidRDefault="00170573" w:rsidP="00C451D4">
            <w:pPr>
              <w:spacing w:after="0"/>
              <w:rPr>
                <w:rFonts w:cs="Calibri"/>
                <w:bCs/>
                <w:noProof/>
                <w:sz w:val="18"/>
                <w:szCs w:val="18"/>
              </w:rPr>
            </w:pPr>
            <w:r w:rsidRPr="00D72B6C">
              <w:rPr>
                <w:rFonts w:cs="Calibri"/>
                <w:bCs/>
                <w:noProof/>
                <w:sz w:val="18"/>
                <w:szCs w:val="18"/>
              </w:rPr>
              <w:t>Queen Mary University of London</w:t>
            </w:r>
          </w:p>
        </w:tc>
        <w:tc>
          <w:tcPr>
            <w:tcW w:w="4238" w:type="dxa"/>
          </w:tcPr>
          <w:p w14:paraId="7AE66721" w14:textId="77777777" w:rsidR="00170573" w:rsidRPr="00D72B6C" w:rsidRDefault="00170573" w:rsidP="00C451D4">
            <w:pPr>
              <w:spacing w:after="0"/>
              <w:jc w:val="center"/>
              <w:rPr>
                <w:rFonts w:cs="Calibri"/>
                <w:bCs/>
                <w:noProof/>
                <w:sz w:val="18"/>
                <w:szCs w:val="18"/>
              </w:rPr>
            </w:pPr>
            <w:r w:rsidRPr="00D72B6C">
              <w:rPr>
                <w:rFonts w:cs="Calibri"/>
                <w:bCs/>
                <w:noProof/>
                <w:sz w:val="18"/>
                <w:szCs w:val="18"/>
              </w:rPr>
              <w:t>1</w:t>
            </w:r>
          </w:p>
        </w:tc>
      </w:tr>
      <w:tr w:rsidR="00170573" w14:paraId="195A3FA7" w14:textId="77777777" w:rsidTr="00C451D4">
        <w:tc>
          <w:tcPr>
            <w:tcW w:w="5382" w:type="dxa"/>
            <w:shd w:val="clear" w:color="auto" w:fill="F2F2F2" w:themeFill="background1" w:themeFillShade="F2"/>
            <w:vAlign w:val="center"/>
          </w:tcPr>
          <w:p w14:paraId="08F05B29" w14:textId="77777777" w:rsidR="00170573" w:rsidRPr="00D72B6C" w:rsidRDefault="00170573" w:rsidP="00C451D4">
            <w:pPr>
              <w:spacing w:after="0"/>
              <w:rPr>
                <w:rFonts w:cs="Calibri"/>
                <w:bCs/>
                <w:noProof/>
                <w:sz w:val="18"/>
                <w:szCs w:val="18"/>
              </w:rPr>
            </w:pPr>
            <w:r w:rsidRPr="00D72B6C">
              <w:rPr>
                <w:rFonts w:cs="Calibri"/>
                <w:bCs/>
                <w:noProof/>
                <w:sz w:val="18"/>
                <w:szCs w:val="18"/>
              </w:rPr>
              <w:t>Tilburg University</w:t>
            </w:r>
          </w:p>
        </w:tc>
        <w:tc>
          <w:tcPr>
            <w:tcW w:w="4238" w:type="dxa"/>
          </w:tcPr>
          <w:p w14:paraId="07E5E3A1" w14:textId="77777777" w:rsidR="00170573" w:rsidRPr="00D72B6C" w:rsidRDefault="00170573" w:rsidP="00C451D4">
            <w:pPr>
              <w:spacing w:after="0"/>
              <w:jc w:val="center"/>
              <w:rPr>
                <w:rFonts w:cs="Calibri"/>
                <w:bCs/>
                <w:noProof/>
                <w:sz w:val="18"/>
                <w:szCs w:val="18"/>
              </w:rPr>
            </w:pPr>
            <w:r w:rsidRPr="00D72B6C">
              <w:rPr>
                <w:rFonts w:cs="Calibri"/>
                <w:bCs/>
                <w:noProof/>
                <w:sz w:val="18"/>
                <w:szCs w:val="18"/>
              </w:rPr>
              <w:t>1</w:t>
            </w:r>
          </w:p>
        </w:tc>
      </w:tr>
      <w:tr w:rsidR="00170573" w14:paraId="4B135BCE" w14:textId="77777777" w:rsidTr="00C451D4">
        <w:tc>
          <w:tcPr>
            <w:tcW w:w="5382" w:type="dxa"/>
            <w:shd w:val="clear" w:color="auto" w:fill="F2F2F2" w:themeFill="background1" w:themeFillShade="F2"/>
            <w:vAlign w:val="center"/>
          </w:tcPr>
          <w:p w14:paraId="3648AAEE" w14:textId="77777777" w:rsidR="00170573" w:rsidRPr="00FF7D98" w:rsidRDefault="00170573" w:rsidP="00C451D4">
            <w:pPr>
              <w:spacing w:after="0"/>
              <w:rPr>
                <w:rFonts w:cs="Calibri"/>
                <w:bCs/>
                <w:noProof/>
                <w:sz w:val="18"/>
                <w:szCs w:val="18"/>
                <w:lang w:val="it-IT"/>
              </w:rPr>
            </w:pPr>
            <w:r w:rsidRPr="00FF7D98">
              <w:rPr>
                <w:rFonts w:cs="Calibri"/>
                <w:bCs/>
                <w:noProof/>
                <w:sz w:val="18"/>
                <w:szCs w:val="18"/>
                <w:lang w:val="it-IT"/>
              </w:rPr>
              <w:t>Transcrime (Università Cattolica of Milan)</w:t>
            </w:r>
          </w:p>
        </w:tc>
        <w:tc>
          <w:tcPr>
            <w:tcW w:w="4238" w:type="dxa"/>
          </w:tcPr>
          <w:p w14:paraId="1CD24E52" w14:textId="77777777" w:rsidR="00170573" w:rsidRPr="00D72B6C" w:rsidRDefault="00170573" w:rsidP="00C451D4">
            <w:pPr>
              <w:spacing w:after="0"/>
              <w:jc w:val="center"/>
              <w:rPr>
                <w:rFonts w:cs="Calibri"/>
                <w:bCs/>
                <w:noProof/>
                <w:sz w:val="18"/>
                <w:szCs w:val="18"/>
              </w:rPr>
            </w:pPr>
            <w:r w:rsidRPr="00D72B6C">
              <w:rPr>
                <w:rFonts w:cs="Calibri"/>
                <w:bCs/>
                <w:noProof/>
                <w:sz w:val="18"/>
                <w:szCs w:val="18"/>
              </w:rPr>
              <w:t>1</w:t>
            </w:r>
          </w:p>
        </w:tc>
      </w:tr>
    </w:tbl>
    <w:p w14:paraId="40B5DAA2"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1B9148CD" w14:textId="77777777" w:rsidR="00170573" w:rsidRPr="00237337" w:rsidRDefault="00170573" w:rsidP="00170573">
      <w:pPr>
        <w:rPr>
          <w:rFonts w:ascii="Times New Roman" w:hAnsi="Times New Roman" w:cs="Times New Roman"/>
          <w:b/>
          <w:noProof/>
          <w:sz w:val="24"/>
          <w:szCs w:val="24"/>
        </w:rPr>
      </w:pPr>
      <w:r w:rsidRPr="00237337">
        <w:rPr>
          <w:rFonts w:ascii="Times New Roman" w:hAnsi="Times New Roman" w:cs="Times New Roman"/>
          <w:b/>
          <w:noProof/>
          <w:sz w:val="24"/>
          <w:szCs w:val="24"/>
        </w:rPr>
        <w:t>EMPACT Drivers</w:t>
      </w:r>
    </w:p>
    <w:p w14:paraId="2FA2B30C" w14:textId="77777777" w:rsidR="00170573" w:rsidRPr="00245FF0" w:rsidRDefault="00170573" w:rsidP="00170573">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the number of stakeholders consulted from EMPACT Drivers</w:t>
      </w:r>
    </w:p>
    <w:tbl>
      <w:tblPr>
        <w:tblStyle w:val="TableGrid"/>
        <w:tblW w:w="0" w:type="auto"/>
        <w:tblLook w:val="04A0" w:firstRow="1" w:lastRow="0" w:firstColumn="1" w:lastColumn="0" w:noHBand="0" w:noVBand="1"/>
      </w:tblPr>
      <w:tblGrid>
        <w:gridCol w:w="2263"/>
        <w:gridCol w:w="4678"/>
        <w:gridCol w:w="2679"/>
      </w:tblGrid>
      <w:tr w:rsidR="00170573" w:rsidRPr="00B14208" w14:paraId="6C32FF37" w14:textId="77777777" w:rsidTr="00C451D4">
        <w:tc>
          <w:tcPr>
            <w:tcW w:w="2263" w:type="dxa"/>
            <w:shd w:val="clear" w:color="auto" w:fill="00B0F0"/>
          </w:tcPr>
          <w:p w14:paraId="0FBB8D48" w14:textId="77777777" w:rsidR="00170573" w:rsidRPr="00D72B6C" w:rsidRDefault="00170573" w:rsidP="00C451D4">
            <w:pPr>
              <w:spacing w:after="0"/>
              <w:rPr>
                <w:rFonts w:cs="Calibri"/>
                <w:noProof/>
                <w:sz w:val="18"/>
                <w:szCs w:val="18"/>
              </w:rPr>
            </w:pPr>
            <w:r w:rsidRPr="00D72B6C">
              <w:rPr>
                <w:rFonts w:cs="Calibri"/>
                <w:noProof/>
                <w:sz w:val="18"/>
                <w:szCs w:val="18"/>
              </w:rPr>
              <w:t>Member State</w:t>
            </w:r>
          </w:p>
        </w:tc>
        <w:tc>
          <w:tcPr>
            <w:tcW w:w="4678" w:type="dxa"/>
            <w:shd w:val="clear" w:color="auto" w:fill="00B0F0"/>
          </w:tcPr>
          <w:p w14:paraId="2927C64B" w14:textId="77777777" w:rsidR="00170573" w:rsidRPr="00D72B6C" w:rsidRDefault="00170573" w:rsidP="00C451D4">
            <w:pPr>
              <w:spacing w:after="0"/>
              <w:rPr>
                <w:rFonts w:cs="Calibri"/>
                <w:noProof/>
                <w:sz w:val="18"/>
                <w:szCs w:val="18"/>
              </w:rPr>
            </w:pPr>
            <w:r w:rsidRPr="00D72B6C">
              <w:rPr>
                <w:rFonts w:cs="Calibri"/>
                <w:noProof/>
                <w:sz w:val="18"/>
                <w:szCs w:val="18"/>
              </w:rPr>
              <w:t>Priority</w:t>
            </w:r>
          </w:p>
        </w:tc>
        <w:tc>
          <w:tcPr>
            <w:tcW w:w="2679" w:type="dxa"/>
            <w:shd w:val="clear" w:color="auto" w:fill="00B0F0"/>
          </w:tcPr>
          <w:p w14:paraId="75EEFB7E" w14:textId="77777777" w:rsidR="00170573" w:rsidRPr="00D72B6C" w:rsidRDefault="00170573" w:rsidP="00C451D4">
            <w:pPr>
              <w:spacing w:after="0"/>
              <w:jc w:val="center"/>
              <w:rPr>
                <w:rFonts w:cs="Calibri"/>
                <w:noProof/>
                <w:sz w:val="18"/>
                <w:szCs w:val="18"/>
              </w:rPr>
            </w:pPr>
            <w:r w:rsidRPr="00D72B6C">
              <w:rPr>
                <w:rFonts w:cs="Calibri"/>
                <w:noProof/>
                <w:sz w:val="18"/>
                <w:szCs w:val="18"/>
              </w:rPr>
              <w:t>N° of Interviewees</w:t>
            </w:r>
          </w:p>
        </w:tc>
      </w:tr>
      <w:tr w:rsidR="00170573" w:rsidRPr="00B14208" w14:paraId="60144896" w14:textId="77777777" w:rsidTr="00C451D4">
        <w:tc>
          <w:tcPr>
            <w:tcW w:w="2263" w:type="dxa"/>
            <w:shd w:val="clear" w:color="auto" w:fill="F2F2F2" w:themeFill="background1" w:themeFillShade="F2"/>
            <w:vAlign w:val="center"/>
          </w:tcPr>
          <w:p w14:paraId="7B75D74A" w14:textId="77777777" w:rsidR="00170573" w:rsidRPr="00D72B6C" w:rsidRDefault="00170573" w:rsidP="00C451D4">
            <w:pPr>
              <w:spacing w:after="0"/>
              <w:rPr>
                <w:rFonts w:cs="Calibri"/>
                <w:bCs/>
                <w:noProof/>
                <w:sz w:val="18"/>
                <w:szCs w:val="18"/>
              </w:rPr>
            </w:pPr>
            <w:r w:rsidRPr="00D72B6C">
              <w:rPr>
                <w:rFonts w:cs="Calibri"/>
                <w:bCs/>
                <w:noProof/>
                <w:sz w:val="18"/>
                <w:szCs w:val="18"/>
              </w:rPr>
              <w:t>Belgium</w:t>
            </w:r>
          </w:p>
        </w:tc>
        <w:tc>
          <w:tcPr>
            <w:tcW w:w="4678" w:type="dxa"/>
            <w:vAlign w:val="center"/>
          </w:tcPr>
          <w:p w14:paraId="72D12AE4" w14:textId="77777777" w:rsidR="00170573" w:rsidRPr="00D72B6C" w:rsidRDefault="00170573" w:rsidP="00C451D4">
            <w:pPr>
              <w:spacing w:after="0"/>
              <w:rPr>
                <w:rFonts w:cs="Calibri"/>
                <w:b/>
                <w:bCs/>
                <w:noProof/>
                <w:sz w:val="18"/>
                <w:szCs w:val="18"/>
              </w:rPr>
            </w:pPr>
            <w:r w:rsidRPr="00D72B6C">
              <w:rPr>
                <w:rFonts w:cs="Calibri"/>
                <w:b/>
                <w:bCs/>
                <w:noProof/>
                <w:sz w:val="18"/>
                <w:szCs w:val="18"/>
              </w:rPr>
              <w:t>Cybercrime</w:t>
            </w:r>
          </w:p>
        </w:tc>
        <w:tc>
          <w:tcPr>
            <w:tcW w:w="2679" w:type="dxa"/>
          </w:tcPr>
          <w:p w14:paraId="5D675427"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rsidRPr="00B14208" w14:paraId="0F9FD7D8" w14:textId="77777777" w:rsidTr="00C451D4">
        <w:tc>
          <w:tcPr>
            <w:tcW w:w="2263" w:type="dxa"/>
            <w:shd w:val="clear" w:color="auto" w:fill="F2F2F2" w:themeFill="background1" w:themeFillShade="F2"/>
            <w:vAlign w:val="center"/>
          </w:tcPr>
          <w:p w14:paraId="05319C54" w14:textId="77777777" w:rsidR="00170573" w:rsidRPr="00D72B6C" w:rsidRDefault="00170573" w:rsidP="00C451D4">
            <w:pPr>
              <w:spacing w:after="0"/>
              <w:rPr>
                <w:rFonts w:cs="Calibri"/>
                <w:bCs/>
                <w:noProof/>
                <w:sz w:val="18"/>
                <w:szCs w:val="18"/>
              </w:rPr>
            </w:pPr>
            <w:r w:rsidRPr="00D72B6C">
              <w:rPr>
                <w:rFonts w:cs="Calibri"/>
                <w:bCs/>
                <w:noProof/>
                <w:sz w:val="18"/>
                <w:szCs w:val="18"/>
              </w:rPr>
              <w:t>France</w:t>
            </w:r>
          </w:p>
        </w:tc>
        <w:tc>
          <w:tcPr>
            <w:tcW w:w="4678" w:type="dxa"/>
            <w:vAlign w:val="center"/>
          </w:tcPr>
          <w:p w14:paraId="5B470354" w14:textId="77777777" w:rsidR="00170573" w:rsidRPr="00D72B6C" w:rsidRDefault="00170573" w:rsidP="00C451D4">
            <w:pPr>
              <w:spacing w:after="0"/>
              <w:rPr>
                <w:rFonts w:cs="Calibri"/>
                <w:b/>
                <w:bCs/>
                <w:noProof/>
                <w:sz w:val="18"/>
                <w:szCs w:val="18"/>
              </w:rPr>
            </w:pPr>
            <w:r w:rsidRPr="00D72B6C">
              <w:rPr>
                <w:rFonts w:cs="Calibri"/>
                <w:b/>
                <w:bCs/>
                <w:noProof/>
                <w:sz w:val="18"/>
                <w:szCs w:val="18"/>
              </w:rPr>
              <w:t>Horizonal Expert Group on Document fraud</w:t>
            </w:r>
          </w:p>
        </w:tc>
        <w:tc>
          <w:tcPr>
            <w:tcW w:w="2679" w:type="dxa"/>
          </w:tcPr>
          <w:p w14:paraId="4E578BED"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rsidRPr="00B14208" w14:paraId="0703208D" w14:textId="77777777" w:rsidTr="00C451D4">
        <w:tc>
          <w:tcPr>
            <w:tcW w:w="2263" w:type="dxa"/>
            <w:shd w:val="clear" w:color="auto" w:fill="F2F2F2" w:themeFill="background1" w:themeFillShade="F2"/>
            <w:vAlign w:val="center"/>
          </w:tcPr>
          <w:p w14:paraId="02283DA8" w14:textId="77777777" w:rsidR="00170573" w:rsidRPr="00D72B6C" w:rsidRDefault="00170573" w:rsidP="00C451D4">
            <w:pPr>
              <w:spacing w:after="0"/>
              <w:rPr>
                <w:rFonts w:cs="Calibri"/>
                <w:bCs/>
                <w:noProof/>
                <w:sz w:val="18"/>
                <w:szCs w:val="18"/>
              </w:rPr>
            </w:pPr>
            <w:r w:rsidRPr="00D72B6C">
              <w:rPr>
                <w:rFonts w:cs="Calibri"/>
                <w:bCs/>
                <w:noProof/>
                <w:sz w:val="18"/>
                <w:szCs w:val="18"/>
              </w:rPr>
              <w:t>France</w:t>
            </w:r>
          </w:p>
        </w:tc>
        <w:tc>
          <w:tcPr>
            <w:tcW w:w="4678" w:type="dxa"/>
            <w:vAlign w:val="center"/>
          </w:tcPr>
          <w:p w14:paraId="5CD214BF" w14:textId="77777777" w:rsidR="00170573" w:rsidRPr="00D72B6C" w:rsidRDefault="00170573" w:rsidP="00C451D4">
            <w:pPr>
              <w:spacing w:after="0"/>
              <w:rPr>
                <w:rFonts w:cs="Calibri"/>
                <w:b/>
                <w:bCs/>
                <w:noProof/>
                <w:sz w:val="18"/>
                <w:szCs w:val="18"/>
              </w:rPr>
            </w:pPr>
            <w:r w:rsidRPr="00D72B6C">
              <w:rPr>
                <w:rFonts w:cs="Calibri"/>
                <w:b/>
                <w:bCs/>
                <w:noProof/>
                <w:sz w:val="18"/>
                <w:szCs w:val="18"/>
              </w:rPr>
              <w:t>Organised Property Crime (OPC)</w:t>
            </w:r>
          </w:p>
        </w:tc>
        <w:tc>
          <w:tcPr>
            <w:tcW w:w="2679" w:type="dxa"/>
          </w:tcPr>
          <w:p w14:paraId="0272BE82"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rsidRPr="00B14208" w14:paraId="2E4CFE93" w14:textId="77777777" w:rsidTr="00C451D4">
        <w:tc>
          <w:tcPr>
            <w:tcW w:w="2263" w:type="dxa"/>
            <w:shd w:val="clear" w:color="auto" w:fill="F2F2F2" w:themeFill="background1" w:themeFillShade="F2"/>
            <w:vAlign w:val="center"/>
          </w:tcPr>
          <w:p w14:paraId="1E0471DB" w14:textId="77777777" w:rsidR="00170573" w:rsidRPr="00D72B6C" w:rsidRDefault="00170573" w:rsidP="00C451D4">
            <w:pPr>
              <w:spacing w:after="0"/>
              <w:rPr>
                <w:rFonts w:cs="Calibri"/>
                <w:bCs/>
                <w:noProof/>
                <w:sz w:val="18"/>
                <w:szCs w:val="18"/>
              </w:rPr>
            </w:pPr>
            <w:r w:rsidRPr="00D72B6C">
              <w:rPr>
                <w:rFonts w:cs="Calibri"/>
                <w:bCs/>
                <w:noProof/>
                <w:sz w:val="18"/>
                <w:szCs w:val="18"/>
              </w:rPr>
              <w:t>Greece</w:t>
            </w:r>
          </w:p>
        </w:tc>
        <w:tc>
          <w:tcPr>
            <w:tcW w:w="4678" w:type="dxa"/>
            <w:vAlign w:val="center"/>
          </w:tcPr>
          <w:p w14:paraId="2B90A49C" w14:textId="77777777" w:rsidR="00170573" w:rsidRPr="00D72B6C" w:rsidRDefault="00170573" w:rsidP="00C451D4">
            <w:pPr>
              <w:spacing w:after="0"/>
              <w:rPr>
                <w:rFonts w:cs="Calibri"/>
                <w:b/>
                <w:bCs/>
                <w:noProof/>
                <w:sz w:val="18"/>
                <w:szCs w:val="18"/>
              </w:rPr>
            </w:pPr>
            <w:r w:rsidRPr="00D72B6C">
              <w:rPr>
                <w:rFonts w:cs="Calibri"/>
                <w:b/>
                <w:bCs/>
                <w:noProof/>
                <w:sz w:val="18"/>
                <w:szCs w:val="18"/>
              </w:rPr>
              <w:t>Facilitating Illegal immigration</w:t>
            </w:r>
          </w:p>
        </w:tc>
        <w:tc>
          <w:tcPr>
            <w:tcW w:w="2679" w:type="dxa"/>
          </w:tcPr>
          <w:p w14:paraId="6707B8E4"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rsidRPr="00B14208" w14:paraId="4263C9AC" w14:textId="77777777" w:rsidTr="00C451D4">
        <w:tc>
          <w:tcPr>
            <w:tcW w:w="2263" w:type="dxa"/>
            <w:shd w:val="clear" w:color="auto" w:fill="F2F2F2" w:themeFill="background1" w:themeFillShade="F2"/>
            <w:vAlign w:val="center"/>
          </w:tcPr>
          <w:p w14:paraId="5ACF133C" w14:textId="77777777" w:rsidR="00170573" w:rsidRPr="00D72B6C" w:rsidRDefault="00170573" w:rsidP="00C451D4">
            <w:pPr>
              <w:spacing w:after="0"/>
              <w:rPr>
                <w:rFonts w:cs="Calibri"/>
                <w:bCs/>
                <w:noProof/>
                <w:sz w:val="18"/>
                <w:szCs w:val="18"/>
              </w:rPr>
            </w:pPr>
            <w:r w:rsidRPr="00D72B6C">
              <w:rPr>
                <w:rFonts w:cs="Calibri"/>
                <w:bCs/>
                <w:noProof/>
                <w:sz w:val="18"/>
                <w:szCs w:val="18"/>
              </w:rPr>
              <w:t>Italy</w:t>
            </w:r>
          </w:p>
        </w:tc>
        <w:tc>
          <w:tcPr>
            <w:tcW w:w="4678" w:type="dxa"/>
            <w:vAlign w:val="center"/>
          </w:tcPr>
          <w:p w14:paraId="5521C9B9" w14:textId="77777777" w:rsidR="00170573" w:rsidRPr="00D72B6C" w:rsidRDefault="00170573" w:rsidP="00C451D4">
            <w:pPr>
              <w:spacing w:after="0"/>
              <w:rPr>
                <w:rFonts w:cs="Calibri"/>
                <w:b/>
                <w:bCs/>
                <w:noProof/>
                <w:sz w:val="18"/>
                <w:szCs w:val="18"/>
              </w:rPr>
            </w:pPr>
            <w:r w:rsidRPr="00D72B6C">
              <w:rPr>
                <w:rFonts w:cs="Calibri"/>
                <w:b/>
                <w:bCs/>
                <w:noProof/>
                <w:sz w:val="18"/>
                <w:szCs w:val="18"/>
              </w:rPr>
              <w:t>MTIC fraud</w:t>
            </w:r>
          </w:p>
        </w:tc>
        <w:tc>
          <w:tcPr>
            <w:tcW w:w="2679" w:type="dxa"/>
          </w:tcPr>
          <w:p w14:paraId="0C44B1C0"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rsidRPr="00B14208" w14:paraId="7DB12D2B" w14:textId="77777777" w:rsidTr="00C451D4">
        <w:tc>
          <w:tcPr>
            <w:tcW w:w="2263" w:type="dxa"/>
            <w:shd w:val="clear" w:color="auto" w:fill="F2F2F2" w:themeFill="background1" w:themeFillShade="F2"/>
            <w:vAlign w:val="center"/>
          </w:tcPr>
          <w:p w14:paraId="093CAACC" w14:textId="77777777" w:rsidR="00170573" w:rsidRPr="00D72B6C" w:rsidRDefault="00170573" w:rsidP="00C451D4">
            <w:pPr>
              <w:spacing w:after="0"/>
              <w:rPr>
                <w:rFonts w:cs="Calibri"/>
                <w:bCs/>
                <w:noProof/>
                <w:sz w:val="18"/>
                <w:szCs w:val="18"/>
              </w:rPr>
            </w:pPr>
            <w:r w:rsidRPr="00D72B6C">
              <w:rPr>
                <w:rFonts w:cs="Calibri"/>
                <w:bCs/>
                <w:noProof/>
                <w:sz w:val="18"/>
                <w:szCs w:val="18"/>
              </w:rPr>
              <w:t>Lithuania</w:t>
            </w:r>
          </w:p>
        </w:tc>
        <w:tc>
          <w:tcPr>
            <w:tcW w:w="4678" w:type="dxa"/>
            <w:vAlign w:val="center"/>
          </w:tcPr>
          <w:p w14:paraId="77710961" w14:textId="77777777" w:rsidR="00170573" w:rsidRPr="00D72B6C" w:rsidRDefault="00170573" w:rsidP="00C451D4">
            <w:pPr>
              <w:spacing w:after="0"/>
              <w:rPr>
                <w:rFonts w:cs="Calibri"/>
                <w:b/>
                <w:bCs/>
                <w:noProof/>
                <w:sz w:val="18"/>
                <w:szCs w:val="18"/>
              </w:rPr>
            </w:pPr>
            <w:r w:rsidRPr="00D72B6C">
              <w:rPr>
                <w:rFonts w:cs="Calibri"/>
                <w:b/>
                <w:bCs/>
                <w:noProof/>
                <w:sz w:val="18"/>
                <w:szCs w:val="18"/>
              </w:rPr>
              <w:t>Excise Fraud</w:t>
            </w:r>
          </w:p>
        </w:tc>
        <w:tc>
          <w:tcPr>
            <w:tcW w:w="2679" w:type="dxa"/>
          </w:tcPr>
          <w:p w14:paraId="4681D40F"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rsidRPr="00B14208" w14:paraId="18B52C1F" w14:textId="77777777" w:rsidTr="00C451D4">
        <w:tc>
          <w:tcPr>
            <w:tcW w:w="2263" w:type="dxa"/>
            <w:shd w:val="clear" w:color="auto" w:fill="F2F2F2" w:themeFill="background1" w:themeFillShade="F2"/>
            <w:vAlign w:val="center"/>
          </w:tcPr>
          <w:p w14:paraId="111ED624" w14:textId="77777777" w:rsidR="00170573" w:rsidRPr="00D72B6C" w:rsidRDefault="00170573" w:rsidP="00C451D4">
            <w:pPr>
              <w:spacing w:after="0"/>
              <w:rPr>
                <w:rFonts w:cs="Calibri"/>
                <w:bCs/>
                <w:noProof/>
                <w:sz w:val="18"/>
                <w:szCs w:val="18"/>
              </w:rPr>
            </w:pPr>
            <w:r w:rsidRPr="00D72B6C">
              <w:rPr>
                <w:rFonts w:cs="Calibri"/>
                <w:bCs/>
                <w:noProof/>
                <w:sz w:val="18"/>
                <w:szCs w:val="18"/>
              </w:rPr>
              <w:t>Spain</w:t>
            </w:r>
          </w:p>
        </w:tc>
        <w:tc>
          <w:tcPr>
            <w:tcW w:w="4678" w:type="dxa"/>
            <w:vAlign w:val="center"/>
          </w:tcPr>
          <w:p w14:paraId="6709DEF2" w14:textId="77777777" w:rsidR="00170573" w:rsidRPr="00D72B6C" w:rsidRDefault="00170573" w:rsidP="00C451D4">
            <w:pPr>
              <w:spacing w:after="0"/>
              <w:rPr>
                <w:rFonts w:cs="Calibri"/>
                <w:b/>
                <w:bCs/>
                <w:noProof/>
                <w:sz w:val="18"/>
                <w:szCs w:val="18"/>
              </w:rPr>
            </w:pPr>
            <w:r w:rsidRPr="00D72B6C">
              <w:rPr>
                <w:rFonts w:cs="Calibri"/>
                <w:b/>
                <w:bCs/>
                <w:noProof/>
                <w:sz w:val="18"/>
                <w:szCs w:val="18"/>
              </w:rPr>
              <w:t>Firearms</w:t>
            </w:r>
          </w:p>
        </w:tc>
        <w:tc>
          <w:tcPr>
            <w:tcW w:w="2679" w:type="dxa"/>
          </w:tcPr>
          <w:p w14:paraId="00BAC8C7"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r w:rsidR="00170573" w:rsidRPr="00B14208" w14:paraId="52333B6F" w14:textId="77777777" w:rsidTr="00C451D4">
        <w:tc>
          <w:tcPr>
            <w:tcW w:w="2263" w:type="dxa"/>
            <w:shd w:val="clear" w:color="auto" w:fill="F2F2F2" w:themeFill="background1" w:themeFillShade="F2"/>
            <w:vAlign w:val="center"/>
          </w:tcPr>
          <w:p w14:paraId="796A7315" w14:textId="77777777" w:rsidR="00170573" w:rsidRPr="00D72B6C" w:rsidRDefault="00170573" w:rsidP="00C451D4">
            <w:pPr>
              <w:spacing w:after="0"/>
              <w:rPr>
                <w:rFonts w:cs="Calibri"/>
                <w:bCs/>
                <w:noProof/>
                <w:sz w:val="18"/>
                <w:szCs w:val="18"/>
              </w:rPr>
            </w:pPr>
            <w:r w:rsidRPr="00D72B6C">
              <w:rPr>
                <w:rFonts w:cs="Calibri"/>
                <w:bCs/>
                <w:noProof/>
                <w:sz w:val="18"/>
                <w:szCs w:val="18"/>
              </w:rPr>
              <w:t>Spain</w:t>
            </w:r>
          </w:p>
        </w:tc>
        <w:tc>
          <w:tcPr>
            <w:tcW w:w="4678" w:type="dxa"/>
            <w:vAlign w:val="center"/>
          </w:tcPr>
          <w:p w14:paraId="03CDDF76" w14:textId="77777777" w:rsidR="00170573" w:rsidRPr="00D72B6C" w:rsidRDefault="00170573" w:rsidP="00C451D4">
            <w:pPr>
              <w:spacing w:after="0"/>
              <w:rPr>
                <w:rFonts w:cs="Calibri"/>
                <w:b/>
                <w:bCs/>
                <w:noProof/>
                <w:sz w:val="18"/>
                <w:szCs w:val="18"/>
              </w:rPr>
            </w:pPr>
            <w:r w:rsidRPr="00D72B6C">
              <w:rPr>
                <w:rFonts w:cs="Calibri"/>
                <w:b/>
                <w:bCs/>
                <w:noProof/>
                <w:sz w:val="18"/>
                <w:szCs w:val="18"/>
              </w:rPr>
              <w:t>Drugs</w:t>
            </w:r>
          </w:p>
        </w:tc>
        <w:tc>
          <w:tcPr>
            <w:tcW w:w="2679" w:type="dxa"/>
          </w:tcPr>
          <w:p w14:paraId="0C026040" w14:textId="77777777" w:rsidR="00170573" w:rsidRPr="00D72B6C" w:rsidRDefault="00170573" w:rsidP="00C451D4">
            <w:pPr>
              <w:spacing w:after="0"/>
              <w:jc w:val="center"/>
              <w:rPr>
                <w:rFonts w:cs="Calibri"/>
                <w:noProof/>
                <w:sz w:val="18"/>
                <w:szCs w:val="18"/>
              </w:rPr>
            </w:pPr>
            <w:r w:rsidRPr="00D72B6C">
              <w:rPr>
                <w:rFonts w:cs="Calibri"/>
                <w:noProof/>
                <w:sz w:val="18"/>
                <w:szCs w:val="18"/>
              </w:rPr>
              <w:t>1</w:t>
            </w:r>
          </w:p>
        </w:tc>
      </w:tr>
    </w:tbl>
    <w:p w14:paraId="127BF668"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Source:</w:t>
      </w:r>
      <w:r>
        <w:rPr>
          <w:i/>
          <w:noProof/>
          <w:color w:val="7F7F7F" w:themeColor="text1" w:themeTint="80"/>
          <w:sz w:val="18"/>
          <w:szCs w:val="18"/>
        </w:rPr>
        <w:t xml:space="preserv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elaboration</w:t>
      </w:r>
      <w:r w:rsidRPr="00327691">
        <w:rPr>
          <w:i/>
          <w:noProof/>
          <w:color w:val="7F7F7F" w:themeColor="text1" w:themeTint="80"/>
          <w:sz w:val="18"/>
          <w:szCs w:val="18"/>
        </w:rPr>
        <w:t xml:space="preserve"> </w:t>
      </w:r>
    </w:p>
    <w:p w14:paraId="38A8A888" w14:textId="77777777" w:rsidR="00170573" w:rsidRPr="00237337" w:rsidRDefault="00170573" w:rsidP="00170573">
      <w:pPr>
        <w:rPr>
          <w:rFonts w:ascii="Times New Roman" w:hAnsi="Times New Roman" w:cs="Times New Roman"/>
          <w:b/>
          <w:noProof/>
          <w:sz w:val="24"/>
        </w:rPr>
      </w:pPr>
      <w:r w:rsidRPr="00237337">
        <w:rPr>
          <w:rFonts w:ascii="Times New Roman" w:hAnsi="Times New Roman" w:cs="Times New Roman"/>
          <w:b/>
          <w:noProof/>
          <w:sz w:val="24"/>
        </w:rPr>
        <w:t>EMPACT Support Managers</w:t>
      </w:r>
    </w:p>
    <w:p w14:paraId="39563E73" w14:textId="77777777" w:rsidR="00170573" w:rsidRPr="00245FF0" w:rsidRDefault="00170573" w:rsidP="00170573">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the number of stakeholders consulted from EMPACT Support Managers</w:t>
      </w:r>
    </w:p>
    <w:tbl>
      <w:tblPr>
        <w:tblStyle w:val="TableGrid"/>
        <w:tblW w:w="5000" w:type="pct"/>
        <w:tblLook w:val="04A0" w:firstRow="1" w:lastRow="0" w:firstColumn="1" w:lastColumn="0" w:noHBand="0" w:noVBand="1"/>
      </w:tblPr>
      <w:tblGrid>
        <w:gridCol w:w="5512"/>
        <w:gridCol w:w="4342"/>
      </w:tblGrid>
      <w:tr w:rsidR="00170573" w:rsidRPr="005453B1" w14:paraId="673EB6DA" w14:textId="77777777" w:rsidTr="00C451D4">
        <w:trPr>
          <w:tblHeader/>
        </w:trPr>
        <w:tc>
          <w:tcPr>
            <w:tcW w:w="2797" w:type="pct"/>
            <w:shd w:val="clear" w:color="auto" w:fill="00B0F0"/>
          </w:tcPr>
          <w:p w14:paraId="3CA6A1D6" w14:textId="77777777" w:rsidR="00170573" w:rsidRPr="00D72B6C" w:rsidRDefault="00170573" w:rsidP="00C451D4">
            <w:pPr>
              <w:spacing w:after="0"/>
              <w:rPr>
                <w:rFonts w:cs="Calibri"/>
                <w:noProof/>
                <w:sz w:val="18"/>
                <w:szCs w:val="18"/>
              </w:rPr>
            </w:pPr>
            <w:r w:rsidRPr="00D72B6C">
              <w:rPr>
                <w:rFonts w:cs="Calibri"/>
                <w:noProof/>
                <w:sz w:val="18"/>
                <w:szCs w:val="18"/>
              </w:rPr>
              <w:t>Priority</w:t>
            </w:r>
          </w:p>
        </w:tc>
        <w:tc>
          <w:tcPr>
            <w:tcW w:w="2203" w:type="pct"/>
            <w:shd w:val="clear" w:color="auto" w:fill="00B0F0"/>
          </w:tcPr>
          <w:p w14:paraId="5F9B6356" w14:textId="77777777" w:rsidR="00170573" w:rsidRPr="00D72B6C" w:rsidRDefault="00170573" w:rsidP="00C451D4">
            <w:pPr>
              <w:spacing w:after="0"/>
              <w:rPr>
                <w:rFonts w:cs="Calibri"/>
                <w:noProof/>
                <w:sz w:val="18"/>
                <w:szCs w:val="18"/>
              </w:rPr>
            </w:pPr>
            <w:r w:rsidRPr="00D72B6C">
              <w:rPr>
                <w:rFonts w:cs="Calibri"/>
                <w:noProof/>
                <w:sz w:val="18"/>
                <w:szCs w:val="18"/>
              </w:rPr>
              <w:t>N° of Interviewees</w:t>
            </w:r>
          </w:p>
        </w:tc>
      </w:tr>
      <w:tr w:rsidR="00170573" w:rsidRPr="005453B1" w14:paraId="3A6DBFAA" w14:textId="77777777" w:rsidTr="00C451D4">
        <w:tc>
          <w:tcPr>
            <w:tcW w:w="2797" w:type="pct"/>
            <w:shd w:val="clear" w:color="auto" w:fill="F2F2F2" w:themeFill="background1" w:themeFillShade="F2"/>
          </w:tcPr>
          <w:p w14:paraId="6BF9B683" w14:textId="77777777" w:rsidR="00170573" w:rsidRPr="00D72B6C" w:rsidRDefault="00170573" w:rsidP="00C451D4">
            <w:pPr>
              <w:spacing w:after="0"/>
              <w:rPr>
                <w:rFonts w:cs="Calibri"/>
                <w:bCs/>
                <w:noProof/>
                <w:sz w:val="18"/>
                <w:szCs w:val="18"/>
              </w:rPr>
            </w:pPr>
            <w:r w:rsidRPr="00D72B6C">
              <w:rPr>
                <w:rFonts w:cs="Calibri"/>
                <w:bCs/>
                <w:noProof/>
                <w:sz w:val="18"/>
                <w:szCs w:val="18"/>
              </w:rPr>
              <w:t>Money laundering</w:t>
            </w:r>
          </w:p>
        </w:tc>
        <w:tc>
          <w:tcPr>
            <w:tcW w:w="2203" w:type="pct"/>
          </w:tcPr>
          <w:p w14:paraId="65DBC051" w14:textId="77777777" w:rsidR="00170573" w:rsidRPr="00D72B6C" w:rsidRDefault="00170573" w:rsidP="00C451D4">
            <w:pPr>
              <w:spacing w:after="0"/>
              <w:rPr>
                <w:rFonts w:cs="Calibri"/>
                <w:bCs/>
                <w:noProof/>
                <w:sz w:val="18"/>
                <w:szCs w:val="18"/>
              </w:rPr>
            </w:pPr>
            <w:r w:rsidRPr="00D72B6C">
              <w:rPr>
                <w:rFonts w:cs="Calibri"/>
                <w:bCs/>
                <w:noProof/>
                <w:sz w:val="18"/>
                <w:szCs w:val="18"/>
              </w:rPr>
              <w:t>1</w:t>
            </w:r>
          </w:p>
        </w:tc>
      </w:tr>
      <w:tr w:rsidR="00170573" w:rsidRPr="005453B1" w14:paraId="4EC5146B" w14:textId="77777777" w:rsidTr="00C451D4">
        <w:tc>
          <w:tcPr>
            <w:tcW w:w="2797" w:type="pct"/>
            <w:shd w:val="clear" w:color="auto" w:fill="F2F2F2" w:themeFill="background1" w:themeFillShade="F2"/>
          </w:tcPr>
          <w:p w14:paraId="1F5EA73D" w14:textId="77777777" w:rsidR="00170573" w:rsidRPr="00D72B6C" w:rsidRDefault="00170573" w:rsidP="00C451D4">
            <w:pPr>
              <w:spacing w:after="0"/>
              <w:rPr>
                <w:rFonts w:cs="Calibri"/>
                <w:bCs/>
                <w:noProof/>
                <w:sz w:val="18"/>
                <w:szCs w:val="18"/>
              </w:rPr>
            </w:pPr>
            <w:r w:rsidRPr="00D72B6C">
              <w:rPr>
                <w:rFonts w:cs="Calibri"/>
                <w:bCs/>
                <w:noProof/>
                <w:sz w:val="18"/>
                <w:szCs w:val="18"/>
              </w:rPr>
              <w:t>Cybercrime - CSA/CSE</w:t>
            </w:r>
          </w:p>
        </w:tc>
        <w:tc>
          <w:tcPr>
            <w:tcW w:w="2203" w:type="pct"/>
          </w:tcPr>
          <w:p w14:paraId="0D4297C5" w14:textId="77777777" w:rsidR="00170573" w:rsidRPr="00D72B6C" w:rsidRDefault="00170573" w:rsidP="00C451D4">
            <w:pPr>
              <w:spacing w:after="0"/>
              <w:rPr>
                <w:rFonts w:cs="Calibri"/>
                <w:bCs/>
                <w:noProof/>
                <w:sz w:val="18"/>
                <w:szCs w:val="18"/>
              </w:rPr>
            </w:pPr>
            <w:r w:rsidRPr="00D72B6C">
              <w:rPr>
                <w:rFonts w:cs="Calibri"/>
                <w:bCs/>
                <w:noProof/>
                <w:sz w:val="18"/>
                <w:szCs w:val="18"/>
              </w:rPr>
              <w:t>2</w:t>
            </w:r>
          </w:p>
        </w:tc>
      </w:tr>
      <w:tr w:rsidR="00170573" w:rsidRPr="005453B1" w14:paraId="713DC8FA" w14:textId="77777777" w:rsidTr="00C451D4">
        <w:tc>
          <w:tcPr>
            <w:tcW w:w="2797" w:type="pct"/>
            <w:shd w:val="clear" w:color="auto" w:fill="F2F2F2" w:themeFill="background1" w:themeFillShade="F2"/>
          </w:tcPr>
          <w:p w14:paraId="79AD1B05" w14:textId="77777777" w:rsidR="00170573" w:rsidRPr="00D72B6C" w:rsidRDefault="00170573" w:rsidP="00C451D4">
            <w:pPr>
              <w:spacing w:after="0"/>
              <w:rPr>
                <w:rFonts w:cs="Calibri"/>
                <w:bCs/>
                <w:noProof/>
                <w:sz w:val="18"/>
                <w:szCs w:val="18"/>
              </w:rPr>
            </w:pPr>
            <w:r w:rsidRPr="00D72B6C">
              <w:rPr>
                <w:rFonts w:cs="Calibri"/>
                <w:bCs/>
                <w:noProof/>
                <w:sz w:val="18"/>
                <w:szCs w:val="18"/>
              </w:rPr>
              <w:t>Excise and MTIC fraud</w:t>
            </w:r>
          </w:p>
        </w:tc>
        <w:tc>
          <w:tcPr>
            <w:tcW w:w="2203" w:type="pct"/>
          </w:tcPr>
          <w:p w14:paraId="00F279F8" w14:textId="77777777" w:rsidR="00170573" w:rsidRPr="00D72B6C" w:rsidRDefault="00170573" w:rsidP="00C451D4">
            <w:pPr>
              <w:spacing w:after="0"/>
              <w:rPr>
                <w:rFonts w:cs="Calibri"/>
                <w:bCs/>
                <w:noProof/>
                <w:sz w:val="18"/>
                <w:szCs w:val="18"/>
              </w:rPr>
            </w:pPr>
            <w:r w:rsidRPr="00D72B6C">
              <w:rPr>
                <w:rFonts w:cs="Calibri"/>
                <w:bCs/>
                <w:noProof/>
                <w:sz w:val="18"/>
                <w:szCs w:val="18"/>
              </w:rPr>
              <w:t>3</w:t>
            </w:r>
          </w:p>
        </w:tc>
      </w:tr>
      <w:tr w:rsidR="00170573" w:rsidRPr="005453B1" w14:paraId="1ACCFA96" w14:textId="77777777" w:rsidTr="00C451D4">
        <w:tc>
          <w:tcPr>
            <w:tcW w:w="2797" w:type="pct"/>
            <w:shd w:val="clear" w:color="auto" w:fill="F2F2F2" w:themeFill="background1" w:themeFillShade="F2"/>
          </w:tcPr>
          <w:p w14:paraId="6A540D43" w14:textId="77777777" w:rsidR="00170573" w:rsidRPr="00D72B6C" w:rsidRDefault="00170573" w:rsidP="00C451D4">
            <w:pPr>
              <w:spacing w:after="0"/>
              <w:rPr>
                <w:rFonts w:cs="Calibri"/>
                <w:bCs/>
                <w:noProof/>
                <w:sz w:val="18"/>
                <w:szCs w:val="18"/>
              </w:rPr>
            </w:pPr>
            <w:r w:rsidRPr="00D72B6C">
              <w:rPr>
                <w:rFonts w:cs="Calibri"/>
                <w:bCs/>
                <w:noProof/>
                <w:sz w:val="18"/>
                <w:szCs w:val="18"/>
              </w:rPr>
              <w:t>Environmental crime</w:t>
            </w:r>
          </w:p>
        </w:tc>
        <w:tc>
          <w:tcPr>
            <w:tcW w:w="2203" w:type="pct"/>
          </w:tcPr>
          <w:p w14:paraId="358DC50B" w14:textId="77777777" w:rsidR="00170573" w:rsidRPr="00D72B6C" w:rsidRDefault="00170573" w:rsidP="00C451D4">
            <w:pPr>
              <w:spacing w:after="0"/>
              <w:rPr>
                <w:rFonts w:cs="Calibri"/>
                <w:bCs/>
                <w:noProof/>
                <w:sz w:val="18"/>
                <w:szCs w:val="18"/>
              </w:rPr>
            </w:pPr>
            <w:r w:rsidRPr="00D72B6C">
              <w:rPr>
                <w:rFonts w:cs="Calibri"/>
                <w:bCs/>
                <w:noProof/>
                <w:sz w:val="18"/>
                <w:szCs w:val="18"/>
              </w:rPr>
              <w:t>1</w:t>
            </w:r>
          </w:p>
        </w:tc>
      </w:tr>
      <w:tr w:rsidR="00170573" w:rsidRPr="005453B1" w14:paraId="262EB38F" w14:textId="77777777" w:rsidTr="00C451D4">
        <w:tc>
          <w:tcPr>
            <w:tcW w:w="2797" w:type="pct"/>
            <w:shd w:val="clear" w:color="auto" w:fill="F2F2F2" w:themeFill="background1" w:themeFillShade="F2"/>
          </w:tcPr>
          <w:p w14:paraId="44B5F9D3" w14:textId="77777777" w:rsidR="00170573" w:rsidRPr="00D72B6C" w:rsidRDefault="00170573" w:rsidP="00C451D4">
            <w:pPr>
              <w:spacing w:after="0"/>
              <w:rPr>
                <w:rFonts w:cs="Calibri"/>
                <w:bCs/>
                <w:noProof/>
                <w:sz w:val="18"/>
                <w:szCs w:val="18"/>
              </w:rPr>
            </w:pPr>
            <w:r w:rsidRPr="00D72B6C">
              <w:rPr>
                <w:rFonts w:cs="Calibri"/>
                <w:bCs/>
                <w:noProof/>
                <w:sz w:val="18"/>
                <w:szCs w:val="18"/>
              </w:rPr>
              <w:t>OPC</w:t>
            </w:r>
          </w:p>
        </w:tc>
        <w:tc>
          <w:tcPr>
            <w:tcW w:w="2203" w:type="pct"/>
          </w:tcPr>
          <w:p w14:paraId="143DE960" w14:textId="77777777" w:rsidR="00170573" w:rsidRPr="00D72B6C" w:rsidRDefault="00170573" w:rsidP="00C451D4">
            <w:pPr>
              <w:spacing w:after="0"/>
              <w:rPr>
                <w:rFonts w:cs="Calibri"/>
                <w:bCs/>
                <w:noProof/>
                <w:sz w:val="18"/>
                <w:szCs w:val="18"/>
              </w:rPr>
            </w:pPr>
            <w:r w:rsidRPr="00D72B6C">
              <w:rPr>
                <w:rFonts w:cs="Calibri"/>
                <w:bCs/>
                <w:noProof/>
                <w:sz w:val="18"/>
                <w:szCs w:val="18"/>
              </w:rPr>
              <w:t>1</w:t>
            </w:r>
          </w:p>
        </w:tc>
      </w:tr>
      <w:tr w:rsidR="00170573" w:rsidRPr="005453B1" w14:paraId="63A29F45" w14:textId="77777777" w:rsidTr="00C451D4">
        <w:tc>
          <w:tcPr>
            <w:tcW w:w="2797" w:type="pct"/>
            <w:shd w:val="clear" w:color="auto" w:fill="F2F2F2" w:themeFill="background1" w:themeFillShade="F2"/>
          </w:tcPr>
          <w:p w14:paraId="68AB4AD1" w14:textId="77777777" w:rsidR="00170573" w:rsidRPr="00A01E2B" w:rsidRDefault="00170573" w:rsidP="00C451D4">
            <w:pPr>
              <w:spacing w:after="0"/>
              <w:rPr>
                <w:rFonts w:cs="Calibri"/>
                <w:noProof/>
                <w:sz w:val="18"/>
                <w:szCs w:val="18"/>
                <w:lang w:val="fr-BE"/>
              </w:rPr>
            </w:pPr>
            <w:r w:rsidRPr="00A01E2B">
              <w:rPr>
                <w:rFonts w:cs="Calibri"/>
                <w:noProof/>
                <w:sz w:val="18"/>
                <w:szCs w:val="18"/>
                <w:lang w:val="fr-BE"/>
              </w:rPr>
              <w:t>Cybercrime – Cyber attacks on information system</w:t>
            </w:r>
          </w:p>
        </w:tc>
        <w:tc>
          <w:tcPr>
            <w:tcW w:w="2203" w:type="pct"/>
          </w:tcPr>
          <w:p w14:paraId="0E6213EA" w14:textId="77777777" w:rsidR="00170573" w:rsidRPr="00D72B6C" w:rsidRDefault="00170573" w:rsidP="00C451D4">
            <w:pPr>
              <w:spacing w:after="0"/>
              <w:rPr>
                <w:rFonts w:cs="Calibri"/>
                <w:bCs/>
                <w:noProof/>
                <w:sz w:val="18"/>
                <w:szCs w:val="18"/>
              </w:rPr>
            </w:pPr>
            <w:r w:rsidRPr="00D72B6C">
              <w:rPr>
                <w:rFonts w:cs="Calibri"/>
                <w:bCs/>
                <w:noProof/>
                <w:sz w:val="18"/>
                <w:szCs w:val="18"/>
              </w:rPr>
              <w:t>1</w:t>
            </w:r>
          </w:p>
        </w:tc>
      </w:tr>
      <w:tr w:rsidR="00170573" w:rsidRPr="005453B1" w14:paraId="6BF0641E" w14:textId="77777777" w:rsidTr="00C451D4">
        <w:tc>
          <w:tcPr>
            <w:tcW w:w="2797" w:type="pct"/>
            <w:shd w:val="clear" w:color="auto" w:fill="F2F2F2" w:themeFill="background1" w:themeFillShade="F2"/>
          </w:tcPr>
          <w:p w14:paraId="70C4FACC" w14:textId="77777777" w:rsidR="00170573" w:rsidRPr="00D72B6C" w:rsidRDefault="00170573" w:rsidP="00C451D4">
            <w:pPr>
              <w:spacing w:after="0"/>
              <w:rPr>
                <w:rFonts w:cs="Calibri"/>
                <w:bCs/>
                <w:noProof/>
                <w:sz w:val="18"/>
                <w:szCs w:val="18"/>
              </w:rPr>
            </w:pPr>
            <w:r w:rsidRPr="00D72B6C">
              <w:rPr>
                <w:rFonts w:cs="Calibri"/>
                <w:bCs/>
                <w:noProof/>
                <w:sz w:val="18"/>
                <w:szCs w:val="18"/>
              </w:rPr>
              <w:t>Cybercrime – Non-cash payment Fraud</w:t>
            </w:r>
          </w:p>
        </w:tc>
        <w:tc>
          <w:tcPr>
            <w:tcW w:w="2203" w:type="pct"/>
          </w:tcPr>
          <w:p w14:paraId="4FD6510E" w14:textId="77777777" w:rsidR="00170573" w:rsidRPr="00D72B6C" w:rsidRDefault="00170573" w:rsidP="00C451D4">
            <w:pPr>
              <w:spacing w:after="0"/>
              <w:rPr>
                <w:rFonts w:cs="Calibri"/>
                <w:bCs/>
                <w:noProof/>
                <w:sz w:val="18"/>
                <w:szCs w:val="18"/>
              </w:rPr>
            </w:pPr>
            <w:r w:rsidRPr="00D72B6C">
              <w:rPr>
                <w:rFonts w:cs="Calibri"/>
                <w:bCs/>
                <w:noProof/>
                <w:sz w:val="18"/>
                <w:szCs w:val="18"/>
              </w:rPr>
              <w:t>1</w:t>
            </w:r>
          </w:p>
        </w:tc>
      </w:tr>
      <w:tr w:rsidR="00170573" w:rsidRPr="005453B1" w14:paraId="21DE8E54" w14:textId="77777777" w:rsidTr="00C451D4">
        <w:tc>
          <w:tcPr>
            <w:tcW w:w="2797" w:type="pct"/>
            <w:shd w:val="clear" w:color="auto" w:fill="F2F2F2" w:themeFill="background1" w:themeFillShade="F2"/>
          </w:tcPr>
          <w:p w14:paraId="003DD188" w14:textId="77777777" w:rsidR="00170573" w:rsidRPr="00453CBA" w:rsidRDefault="00170573" w:rsidP="00C451D4">
            <w:pPr>
              <w:spacing w:after="0"/>
              <w:rPr>
                <w:noProof/>
                <w:sz w:val="18"/>
                <w:szCs w:val="18"/>
              </w:rPr>
            </w:pPr>
            <w:r w:rsidRPr="00453CBA">
              <w:rPr>
                <w:noProof/>
                <w:sz w:val="18"/>
                <w:szCs w:val="18"/>
              </w:rPr>
              <w:t>Criminal Finances, Money Laundering and Asset Recovery</w:t>
            </w:r>
          </w:p>
        </w:tc>
        <w:tc>
          <w:tcPr>
            <w:tcW w:w="2203" w:type="pct"/>
          </w:tcPr>
          <w:p w14:paraId="5E9C00FB" w14:textId="77777777" w:rsidR="00170573" w:rsidRPr="00D72B6C" w:rsidRDefault="00170573" w:rsidP="00C451D4">
            <w:pPr>
              <w:spacing w:after="0"/>
              <w:rPr>
                <w:rFonts w:cs="Calibri"/>
                <w:bCs/>
                <w:noProof/>
                <w:sz w:val="18"/>
                <w:szCs w:val="18"/>
              </w:rPr>
            </w:pPr>
            <w:r w:rsidRPr="00D72B6C">
              <w:rPr>
                <w:rFonts w:cs="Calibri"/>
                <w:bCs/>
                <w:noProof/>
                <w:sz w:val="18"/>
                <w:szCs w:val="18"/>
              </w:rPr>
              <w:t>1</w:t>
            </w:r>
          </w:p>
        </w:tc>
      </w:tr>
    </w:tbl>
    <w:p w14:paraId="7206F904" w14:textId="77777777" w:rsidR="00170573" w:rsidRDefault="00170573" w:rsidP="00170573">
      <w:pPr>
        <w:pStyle w:val="Body"/>
        <w:jc w:val="center"/>
        <w:rPr>
          <w:noProof/>
          <w:lang w:val="en-US"/>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108BF9C1" w14:textId="77777777" w:rsidR="00170573" w:rsidRPr="00FF7427" w:rsidRDefault="00170573" w:rsidP="00170573">
      <w:pPr>
        <w:rPr>
          <w:noProof/>
        </w:rPr>
      </w:pPr>
      <w:r w:rsidRPr="00237337">
        <w:rPr>
          <w:rFonts w:ascii="Times New Roman" w:hAnsi="Times New Roman" w:cs="Times New Roman"/>
          <w:b/>
          <w:i/>
          <w:noProof/>
          <w:sz w:val="24"/>
        </w:rPr>
        <w:t>Online survey</w:t>
      </w:r>
    </w:p>
    <w:p w14:paraId="64F918C8" w14:textId="77777777" w:rsidR="00170573" w:rsidRPr="00237337" w:rsidRDefault="00170573" w:rsidP="00170573">
      <w:pPr>
        <w:rPr>
          <w:rFonts w:ascii="Times New Roman" w:hAnsi="Times New Roman" w:cs="Times New Roman"/>
          <w:b/>
          <w:noProof/>
          <w:sz w:val="24"/>
        </w:rPr>
      </w:pPr>
      <w:r w:rsidRPr="00237337">
        <w:rPr>
          <w:rFonts w:ascii="Times New Roman" w:hAnsi="Times New Roman" w:cs="Times New Roman"/>
          <w:b/>
          <w:noProof/>
          <w:sz w:val="24"/>
        </w:rPr>
        <w:t>LEAs</w:t>
      </w:r>
    </w:p>
    <w:p w14:paraId="4338AF49" w14:textId="77777777" w:rsidR="00170573" w:rsidRPr="00245FF0" w:rsidRDefault="00170573" w:rsidP="00170573">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the stakeholders consulted from LEAs</w:t>
      </w:r>
    </w:p>
    <w:tbl>
      <w:tblPr>
        <w:tblStyle w:val="DocumentTable11"/>
        <w:tblW w:w="5000" w:type="pct"/>
        <w:tblLook w:val="04A0" w:firstRow="1" w:lastRow="0" w:firstColumn="1" w:lastColumn="0" w:noHBand="0" w:noVBand="1"/>
      </w:tblPr>
      <w:tblGrid>
        <w:gridCol w:w="3737"/>
        <w:gridCol w:w="6117"/>
      </w:tblGrid>
      <w:tr w:rsidR="00170573" w:rsidRPr="000441B2" w14:paraId="4085FBA4"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96" w:type="pct"/>
            <w:noWrap/>
            <w:vAlign w:val="center"/>
            <w:hideMark/>
          </w:tcPr>
          <w:p w14:paraId="70A95C4F" w14:textId="77777777" w:rsidR="00170573" w:rsidRPr="000441B2" w:rsidRDefault="00170573" w:rsidP="00C451D4">
            <w:pPr>
              <w:spacing w:after="0"/>
              <w:jc w:val="center"/>
              <w:rPr>
                <w:rFonts w:cs="Calibri"/>
                <w:noProof/>
                <w:color w:val="FFFFFF" w:themeColor="background1"/>
                <w:szCs w:val="18"/>
                <w:lang w:val="en-GB" w:eastAsia="en-GB"/>
              </w:rPr>
            </w:pPr>
            <w:r w:rsidRPr="000441B2">
              <w:rPr>
                <w:rFonts w:cs="Calibri"/>
                <w:noProof/>
                <w:color w:val="FFFFFF" w:themeColor="background1"/>
                <w:szCs w:val="18"/>
                <w:lang w:val="en-GB" w:eastAsia="en-GB"/>
              </w:rPr>
              <w:t>Country</w:t>
            </w:r>
          </w:p>
        </w:tc>
        <w:tc>
          <w:tcPr>
            <w:tcW w:w="3104" w:type="pct"/>
            <w:noWrap/>
            <w:vAlign w:val="center"/>
            <w:hideMark/>
          </w:tcPr>
          <w:p w14:paraId="2C4725E8" w14:textId="77777777" w:rsidR="00170573" w:rsidRPr="000441B2" w:rsidRDefault="00170573" w:rsidP="00C451D4">
            <w:pPr>
              <w:spacing w:after="0"/>
              <w:jc w:val="center"/>
              <w:rPr>
                <w:rFonts w:cs="Calibri"/>
                <w:noProof/>
                <w:color w:val="FFFFFF" w:themeColor="background1"/>
                <w:szCs w:val="18"/>
                <w:lang w:val="en-GB" w:eastAsia="en-GB"/>
              </w:rPr>
            </w:pPr>
            <w:r w:rsidRPr="000441B2">
              <w:rPr>
                <w:rFonts w:cs="Calibri"/>
                <w:noProof/>
                <w:color w:val="FFFFFF" w:themeColor="background1"/>
                <w:szCs w:val="18"/>
                <w:lang w:val="en-GB" w:eastAsia="en-GB"/>
              </w:rPr>
              <w:t>Institution (n° of respondents)</w:t>
            </w:r>
          </w:p>
        </w:tc>
      </w:tr>
      <w:tr w:rsidR="00170573" w:rsidRPr="000441B2" w14:paraId="65A74A8F"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hideMark/>
          </w:tcPr>
          <w:p w14:paraId="6F138B8E"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Austria</w:t>
            </w:r>
          </w:p>
        </w:tc>
        <w:tc>
          <w:tcPr>
            <w:tcW w:w="3104" w:type="pct"/>
            <w:vAlign w:val="bottom"/>
            <w:hideMark/>
          </w:tcPr>
          <w:p w14:paraId="5BDDC3A4"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Bundesministerium für Inneres</w:t>
            </w:r>
          </w:p>
        </w:tc>
      </w:tr>
      <w:tr w:rsidR="00170573" w:rsidRPr="000441B2" w14:paraId="7687DA50" w14:textId="77777777" w:rsidTr="00C451D4">
        <w:trPr>
          <w:trHeight w:val="20"/>
        </w:trPr>
        <w:tc>
          <w:tcPr>
            <w:tcW w:w="1896" w:type="pct"/>
            <w:vMerge/>
            <w:vAlign w:val="center"/>
          </w:tcPr>
          <w:p w14:paraId="5DE443F0" w14:textId="77777777" w:rsidR="00170573" w:rsidRPr="000441B2" w:rsidRDefault="00170573" w:rsidP="00C451D4">
            <w:pPr>
              <w:spacing w:after="0"/>
              <w:rPr>
                <w:rFonts w:cs="Calibri"/>
                <w:b/>
                <w:bCs/>
                <w:noProof/>
                <w:szCs w:val="18"/>
                <w:lang w:val="en-GB" w:eastAsia="en-GB"/>
              </w:rPr>
            </w:pPr>
          </w:p>
        </w:tc>
        <w:tc>
          <w:tcPr>
            <w:tcW w:w="3104" w:type="pct"/>
            <w:vAlign w:val="bottom"/>
          </w:tcPr>
          <w:p w14:paraId="190F2EEC"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Criminal intelligence service</w:t>
            </w:r>
          </w:p>
        </w:tc>
      </w:tr>
      <w:tr w:rsidR="00170573" w:rsidRPr="005041AC" w14:paraId="3CFF133B"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54CF334F" w14:textId="77777777" w:rsidR="00170573" w:rsidRPr="000441B2" w:rsidRDefault="00170573" w:rsidP="00C451D4">
            <w:pPr>
              <w:spacing w:after="0"/>
              <w:rPr>
                <w:rFonts w:cs="Calibri"/>
                <w:b/>
                <w:bCs/>
                <w:noProof/>
                <w:szCs w:val="18"/>
                <w:lang w:val="en-GB" w:eastAsia="en-GB"/>
              </w:rPr>
            </w:pPr>
          </w:p>
        </w:tc>
        <w:tc>
          <w:tcPr>
            <w:tcW w:w="3104" w:type="pct"/>
            <w:vAlign w:val="bottom"/>
          </w:tcPr>
          <w:p w14:paraId="2BF04E78"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Ministry of Finance - Tax and Customs Administration</w:t>
            </w:r>
          </w:p>
        </w:tc>
      </w:tr>
      <w:tr w:rsidR="00170573" w:rsidRPr="000441B2" w14:paraId="384B9B46" w14:textId="77777777" w:rsidTr="00C451D4">
        <w:trPr>
          <w:trHeight w:val="20"/>
        </w:trPr>
        <w:tc>
          <w:tcPr>
            <w:tcW w:w="1896" w:type="pct"/>
            <w:vMerge w:val="restart"/>
            <w:vAlign w:val="center"/>
            <w:hideMark/>
          </w:tcPr>
          <w:p w14:paraId="20919CC5"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Belgium</w:t>
            </w:r>
          </w:p>
        </w:tc>
        <w:tc>
          <w:tcPr>
            <w:tcW w:w="3104" w:type="pct"/>
            <w:vAlign w:val="bottom"/>
            <w:hideMark/>
          </w:tcPr>
          <w:p w14:paraId="0D37FF58"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Belgian federal police</w:t>
            </w:r>
          </w:p>
        </w:tc>
      </w:tr>
      <w:tr w:rsidR="00170573" w:rsidRPr="005041AC" w14:paraId="2D850432"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4790B122" w14:textId="77777777" w:rsidR="00170573" w:rsidRPr="000441B2" w:rsidRDefault="00170573" w:rsidP="00C451D4">
            <w:pPr>
              <w:spacing w:after="0"/>
              <w:rPr>
                <w:rFonts w:cs="Calibri"/>
                <w:b/>
                <w:bCs/>
                <w:noProof/>
                <w:szCs w:val="18"/>
                <w:lang w:val="en-GB" w:eastAsia="en-GB"/>
              </w:rPr>
            </w:pPr>
          </w:p>
        </w:tc>
        <w:tc>
          <w:tcPr>
            <w:tcW w:w="3104" w:type="pct"/>
            <w:vAlign w:val="bottom"/>
          </w:tcPr>
          <w:p w14:paraId="14E843FD"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General Administration of Customs and Excises</w:t>
            </w:r>
          </w:p>
        </w:tc>
      </w:tr>
      <w:tr w:rsidR="00170573" w:rsidRPr="005041AC" w14:paraId="62327451" w14:textId="77777777" w:rsidTr="00C451D4">
        <w:trPr>
          <w:trHeight w:val="20"/>
        </w:trPr>
        <w:tc>
          <w:tcPr>
            <w:tcW w:w="1896" w:type="pct"/>
            <w:vMerge w:val="restart"/>
            <w:vAlign w:val="center"/>
            <w:hideMark/>
          </w:tcPr>
          <w:p w14:paraId="62FED059"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Bulgaria</w:t>
            </w:r>
          </w:p>
        </w:tc>
        <w:tc>
          <w:tcPr>
            <w:tcW w:w="3104" w:type="pct"/>
            <w:hideMark/>
          </w:tcPr>
          <w:p w14:paraId="648BCC88"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National Customs Agency of the Republic of Bulgaria</w:t>
            </w:r>
          </w:p>
        </w:tc>
      </w:tr>
      <w:tr w:rsidR="00170573" w:rsidRPr="000441B2" w14:paraId="71E8B680"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44A52B61" w14:textId="77777777" w:rsidR="00170573" w:rsidRPr="000441B2" w:rsidRDefault="00170573" w:rsidP="00C451D4">
            <w:pPr>
              <w:spacing w:after="0"/>
              <w:rPr>
                <w:rFonts w:cs="Calibri"/>
                <w:b/>
                <w:bCs/>
                <w:noProof/>
                <w:szCs w:val="18"/>
                <w:lang w:val="en-GB" w:eastAsia="en-GB"/>
              </w:rPr>
            </w:pPr>
          </w:p>
        </w:tc>
        <w:tc>
          <w:tcPr>
            <w:tcW w:w="3104" w:type="pct"/>
            <w:hideMark/>
          </w:tcPr>
          <w:p w14:paraId="0F7E0DEB"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Ministry of Interior </w:t>
            </w:r>
          </w:p>
        </w:tc>
      </w:tr>
      <w:tr w:rsidR="00170573" w:rsidRPr="000441B2" w14:paraId="3CD1D933" w14:textId="77777777" w:rsidTr="00C451D4">
        <w:trPr>
          <w:trHeight w:val="20"/>
        </w:trPr>
        <w:tc>
          <w:tcPr>
            <w:tcW w:w="1896" w:type="pct"/>
            <w:vMerge w:val="restart"/>
            <w:vAlign w:val="center"/>
            <w:hideMark/>
          </w:tcPr>
          <w:p w14:paraId="07AE4D4E"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Croatia</w:t>
            </w:r>
          </w:p>
        </w:tc>
        <w:tc>
          <w:tcPr>
            <w:tcW w:w="3104" w:type="pct"/>
            <w:hideMark/>
          </w:tcPr>
          <w:p w14:paraId="44D8661A"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Customs</w:t>
            </w:r>
          </w:p>
        </w:tc>
      </w:tr>
      <w:tr w:rsidR="00170573" w:rsidRPr="000441B2" w14:paraId="1A381645"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598646A1" w14:textId="77777777" w:rsidR="00170573" w:rsidRPr="000441B2" w:rsidRDefault="00170573" w:rsidP="00C451D4">
            <w:pPr>
              <w:spacing w:after="0"/>
              <w:rPr>
                <w:rFonts w:cs="Calibri"/>
                <w:b/>
                <w:bCs/>
                <w:noProof/>
                <w:szCs w:val="18"/>
                <w:lang w:val="en-GB" w:eastAsia="en-GB"/>
              </w:rPr>
            </w:pPr>
          </w:p>
        </w:tc>
        <w:tc>
          <w:tcPr>
            <w:tcW w:w="3104" w:type="pct"/>
            <w:hideMark/>
          </w:tcPr>
          <w:p w14:paraId="0F5064CF"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General Police Directorate, Criminal Police Directorate, General Crime Service (OPC and envir. Crime)</w:t>
            </w:r>
          </w:p>
        </w:tc>
      </w:tr>
      <w:tr w:rsidR="00170573" w:rsidRPr="000441B2" w14:paraId="57EBBD02" w14:textId="77777777" w:rsidTr="00C451D4">
        <w:trPr>
          <w:trHeight w:val="20"/>
        </w:trPr>
        <w:tc>
          <w:tcPr>
            <w:tcW w:w="1896" w:type="pct"/>
            <w:vMerge w:val="restart"/>
            <w:vAlign w:val="center"/>
          </w:tcPr>
          <w:p w14:paraId="74BB09F7" w14:textId="77777777" w:rsidR="00170573" w:rsidRPr="000441B2" w:rsidRDefault="00170573" w:rsidP="00C451D4">
            <w:pPr>
              <w:spacing w:after="0"/>
              <w:rPr>
                <w:rFonts w:cs="Calibri"/>
                <w:b/>
                <w:bCs/>
                <w:noProof/>
                <w:szCs w:val="18"/>
                <w:lang w:val="en-GB" w:eastAsia="en-GB"/>
              </w:rPr>
            </w:pPr>
            <w:r>
              <w:rPr>
                <w:rFonts w:cs="Calibri"/>
                <w:b/>
                <w:bCs/>
                <w:noProof/>
                <w:szCs w:val="18"/>
                <w:lang w:val="en-GB" w:eastAsia="en-GB"/>
              </w:rPr>
              <w:t>Cyprus</w:t>
            </w:r>
          </w:p>
        </w:tc>
        <w:tc>
          <w:tcPr>
            <w:tcW w:w="3104" w:type="pct"/>
          </w:tcPr>
          <w:p w14:paraId="467A2BB6"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Cyprus police - c.i.d. (ops)</w:t>
            </w:r>
          </w:p>
        </w:tc>
      </w:tr>
      <w:tr w:rsidR="00170573" w:rsidRPr="005041AC" w14:paraId="4526391D"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09BED20B" w14:textId="77777777" w:rsidR="00170573" w:rsidRPr="000441B2" w:rsidRDefault="00170573" w:rsidP="00C451D4">
            <w:pPr>
              <w:spacing w:after="0"/>
              <w:rPr>
                <w:rFonts w:cs="Calibri"/>
                <w:b/>
                <w:bCs/>
                <w:noProof/>
                <w:szCs w:val="18"/>
                <w:lang w:val="en-GB" w:eastAsia="en-GB"/>
              </w:rPr>
            </w:pPr>
          </w:p>
        </w:tc>
        <w:tc>
          <w:tcPr>
            <w:tcW w:w="3104" w:type="pct"/>
          </w:tcPr>
          <w:p w14:paraId="788C9B14"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Department of Customs and Excise</w:t>
            </w:r>
          </w:p>
        </w:tc>
      </w:tr>
      <w:tr w:rsidR="00170573" w:rsidRPr="000441B2" w14:paraId="1ABA0DF0" w14:textId="77777777" w:rsidTr="00C451D4">
        <w:trPr>
          <w:trHeight w:val="20"/>
        </w:trPr>
        <w:tc>
          <w:tcPr>
            <w:tcW w:w="1896" w:type="pct"/>
            <w:vMerge/>
            <w:vAlign w:val="center"/>
          </w:tcPr>
          <w:p w14:paraId="6669E845" w14:textId="77777777" w:rsidR="00170573" w:rsidRPr="000441B2" w:rsidRDefault="00170573" w:rsidP="00C451D4">
            <w:pPr>
              <w:spacing w:after="0"/>
              <w:rPr>
                <w:rFonts w:cs="Calibri"/>
                <w:b/>
                <w:bCs/>
                <w:noProof/>
                <w:szCs w:val="18"/>
                <w:lang w:val="en-GB" w:eastAsia="en-GB"/>
              </w:rPr>
            </w:pPr>
          </w:p>
        </w:tc>
        <w:tc>
          <w:tcPr>
            <w:tcW w:w="3104" w:type="pct"/>
          </w:tcPr>
          <w:p w14:paraId="08009E00"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Intelligence management analysis subdirectorate</w:t>
            </w:r>
          </w:p>
        </w:tc>
      </w:tr>
      <w:tr w:rsidR="00170573" w:rsidRPr="008651E0" w14:paraId="7B5CCBD4"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6EB582E8" w14:textId="77777777" w:rsidR="00170573" w:rsidRPr="000441B2" w:rsidRDefault="00170573" w:rsidP="00C451D4">
            <w:pPr>
              <w:spacing w:after="0"/>
              <w:rPr>
                <w:rFonts w:cs="Calibri"/>
                <w:b/>
                <w:bCs/>
                <w:noProof/>
                <w:szCs w:val="18"/>
                <w:lang w:val="en-GB" w:eastAsia="en-GB"/>
              </w:rPr>
            </w:pPr>
          </w:p>
        </w:tc>
        <w:tc>
          <w:tcPr>
            <w:tcW w:w="3104" w:type="pct"/>
          </w:tcPr>
          <w:p w14:paraId="446BEC80" w14:textId="77777777" w:rsidR="00170573" w:rsidRPr="00A01E2B" w:rsidRDefault="00170573" w:rsidP="00C451D4">
            <w:pPr>
              <w:spacing w:after="0"/>
              <w:rPr>
                <w:rFonts w:cs="Calibri"/>
                <w:noProof/>
                <w:szCs w:val="18"/>
                <w:lang w:val="fr-BE" w:eastAsia="en-GB"/>
              </w:rPr>
            </w:pPr>
            <w:r w:rsidRPr="00A01E2B">
              <w:rPr>
                <w:rFonts w:cs="Calibri"/>
                <w:noProof/>
                <w:szCs w:val="18"/>
                <w:lang w:val="fr-BE" w:eastAsia="en-GB"/>
              </w:rPr>
              <w:t>N.f.i.p. cyprus police</w:t>
            </w:r>
          </w:p>
        </w:tc>
      </w:tr>
      <w:tr w:rsidR="00170573" w:rsidRPr="000441B2" w14:paraId="69EB1D51" w14:textId="77777777" w:rsidTr="00C451D4">
        <w:trPr>
          <w:trHeight w:val="20"/>
        </w:trPr>
        <w:tc>
          <w:tcPr>
            <w:tcW w:w="1896" w:type="pct"/>
            <w:vMerge w:val="restart"/>
            <w:vAlign w:val="center"/>
            <w:hideMark/>
          </w:tcPr>
          <w:p w14:paraId="32048259"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Czech Republic</w:t>
            </w:r>
          </w:p>
        </w:tc>
        <w:tc>
          <w:tcPr>
            <w:tcW w:w="3104" w:type="pct"/>
            <w:hideMark/>
          </w:tcPr>
          <w:p w14:paraId="72094D65"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Customs</w:t>
            </w:r>
          </w:p>
        </w:tc>
      </w:tr>
      <w:tr w:rsidR="00170573" w:rsidRPr="005041AC" w14:paraId="6A8576DB"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7BD08F8D" w14:textId="77777777" w:rsidR="00170573" w:rsidRPr="000441B2" w:rsidRDefault="00170573" w:rsidP="00C451D4">
            <w:pPr>
              <w:spacing w:after="0"/>
              <w:rPr>
                <w:rFonts w:cs="Calibri"/>
                <w:b/>
                <w:bCs/>
                <w:noProof/>
                <w:szCs w:val="18"/>
                <w:lang w:val="en-GB" w:eastAsia="en-GB"/>
              </w:rPr>
            </w:pPr>
          </w:p>
        </w:tc>
        <w:tc>
          <w:tcPr>
            <w:tcW w:w="3104" w:type="pct"/>
            <w:hideMark/>
          </w:tcPr>
          <w:p w14:paraId="0B202058"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The Police Presidium of the Czech Republic; Division for International Police Cooperation</w:t>
            </w:r>
          </w:p>
        </w:tc>
      </w:tr>
      <w:tr w:rsidR="00170573" w:rsidRPr="005041AC" w14:paraId="3E5B3AC3" w14:textId="77777777" w:rsidTr="00C451D4">
        <w:trPr>
          <w:trHeight w:val="20"/>
        </w:trPr>
        <w:tc>
          <w:tcPr>
            <w:tcW w:w="1896" w:type="pct"/>
            <w:vMerge/>
            <w:vAlign w:val="center"/>
            <w:hideMark/>
          </w:tcPr>
          <w:p w14:paraId="1D2D93D1" w14:textId="77777777" w:rsidR="00170573" w:rsidRPr="000441B2" w:rsidRDefault="00170573" w:rsidP="00C451D4">
            <w:pPr>
              <w:spacing w:after="0"/>
              <w:rPr>
                <w:rFonts w:cs="Calibri"/>
                <w:b/>
                <w:bCs/>
                <w:noProof/>
                <w:szCs w:val="18"/>
                <w:lang w:val="en-GB" w:eastAsia="en-GB"/>
              </w:rPr>
            </w:pPr>
          </w:p>
        </w:tc>
        <w:tc>
          <w:tcPr>
            <w:tcW w:w="3104" w:type="pct"/>
            <w:hideMark/>
          </w:tcPr>
          <w:p w14:paraId="788C6DBF"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Police of the Czech Republic, National Organised Crime Agency</w:t>
            </w:r>
          </w:p>
        </w:tc>
      </w:tr>
      <w:tr w:rsidR="00170573" w:rsidRPr="000441B2" w14:paraId="6A45646D"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4CEA26C7" w14:textId="77777777" w:rsidR="00170573" w:rsidRPr="000441B2" w:rsidRDefault="00170573" w:rsidP="00C451D4">
            <w:pPr>
              <w:spacing w:after="0"/>
              <w:rPr>
                <w:rFonts w:cs="Calibri"/>
                <w:b/>
                <w:bCs/>
                <w:noProof/>
                <w:szCs w:val="18"/>
                <w:lang w:val="en-GB" w:eastAsia="en-GB"/>
              </w:rPr>
            </w:pPr>
          </w:p>
        </w:tc>
        <w:tc>
          <w:tcPr>
            <w:tcW w:w="3104" w:type="pct"/>
            <w:hideMark/>
          </w:tcPr>
          <w:p w14:paraId="4DDE7543"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Ministry of Interior</w:t>
            </w:r>
          </w:p>
        </w:tc>
      </w:tr>
      <w:tr w:rsidR="00170573" w:rsidRPr="005041AC" w14:paraId="0C83037A" w14:textId="77777777" w:rsidTr="00C451D4">
        <w:trPr>
          <w:trHeight w:val="20"/>
        </w:trPr>
        <w:tc>
          <w:tcPr>
            <w:tcW w:w="1896" w:type="pct"/>
            <w:vMerge w:val="restart"/>
            <w:vAlign w:val="center"/>
            <w:hideMark/>
          </w:tcPr>
          <w:p w14:paraId="032AA8AE"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Denmark</w:t>
            </w:r>
          </w:p>
        </w:tc>
        <w:tc>
          <w:tcPr>
            <w:tcW w:w="3104" w:type="pct"/>
            <w:hideMark/>
          </w:tcPr>
          <w:p w14:paraId="1695D116"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Special investigation west / east jutland police</w:t>
            </w:r>
          </w:p>
        </w:tc>
      </w:tr>
      <w:tr w:rsidR="00170573" w:rsidRPr="000441B2" w14:paraId="1756C4A1"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19291891" w14:textId="77777777" w:rsidR="00170573" w:rsidRPr="000441B2" w:rsidRDefault="00170573" w:rsidP="00C451D4">
            <w:pPr>
              <w:spacing w:after="0"/>
              <w:rPr>
                <w:rFonts w:cs="Calibri"/>
                <w:b/>
                <w:bCs/>
                <w:noProof/>
                <w:szCs w:val="18"/>
                <w:lang w:val="en-GB" w:eastAsia="en-GB"/>
              </w:rPr>
            </w:pPr>
          </w:p>
        </w:tc>
        <w:tc>
          <w:tcPr>
            <w:tcW w:w="3104" w:type="pct"/>
            <w:hideMark/>
          </w:tcPr>
          <w:p w14:paraId="58A043D2"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Danish national police</w:t>
            </w:r>
          </w:p>
        </w:tc>
      </w:tr>
      <w:tr w:rsidR="00170573" w:rsidRPr="000441B2" w14:paraId="2B9A4BA9" w14:textId="77777777" w:rsidTr="00C451D4">
        <w:trPr>
          <w:trHeight w:val="20"/>
        </w:trPr>
        <w:tc>
          <w:tcPr>
            <w:tcW w:w="1896" w:type="pct"/>
            <w:vMerge/>
            <w:vAlign w:val="center"/>
            <w:hideMark/>
          </w:tcPr>
          <w:p w14:paraId="76C21932" w14:textId="77777777" w:rsidR="00170573" w:rsidRPr="000441B2" w:rsidRDefault="00170573" w:rsidP="00C451D4">
            <w:pPr>
              <w:spacing w:after="0"/>
              <w:rPr>
                <w:rFonts w:cs="Calibri"/>
                <w:b/>
                <w:bCs/>
                <w:noProof/>
                <w:szCs w:val="18"/>
                <w:lang w:val="en-GB" w:eastAsia="en-GB"/>
              </w:rPr>
            </w:pPr>
          </w:p>
        </w:tc>
        <w:tc>
          <w:tcPr>
            <w:tcW w:w="3104" w:type="pct"/>
            <w:hideMark/>
          </w:tcPr>
          <w:p w14:paraId="0F4D82A9"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Copenhagen police - border crime centre oeresund</w:t>
            </w:r>
          </w:p>
        </w:tc>
      </w:tr>
      <w:tr w:rsidR="00170573" w:rsidRPr="000441B2" w14:paraId="7998D527"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59556A0F" w14:textId="77777777" w:rsidR="00170573" w:rsidRPr="000441B2" w:rsidRDefault="00170573" w:rsidP="00C451D4">
            <w:pPr>
              <w:spacing w:after="0"/>
              <w:rPr>
                <w:rFonts w:cs="Calibri"/>
                <w:b/>
                <w:bCs/>
                <w:noProof/>
                <w:szCs w:val="18"/>
                <w:lang w:val="en-GB" w:eastAsia="en-GB"/>
              </w:rPr>
            </w:pPr>
          </w:p>
        </w:tc>
        <w:tc>
          <w:tcPr>
            <w:tcW w:w="3104" w:type="pct"/>
            <w:hideMark/>
          </w:tcPr>
          <w:p w14:paraId="3CD2AF38"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Pccc padborg</w:t>
            </w:r>
          </w:p>
        </w:tc>
      </w:tr>
      <w:tr w:rsidR="00170573" w:rsidRPr="000441B2" w14:paraId="66228435" w14:textId="77777777" w:rsidTr="00C451D4">
        <w:trPr>
          <w:trHeight w:val="20"/>
        </w:trPr>
        <w:tc>
          <w:tcPr>
            <w:tcW w:w="1896" w:type="pct"/>
            <w:vMerge/>
            <w:vAlign w:val="center"/>
            <w:hideMark/>
          </w:tcPr>
          <w:p w14:paraId="773622E4" w14:textId="77777777" w:rsidR="00170573" w:rsidRPr="000441B2" w:rsidRDefault="00170573" w:rsidP="00C451D4">
            <w:pPr>
              <w:spacing w:after="0"/>
              <w:rPr>
                <w:rFonts w:cs="Calibri"/>
                <w:b/>
                <w:bCs/>
                <w:noProof/>
                <w:szCs w:val="18"/>
                <w:lang w:val="en-GB" w:eastAsia="en-GB"/>
              </w:rPr>
            </w:pPr>
          </w:p>
        </w:tc>
        <w:tc>
          <w:tcPr>
            <w:tcW w:w="3104" w:type="pct"/>
            <w:hideMark/>
          </w:tcPr>
          <w:p w14:paraId="72E56A0E"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National Centre of Investigation</w:t>
            </w:r>
          </w:p>
        </w:tc>
      </w:tr>
      <w:tr w:rsidR="00170573" w:rsidRPr="0066407D" w14:paraId="4A9FFF7C"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5536DF76" w14:textId="77777777" w:rsidR="00170573" w:rsidRPr="000441B2" w:rsidRDefault="00170573" w:rsidP="00C451D4">
            <w:pPr>
              <w:spacing w:after="0"/>
              <w:rPr>
                <w:rFonts w:cs="Calibri"/>
                <w:b/>
                <w:bCs/>
                <w:noProof/>
                <w:szCs w:val="18"/>
                <w:lang w:val="en-GB" w:eastAsia="en-GB"/>
              </w:rPr>
            </w:pPr>
          </w:p>
        </w:tc>
        <w:tc>
          <w:tcPr>
            <w:tcW w:w="3104" w:type="pct"/>
            <w:hideMark/>
          </w:tcPr>
          <w:p w14:paraId="35279586" w14:textId="77777777" w:rsidR="00170573" w:rsidRPr="00E60FEA" w:rsidRDefault="00170573" w:rsidP="00C451D4">
            <w:pPr>
              <w:spacing w:after="0"/>
              <w:rPr>
                <w:rFonts w:cs="Calibri"/>
                <w:noProof/>
                <w:szCs w:val="18"/>
                <w:lang w:val="de-DE" w:eastAsia="en-GB"/>
              </w:rPr>
            </w:pPr>
            <w:r w:rsidRPr="00E60FEA">
              <w:rPr>
                <w:rFonts w:cs="Calibri"/>
                <w:noProof/>
                <w:szCs w:val="18"/>
                <w:lang w:val="de-DE" w:eastAsia="en-GB"/>
              </w:rPr>
              <w:t>Sydsjællands og Lolland Falsters politi</w:t>
            </w:r>
          </w:p>
        </w:tc>
      </w:tr>
      <w:tr w:rsidR="00170573" w:rsidRPr="005041AC" w14:paraId="1C4165E2" w14:textId="77777777" w:rsidTr="00C451D4">
        <w:trPr>
          <w:trHeight w:val="20"/>
        </w:trPr>
        <w:tc>
          <w:tcPr>
            <w:tcW w:w="1896" w:type="pct"/>
            <w:vAlign w:val="center"/>
          </w:tcPr>
          <w:p w14:paraId="77190EA9" w14:textId="77777777" w:rsidR="00170573" w:rsidRPr="000441B2" w:rsidRDefault="00170573" w:rsidP="00C451D4">
            <w:pPr>
              <w:spacing w:after="0"/>
              <w:rPr>
                <w:rFonts w:cs="Calibri"/>
                <w:b/>
                <w:bCs/>
                <w:noProof/>
                <w:szCs w:val="18"/>
                <w:lang w:val="en-GB" w:eastAsia="en-GB"/>
              </w:rPr>
            </w:pPr>
            <w:r>
              <w:rPr>
                <w:rFonts w:cs="Calibri"/>
                <w:b/>
                <w:bCs/>
                <w:noProof/>
                <w:szCs w:val="18"/>
                <w:lang w:val="en-GB" w:eastAsia="en-GB"/>
              </w:rPr>
              <w:t>Estonia</w:t>
            </w:r>
          </w:p>
        </w:tc>
        <w:tc>
          <w:tcPr>
            <w:tcW w:w="3104" w:type="pct"/>
          </w:tcPr>
          <w:p w14:paraId="175468B3" w14:textId="77777777" w:rsidR="00170573" w:rsidRPr="00873181" w:rsidRDefault="00170573" w:rsidP="00C451D4">
            <w:pPr>
              <w:spacing w:after="0"/>
              <w:rPr>
                <w:rFonts w:cs="Calibri"/>
                <w:noProof/>
                <w:szCs w:val="18"/>
                <w:lang w:val="en-GB" w:eastAsia="en-GB"/>
              </w:rPr>
            </w:pPr>
            <w:r w:rsidRPr="00873181">
              <w:rPr>
                <w:rFonts w:cs="Calibri"/>
                <w:noProof/>
                <w:szCs w:val="18"/>
                <w:lang w:val="en-GB" w:eastAsia="en-GB"/>
              </w:rPr>
              <w:t>Estonian Police and Border Guard Board</w:t>
            </w:r>
          </w:p>
        </w:tc>
      </w:tr>
      <w:tr w:rsidR="00170573" w:rsidRPr="005041AC" w14:paraId="2E1D4B62"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hideMark/>
          </w:tcPr>
          <w:p w14:paraId="13EE5430"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Finland</w:t>
            </w:r>
          </w:p>
        </w:tc>
        <w:tc>
          <w:tcPr>
            <w:tcW w:w="3104" w:type="pct"/>
            <w:hideMark/>
          </w:tcPr>
          <w:p w14:paraId="39207B0C"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National Bureau of Investigation / Finnish Police</w:t>
            </w:r>
          </w:p>
        </w:tc>
      </w:tr>
      <w:tr w:rsidR="00170573" w:rsidRPr="000441B2" w14:paraId="144BB309" w14:textId="77777777" w:rsidTr="00C451D4">
        <w:trPr>
          <w:trHeight w:val="20"/>
        </w:trPr>
        <w:tc>
          <w:tcPr>
            <w:tcW w:w="1896" w:type="pct"/>
            <w:vMerge/>
            <w:vAlign w:val="center"/>
            <w:hideMark/>
          </w:tcPr>
          <w:p w14:paraId="34E1C824" w14:textId="77777777" w:rsidR="00170573" w:rsidRPr="000441B2" w:rsidRDefault="00170573" w:rsidP="00C451D4">
            <w:pPr>
              <w:spacing w:after="0"/>
              <w:rPr>
                <w:rFonts w:cs="Calibri"/>
                <w:b/>
                <w:bCs/>
                <w:noProof/>
                <w:szCs w:val="18"/>
                <w:lang w:val="en-GB" w:eastAsia="en-GB"/>
              </w:rPr>
            </w:pPr>
          </w:p>
        </w:tc>
        <w:tc>
          <w:tcPr>
            <w:tcW w:w="3104" w:type="pct"/>
            <w:hideMark/>
          </w:tcPr>
          <w:p w14:paraId="54C7E93D"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National police board </w:t>
            </w:r>
          </w:p>
        </w:tc>
      </w:tr>
      <w:tr w:rsidR="00170573" w:rsidRPr="000441B2" w14:paraId="6DCA75FD"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37202CFF" w14:textId="77777777" w:rsidR="00170573" w:rsidRPr="000441B2" w:rsidRDefault="00170573" w:rsidP="00C451D4">
            <w:pPr>
              <w:spacing w:after="0"/>
              <w:rPr>
                <w:rFonts w:cs="Calibri"/>
                <w:b/>
                <w:bCs/>
                <w:noProof/>
                <w:szCs w:val="18"/>
                <w:lang w:val="en-GB" w:eastAsia="en-GB"/>
              </w:rPr>
            </w:pPr>
          </w:p>
        </w:tc>
        <w:tc>
          <w:tcPr>
            <w:tcW w:w="3104" w:type="pct"/>
            <w:hideMark/>
          </w:tcPr>
          <w:p w14:paraId="686B0C79"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Finnish border guard </w:t>
            </w:r>
          </w:p>
        </w:tc>
      </w:tr>
      <w:tr w:rsidR="00170573" w:rsidRPr="000441B2" w14:paraId="2E01742C" w14:textId="77777777" w:rsidTr="00C451D4">
        <w:trPr>
          <w:trHeight w:val="20"/>
        </w:trPr>
        <w:tc>
          <w:tcPr>
            <w:tcW w:w="1896" w:type="pct"/>
            <w:vMerge/>
            <w:vAlign w:val="center"/>
            <w:hideMark/>
          </w:tcPr>
          <w:p w14:paraId="0B1D6AAB" w14:textId="77777777" w:rsidR="00170573" w:rsidRPr="000441B2" w:rsidRDefault="00170573" w:rsidP="00C451D4">
            <w:pPr>
              <w:spacing w:after="0"/>
              <w:rPr>
                <w:rFonts w:cs="Calibri"/>
                <w:b/>
                <w:bCs/>
                <w:noProof/>
                <w:szCs w:val="18"/>
                <w:lang w:val="en-GB" w:eastAsia="en-GB"/>
              </w:rPr>
            </w:pPr>
          </w:p>
        </w:tc>
        <w:tc>
          <w:tcPr>
            <w:tcW w:w="3104" w:type="pct"/>
            <w:hideMark/>
          </w:tcPr>
          <w:p w14:paraId="0291CA10"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Nbi finland /spoc</w:t>
            </w:r>
          </w:p>
        </w:tc>
      </w:tr>
      <w:tr w:rsidR="00170573" w:rsidRPr="005041AC" w14:paraId="44A52914"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08D283D9" w14:textId="77777777" w:rsidR="00170573" w:rsidRPr="000441B2" w:rsidRDefault="00170573" w:rsidP="00C451D4">
            <w:pPr>
              <w:spacing w:after="0"/>
              <w:rPr>
                <w:rFonts w:cs="Calibri"/>
                <w:b/>
                <w:bCs/>
                <w:noProof/>
                <w:szCs w:val="18"/>
                <w:lang w:val="en-GB" w:eastAsia="en-GB"/>
              </w:rPr>
            </w:pPr>
          </w:p>
        </w:tc>
        <w:tc>
          <w:tcPr>
            <w:tcW w:w="3104" w:type="pct"/>
            <w:hideMark/>
          </w:tcPr>
          <w:p w14:paraId="0F18C75E"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Finnish Police / National Bureau of Investigation </w:t>
            </w:r>
          </w:p>
        </w:tc>
      </w:tr>
      <w:tr w:rsidR="00170573" w:rsidRPr="000441B2" w14:paraId="29C52A15" w14:textId="77777777" w:rsidTr="00C451D4">
        <w:trPr>
          <w:trHeight w:val="20"/>
        </w:trPr>
        <w:tc>
          <w:tcPr>
            <w:tcW w:w="1896" w:type="pct"/>
            <w:vMerge/>
            <w:vAlign w:val="center"/>
            <w:hideMark/>
          </w:tcPr>
          <w:p w14:paraId="0F25CC7F" w14:textId="77777777" w:rsidR="00170573" w:rsidRPr="000441B2" w:rsidRDefault="00170573" w:rsidP="00C451D4">
            <w:pPr>
              <w:spacing w:after="0"/>
              <w:rPr>
                <w:rFonts w:cs="Calibri"/>
                <w:b/>
                <w:bCs/>
                <w:noProof/>
                <w:szCs w:val="18"/>
                <w:lang w:val="en-GB" w:eastAsia="en-GB"/>
              </w:rPr>
            </w:pPr>
          </w:p>
        </w:tc>
        <w:tc>
          <w:tcPr>
            <w:tcW w:w="3104" w:type="pct"/>
            <w:hideMark/>
          </w:tcPr>
          <w:p w14:paraId="3822CAA7"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Finnish customs</w:t>
            </w:r>
          </w:p>
        </w:tc>
      </w:tr>
      <w:tr w:rsidR="00170573" w:rsidRPr="000441B2" w14:paraId="78F4F609"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tcPr>
          <w:p w14:paraId="0BEC3110" w14:textId="77777777" w:rsidR="00170573" w:rsidRPr="000441B2" w:rsidRDefault="00170573" w:rsidP="00C451D4">
            <w:pPr>
              <w:spacing w:after="0"/>
              <w:rPr>
                <w:rFonts w:cs="Calibri"/>
                <w:b/>
                <w:bCs/>
                <w:noProof/>
                <w:szCs w:val="18"/>
                <w:lang w:val="en-GB" w:eastAsia="en-GB"/>
              </w:rPr>
            </w:pPr>
            <w:r>
              <w:rPr>
                <w:rFonts w:cs="Calibri"/>
                <w:b/>
                <w:bCs/>
                <w:noProof/>
                <w:szCs w:val="18"/>
                <w:lang w:val="en-GB" w:eastAsia="en-GB"/>
              </w:rPr>
              <w:t>France</w:t>
            </w:r>
          </w:p>
        </w:tc>
        <w:tc>
          <w:tcPr>
            <w:tcW w:w="3104" w:type="pct"/>
            <w:vAlign w:val="bottom"/>
          </w:tcPr>
          <w:p w14:paraId="7F22E696"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Antinarcotics agency (ofast)</w:t>
            </w:r>
          </w:p>
        </w:tc>
      </w:tr>
      <w:tr w:rsidR="00170573" w:rsidRPr="000441B2" w14:paraId="4BCD283D" w14:textId="77777777" w:rsidTr="00C451D4">
        <w:trPr>
          <w:trHeight w:val="20"/>
        </w:trPr>
        <w:tc>
          <w:tcPr>
            <w:tcW w:w="1896" w:type="pct"/>
            <w:vMerge/>
            <w:vAlign w:val="center"/>
          </w:tcPr>
          <w:p w14:paraId="688FA6B0" w14:textId="77777777" w:rsidR="00170573" w:rsidRDefault="00170573" w:rsidP="00C451D4">
            <w:pPr>
              <w:spacing w:after="0"/>
              <w:rPr>
                <w:rFonts w:cs="Calibri"/>
                <w:b/>
                <w:bCs/>
                <w:noProof/>
                <w:szCs w:val="18"/>
                <w:lang w:val="en-GB" w:eastAsia="en-GB"/>
              </w:rPr>
            </w:pPr>
          </w:p>
        </w:tc>
        <w:tc>
          <w:tcPr>
            <w:tcW w:w="3104" w:type="pct"/>
            <w:vAlign w:val="bottom"/>
          </w:tcPr>
          <w:p w14:paraId="69FA8BAC"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Border police central directorate</w:t>
            </w:r>
          </w:p>
        </w:tc>
      </w:tr>
      <w:tr w:rsidR="00170573" w:rsidRPr="008651E0" w14:paraId="4F89F85A"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188D9570" w14:textId="77777777" w:rsidR="00170573" w:rsidRDefault="00170573" w:rsidP="00C451D4">
            <w:pPr>
              <w:spacing w:after="0"/>
              <w:rPr>
                <w:rFonts w:cs="Calibri"/>
                <w:b/>
                <w:bCs/>
                <w:noProof/>
                <w:szCs w:val="18"/>
                <w:lang w:val="en-GB" w:eastAsia="en-GB"/>
              </w:rPr>
            </w:pPr>
          </w:p>
        </w:tc>
        <w:tc>
          <w:tcPr>
            <w:tcW w:w="3104" w:type="pct"/>
            <w:vAlign w:val="bottom"/>
          </w:tcPr>
          <w:p w14:paraId="0AAAA509" w14:textId="77777777" w:rsidR="00170573" w:rsidRPr="00A01E2B" w:rsidRDefault="00170573" w:rsidP="00C451D4">
            <w:pPr>
              <w:spacing w:after="0"/>
              <w:rPr>
                <w:rFonts w:cs="Calibri"/>
                <w:noProof/>
                <w:szCs w:val="18"/>
                <w:lang w:val="fr-BE" w:eastAsia="en-GB"/>
              </w:rPr>
            </w:pPr>
            <w:r w:rsidRPr="00A01E2B">
              <w:rPr>
                <w:rFonts w:cs="Calibri"/>
                <w:noProof/>
                <w:szCs w:val="18"/>
                <w:lang w:val="fr-BE" w:eastAsia="en-GB"/>
              </w:rPr>
              <w:t>DCI - Direction de la cooperation internationale</w:t>
            </w:r>
          </w:p>
        </w:tc>
      </w:tr>
      <w:tr w:rsidR="00170573" w:rsidRPr="000441B2" w14:paraId="5D12D9CE" w14:textId="77777777" w:rsidTr="00C451D4">
        <w:trPr>
          <w:trHeight w:val="20"/>
        </w:trPr>
        <w:tc>
          <w:tcPr>
            <w:tcW w:w="1896" w:type="pct"/>
            <w:vMerge/>
            <w:vAlign w:val="center"/>
          </w:tcPr>
          <w:p w14:paraId="7B09635E" w14:textId="77777777" w:rsidR="00170573" w:rsidRPr="001246D3" w:rsidRDefault="00170573" w:rsidP="00C451D4">
            <w:pPr>
              <w:spacing w:after="0"/>
              <w:rPr>
                <w:rFonts w:cs="Calibri"/>
                <w:b/>
                <w:noProof/>
                <w:szCs w:val="18"/>
                <w:lang w:val="fr-BE" w:eastAsia="en-GB"/>
              </w:rPr>
            </w:pPr>
          </w:p>
        </w:tc>
        <w:tc>
          <w:tcPr>
            <w:tcW w:w="3104" w:type="pct"/>
            <w:vAlign w:val="bottom"/>
          </w:tcPr>
          <w:p w14:paraId="323602B6"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Dgddi</w:t>
            </w:r>
          </w:p>
        </w:tc>
      </w:tr>
      <w:tr w:rsidR="00170573" w:rsidRPr="000441B2" w14:paraId="7C2944FA"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373A9DEF" w14:textId="77777777" w:rsidR="00170573" w:rsidRDefault="00170573" w:rsidP="00C451D4">
            <w:pPr>
              <w:spacing w:after="0"/>
              <w:rPr>
                <w:rFonts w:cs="Calibri"/>
                <w:b/>
                <w:bCs/>
                <w:noProof/>
                <w:szCs w:val="18"/>
                <w:lang w:val="en-GB" w:eastAsia="en-GB"/>
              </w:rPr>
            </w:pPr>
          </w:p>
        </w:tc>
        <w:tc>
          <w:tcPr>
            <w:tcW w:w="3104" w:type="pct"/>
            <w:vAlign w:val="bottom"/>
          </w:tcPr>
          <w:p w14:paraId="5EC9BB74"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French national border directorate</w:t>
            </w:r>
          </w:p>
        </w:tc>
      </w:tr>
      <w:tr w:rsidR="00170573" w:rsidRPr="000441B2" w14:paraId="15E3C0BC" w14:textId="77777777" w:rsidTr="00C451D4">
        <w:trPr>
          <w:trHeight w:val="20"/>
        </w:trPr>
        <w:tc>
          <w:tcPr>
            <w:tcW w:w="1896" w:type="pct"/>
            <w:vMerge/>
            <w:vAlign w:val="center"/>
          </w:tcPr>
          <w:p w14:paraId="564823FA" w14:textId="77777777" w:rsidR="00170573" w:rsidRDefault="00170573" w:rsidP="00C451D4">
            <w:pPr>
              <w:spacing w:after="0"/>
              <w:rPr>
                <w:rFonts w:cs="Calibri"/>
                <w:b/>
                <w:bCs/>
                <w:noProof/>
                <w:szCs w:val="18"/>
                <w:lang w:val="en-GB" w:eastAsia="en-GB"/>
              </w:rPr>
            </w:pPr>
          </w:p>
        </w:tc>
        <w:tc>
          <w:tcPr>
            <w:tcW w:w="3104" w:type="pct"/>
            <w:vAlign w:val="bottom"/>
          </w:tcPr>
          <w:p w14:paraId="28992316"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Gendarmerie nationale</w:t>
            </w:r>
          </w:p>
        </w:tc>
      </w:tr>
      <w:tr w:rsidR="00170573" w:rsidRPr="000441B2" w14:paraId="72EC77B8"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5D65B98C" w14:textId="77777777" w:rsidR="00170573" w:rsidRDefault="00170573" w:rsidP="00C451D4">
            <w:pPr>
              <w:spacing w:after="0"/>
              <w:rPr>
                <w:rFonts w:cs="Calibri"/>
                <w:b/>
                <w:bCs/>
                <w:noProof/>
                <w:szCs w:val="18"/>
                <w:lang w:val="en-GB" w:eastAsia="en-GB"/>
              </w:rPr>
            </w:pPr>
          </w:p>
        </w:tc>
        <w:tc>
          <w:tcPr>
            <w:tcW w:w="3104" w:type="pct"/>
            <w:vAlign w:val="bottom"/>
          </w:tcPr>
          <w:p w14:paraId="228C141E"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National football information point</w:t>
            </w:r>
          </w:p>
        </w:tc>
      </w:tr>
      <w:tr w:rsidR="00170573" w:rsidRPr="000441B2" w14:paraId="1DC42F34" w14:textId="77777777" w:rsidTr="00C451D4">
        <w:trPr>
          <w:trHeight w:val="20"/>
        </w:trPr>
        <w:tc>
          <w:tcPr>
            <w:tcW w:w="1896" w:type="pct"/>
            <w:vMerge/>
            <w:vAlign w:val="center"/>
          </w:tcPr>
          <w:p w14:paraId="74B9D037" w14:textId="77777777" w:rsidR="00170573" w:rsidRDefault="00170573" w:rsidP="00C451D4">
            <w:pPr>
              <w:spacing w:after="0"/>
              <w:rPr>
                <w:rFonts w:cs="Calibri"/>
                <w:b/>
                <w:bCs/>
                <w:noProof/>
                <w:szCs w:val="18"/>
                <w:lang w:val="en-GB" w:eastAsia="en-GB"/>
              </w:rPr>
            </w:pPr>
          </w:p>
        </w:tc>
        <w:tc>
          <w:tcPr>
            <w:tcW w:w="3104" w:type="pct"/>
            <w:vAlign w:val="bottom"/>
          </w:tcPr>
          <w:p w14:paraId="1775D049"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National Gendarmerie / Central Service for Criminal Intelligence</w:t>
            </w:r>
          </w:p>
        </w:tc>
      </w:tr>
      <w:tr w:rsidR="00170573" w:rsidRPr="005041AC" w14:paraId="2FBA6A9B"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0A539797" w14:textId="77777777" w:rsidR="00170573" w:rsidRDefault="00170573" w:rsidP="00C451D4">
            <w:pPr>
              <w:spacing w:after="0"/>
              <w:rPr>
                <w:rFonts w:cs="Calibri"/>
                <w:b/>
                <w:bCs/>
                <w:noProof/>
                <w:szCs w:val="18"/>
                <w:lang w:val="en-GB" w:eastAsia="en-GB"/>
              </w:rPr>
            </w:pPr>
          </w:p>
        </w:tc>
        <w:tc>
          <w:tcPr>
            <w:tcW w:w="3104" w:type="pct"/>
            <w:vAlign w:val="bottom"/>
          </w:tcPr>
          <w:p w14:paraId="43EB2A16"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OCLDI - Central Office fighting against mobile organised crime</w:t>
            </w:r>
          </w:p>
        </w:tc>
      </w:tr>
      <w:tr w:rsidR="00170573" w:rsidRPr="000441B2" w14:paraId="70864243" w14:textId="77777777" w:rsidTr="00C451D4">
        <w:trPr>
          <w:trHeight w:val="20"/>
        </w:trPr>
        <w:tc>
          <w:tcPr>
            <w:tcW w:w="1896" w:type="pct"/>
            <w:vMerge/>
            <w:vAlign w:val="center"/>
          </w:tcPr>
          <w:p w14:paraId="1D988345" w14:textId="77777777" w:rsidR="00170573" w:rsidRDefault="00170573" w:rsidP="00C451D4">
            <w:pPr>
              <w:spacing w:after="0"/>
              <w:rPr>
                <w:rFonts w:cs="Calibri"/>
                <w:b/>
                <w:bCs/>
                <w:noProof/>
                <w:szCs w:val="18"/>
                <w:lang w:val="en-GB" w:eastAsia="en-GB"/>
              </w:rPr>
            </w:pPr>
          </w:p>
        </w:tc>
        <w:tc>
          <w:tcPr>
            <w:tcW w:w="3104" w:type="pct"/>
            <w:vAlign w:val="bottom"/>
          </w:tcPr>
          <w:p w14:paraId="7EF0A210"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Oclti</w:t>
            </w:r>
          </w:p>
        </w:tc>
      </w:tr>
      <w:tr w:rsidR="00170573" w:rsidRPr="000441B2" w14:paraId="2F564B86"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69A8E751" w14:textId="77777777" w:rsidR="00170573" w:rsidRDefault="00170573" w:rsidP="00C451D4">
            <w:pPr>
              <w:spacing w:after="0"/>
              <w:rPr>
                <w:rFonts w:cs="Calibri"/>
                <w:b/>
                <w:bCs/>
                <w:noProof/>
                <w:szCs w:val="18"/>
                <w:lang w:val="en-GB" w:eastAsia="en-GB"/>
              </w:rPr>
            </w:pPr>
          </w:p>
        </w:tc>
        <w:tc>
          <w:tcPr>
            <w:tcW w:w="3104" w:type="pct"/>
            <w:vAlign w:val="bottom"/>
          </w:tcPr>
          <w:p w14:paraId="0FBF0CAF"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Sirasco</w:t>
            </w:r>
          </w:p>
        </w:tc>
      </w:tr>
      <w:tr w:rsidR="00170573" w:rsidRPr="000441B2" w14:paraId="6A7C278B" w14:textId="77777777" w:rsidTr="00C451D4">
        <w:trPr>
          <w:trHeight w:val="20"/>
        </w:trPr>
        <w:tc>
          <w:tcPr>
            <w:tcW w:w="1896" w:type="pct"/>
            <w:vMerge w:val="restart"/>
            <w:vAlign w:val="center"/>
          </w:tcPr>
          <w:p w14:paraId="1C9C2521" w14:textId="77777777" w:rsidR="00170573" w:rsidRDefault="00170573" w:rsidP="00C451D4">
            <w:pPr>
              <w:spacing w:after="0"/>
              <w:rPr>
                <w:rFonts w:cs="Calibri"/>
                <w:b/>
                <w:bCs/>
                <w:noProof/>
                <w:szCs w:val="18"/>
                <w:lang w:val="en-GB" w:eastAsia="en-GB"/>
              </w:rPr>
            </w:pPr>
            <w:r>
              <w:rPr>
                <w:rFonts w:cs="Calibri"/>
                <w:b/>
                <w:bCs/>
                <w:noProof/>
                <w:szCs w:val="18"/>
                <w:lang w:val="en-GB" w:eastAsia="en-GB"/>
              </w:rPr>
              <w:t>Germany</w:t>
            </w:r>
          </w:p>
        </w:tc>
        <w:tc>
          <w:tcPr>
            <w:tcW w:w="3104" w:type="pct"/>
            <w:vAlign w:val="bottom"/>
          </w:tcPr>
          <w:p w14:paraId="2D492779"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Bmi</w:t>
            </w:r>
          </w:p>
        </w:tc>
      </w:tr>
      <w:tr w:rsidR="00170573" w:rsidRPr="005041AC" w14:paraId="14087F9D"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3805F07D" w14:textId="77777777" w:rsidR="00170573" w:rsidRDefault="00170573" w:rsidP="00C451D4">
            <w:pPr>
              <w:spacing w:after="0"/>
              <w:rPr>
                <w:rFonts w:cs="Calibri"/>
                <w:b/>
                <w:bCs/>
                <w:noProof/>
                <w:szCs w:val="18"/>
                <w:lang w:val="en-GB" w:eastAsia="en-GB"/>
              </w:rPr>
            </w:pPr>
          </w:p>
        </w:tc>
        <w:tc>
          <w:tcPr>
            <w:tcW w:w="3104" w:type="pct"/>
            <w:vAlign w:val="bottom"/>
          </w:tcPr>
          <w:p w14:paraId="56E7C1F4"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Bundeskriminalamt/federal criminal police office</w:t>
            </w:r>
          </w:p>
        </w:tc>
      </w:tr>
      <w:tr w:rsidR="00170573" w:rsidRPr="000441B2" w14:paraId="784413B5" w14:textId="77777777" w:rsidTr="00C451D4">
        <w:trPr>
          <w:trHeight w:val="20"/>
        </w:trPr>
        <w:tc>
          <w:tcPr>
            <w:tcW w:w="1896" w:type="pct"/>
            <w:vMerge/>
            <w:vAlign w:val="center"/>
          </w:tcPr>
          <w:p w14:paraId="251478F0" w14:textId="77777777" w:rsidR="00170573" w:rsidRDefault="00170573" w:rsidP="00C451D4">
            <w:pPr>
              <w:spacing w:after="0"/>
              <w:rPr>
                <w:rFonts w:cs="Calibri"/>
                <w:b/>
                <w:bCs/>
                <w:noProof/>
                <w:szCs w:val="18"/>
                <w:lang w:val="en-GB" w:eastAsia="en-GB"/>
              </w:rPr>
            </w:pPr>
          </w:p>
        </w:tc>
        <w:tc>
          <w:tcPr>
            <w:tcW w:w="3104" w:type="pct"/>
          </w:tcPr>
          <w:p w14:paraId="1D704CEE" w14:textId="77777777" w:rsidR="00170573" w:rsidRPr="00873181" w:rsidRDefault="00170573" w:rsidP="00C451D4">
            <w:pPr>
              <w:spacing w:after="0"/>
              <w:rPr>
                <w:rFonts w:cs="Calibri"/>
                <w:noProof/>
                <w:szCs w:val="18"/>
                <w:lang w:val="en-GB" w:eastAsia="en-GB"/>
              </w:rPr>
            </w:pPr>
            <w:r w:rsidRPr="00873181">
              <w:rPr>
                <w:rFonts w:cs="Calibri"/>
                <w:noProof/>
                <w:szCs w:val="18"/>
                <w:lang w:val="en-GB" w:eastAsia="en-GB"/>
              </w:rPr>
              <w:t>Central customs authority</w:t>
            </w:r>
          </w:p>
        </w:tc>
      </w:tr>
      <w:tr w:rsidR="00170573" w:rsidRPr="000441B2" w14:paraId="7A2622C7"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Align w:val="center"/>
          </w:tcPr>
          <w:p w14:paraId="66B5115F" w14:textId="77777777" w:rsidR="00170573" w:rsidRDefault="00170573" w:rsidP="00C451D4">
            <w:pPr>
              <w:spacing w:after="0"/>
              <w:rPr>
                <w:rFonts w:cs="Calibri"/>
                <w:b/>
                <w:bCs/>
                <w:noProof/>
                <w:szCs w:val="18"/>
                <w:lang w:val="en-GB" w:eastAsia="en-GB"/>
              </w:rPr>
            </w:pPr>
            <w:r>
              <w:rPr>
                <w:rFonts w:cs="Calibri"/>
                <w:b/>
                <w:bCs/>
                <w:noProof/>
                <w:szCs w:val="18"/>
                <w:lang w:val="en-GB" w:eastAsia="en-GB"/>
              </w:rPr>
              <w:t>Greece</w:t>
            </w:r>
          </w:p>
        </w:tc>
        <w:tc>
          <w:tcPr>
            <w:tcW w:w="3104" w:type="pct"/>
          </w:tcPr>
          <w:p w14:paraId="4B6844D9" w14:textId="77777777" w:rsidR="00170573" w:rsidRPr="00873181" w:rsidRDefault="00170573" w:rsidP="00C451D4">
            <w:pPr>
              <w:spacing w:after="0"/>
              <w:rPr>
                <w:rFonts w:cs="Calibri"/>
                <w:noProof/>
                <w:szCs w:val="18"/>
                <w:lang w:val="en-GB" w:eastAsia="en-GB"/>
              </w:rPr>
            </w:pPr>
            <w:r w:rsidRPr="00873181">
              <w:rPr>
                <w:rFonts w:cs="Calibri"/>
                <w:noProof/>
                <w:szCs w:val="18"/>
                <w:lang w:val="en-GB" w:eastAsia="en-GB"/>
              </w:rPr>
              <w:t>Hellenic police</w:t>
            </w:r>
          </w:p>
        </w:tc>
      </w:tr>
      <w:tr w:rsidR="00170573" w:rsidRPr="000441B2" w14:paraId="3060346D" w14:textId="77777777" w:rsidTr="00C451D4">
        <w:trPr>
          <w:trHeight w:val="20"/>
        </w:trPr>
        <w:tc>
          <w:tcPr>
            <w:tcW w:w="1896" w:type="pct"/>
            <w:vMerge w:val="restart"/>
            <w:vAlign w:val="center"/>
            <w:hideMark/>
          </w:tcPr>
          <w:p w14:paraId="2411265A"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Hungary</w:t>
            </w:r>
          </w:p>
        </w:tc>
        <w:tc>
          <w:tcPr>
            <w:tcW w:w="3104" w:type="pct"/>
            <w:hideMark/>
          </w:tcPr>
          <w:p w14:paraId="40F9207D"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International law enforcement cooperation centre</w:t>
            </w:r>
          </w:p>
        </w:tc>
      </w:tr>
      <w:tr w:rsidR="00170573" w:rsidRPr="000441B2" w14:paraId="3120D3C5"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75C80B57" w14:textId="77777777" w:rsidR="00170573" w:rsidRPr="000441B2" w:rsidRDefault="00170573" w:rsidP="00C451D4">
            <w:pPr>
              <w:spacing w:after="0"/>
              <w:rPr>
                <w:rFonts w:cs="Calibri"/>
                <w:b/>
                <w:bCs/>
                <w:noProof/>
                <w:szCs w:val="18"/>
                <w:lang w:val="en-GB" w:eastAsia="en-GB"/>
              </w:rPr>
            </w:pPr>
          </w:p>
        </w:tc>
        <w:tc>
          <w:tcPr>
            <w:tcW w:w="3104" w:type="pct"/>
            <w:hideMark/>
          </w:tcPr>
          <w:p w14:paraId="16680F54"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National Bureau of Investigation </w:t>
            </w:r>
          </w:p>
        </w:tc>
      </w:tr>
      <w:tr w:rsidR="00170573" w:rsidRPr="005041AC" w14:paraId="77709A33" w14:textId="77777777" w:rsidTr="00C451D4">
        <w:trPr>
          <w:trHeight w:val="20"/>
        </w:trPr>
        <w:tc>
          <w:tcPr>
            <w:tcW w:w="1896" w:type="pct"/>
            <w:vMerge/>
            <w:vAlign w:val="center"/>
            <w:hideMark/>
          </w:tcPr>
          <w:p w14:paraId="536906A1" w14:textId="77777777" w:rsidR="00170573" w:rsidRPr="000441B2" w:rsidRDefault="00170573" w:rsidP="00C451D4">
            <w:pPr>
              <w:spacing w:after="0"/>
              <w:rPr>
                <w:rFonts w:cs="Calibri"/>
                <w:b/>
                <w:bCs/>
                <w:noProof/>
                <w:szCs w:val="18"/>
                <w:lang w:val="en-GB" w:eastAsia="en-GB"/>
              </w:rPr>
            </w:pPr>
          </w:p>
        </w:tc>
        <w:tc>
          <w:tcPr>
            <w:tcW w:w="3104" w:type="pct"/>
            <w:hideMark/>
          </w:tcPr>
          <w:p w14:paraId="7F303510"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DG Law Enforcement Public Safety Protection and Guard</w:t>
            </w:r>
          </w:p>
        </w:tc>
      </w:tr>
      <w:tr w:rsidR="00170573" w:rsidRPr="005041AC" w14:paraId="5230EBE0"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35D88C3E" w14:textId="77777777" w:rsidR="00170573" w:rsidRPr="000441B2" w:rsidRDefault="00170573" w:rsidP="00C451D4">
            <w:pPr>
              <w:spacing w:after="0"/>
              <w:rPr>
                <w:rFonts w:cs="Calibri"/>
                <w:b/>
                <w:bCs/>
                <w:noProof/>
                <w:szCs w:val="18"/>
                <w:lang w:val="en-GB" w:eastAsia="en-GB"/>
              </w:rPr>
            </w:pPr>
          </w:p>
        </w:tc>
        <w:tc>
          <w:tcPr>
            <w:tcW w:w="3104" w:type="pct"/>
            <w:hideMark/>
          </w:tcPr>
          <w:p w14:paraId="4F88E7C9"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Dg law enforcement duty department</w:t>
            </w:r>
          </w:p>
        </w:tc>
      </w:tr>
      <w:tr w:rsidR="00170573" w:rsidRPr="005041AC" w14:paraId="225F1498" w14:textId="77777777" w:rsidTr="00C451D4">
        <w:trPr>
          <w:trHeight w:val="20"/>
        </w:trPr>
        <w:tc>
          <w:tcPr>
            <w:tcW w:w="1896" w:type="pct"/>
            <w:vMerge/>
            <w:vAlign w:val="center"/>
            <w:hideMark/>
          </w:tcPr>
          <w:p w14:paraId="39D5D2C2" w14:textId="77777777" w:rsidR="00170573" w:rsidRPr="000441B2" w:rsidRDefault="00170573" w:rsidP="00C451D4">
            <w:pPr>
              <w:spacing w:after="0"/>
              <w:rPr>
                <w:rFonts w:cs="Calibri"/>
                <w:b/>
                <w:bCs/>
                <w:noProof/>
                <w:szCs w:val="18"/>
                <w:lang w:val="en-GB" w:eastAsia="en-GB"/>
              </w:rPr>
            </w:pPr>
          </w:p>
        </w:tc>
        <w:tc>
          <w:tcPr>
            <w:tcW w:w="3104" w:type="pct"/>
            <w:hideMark/>
          </w:tcPr>
          <w:p w14:paraId="5B0322E8"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National Tax and Customs Administration</w:t>
            </w:r>
          </w:p>
        </w:tc>
      </w:tr>
      <w:tr w:rsidR="00170573" w:rsidRPr="005041AC" w14:paraId="0EB45943"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Align w:val="center"/>
            <w:hideMark/>
          </w:tcPr>
          <w:p w14:paraId="34A5DDCA"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Ireland</w:t>
            </w:r>
          </w:p>
        </w:tc>
        <w:tc>
          <w:tcPr>
            <w:tcW w:w="3104" w:type="pct"/>
            <w:hideMark/>
          </w:tcPr>
          <w:p w14:paraId="5A3A6EAA"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An garda siochana - irish police </w:t>
            </w:r>
          </w:p>
        </w:tc>
      </w:tr>
      <w:tr w:rsidR="00170573" w:rsidRPr="005041AC" w14:paraId="7F9AADF7" w14:textId="77777777" w:rsidTr="00C451D4">
        <w:trPr>
          <w:trHeight w:val="20"/>
        </w:trPr>
        <w:tc>
          <w:tcPr>
            <w:tcW w:w="1896" w:type="pct"/>
            <w:vAlign w:val="center"/>
            <w:hideMark/>
          </w:tcPr>
          <w:p w14:paraId="37D1093A"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Latvia</w:t>
            </w:r>
          </w:p>
        </w:tc>
        <w:tc>
          <w:tcPr>
            <w:tcW w:w="3104" w:type="pct"/>
            <w:hideMark/>
          </w:tcPr>
          <w:p w14:paraId="695BBE26"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State Revenue Service, Tax and Customs Police Department </w:t>
            </w:r>
          </w:p>
        </w:tc>
      </w:tr>
      <w:tr w:rsidR="00170573" w:rsidRPr="000441B2" w14:paraId="3BA8688B"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hideMark/>
          </w:tcPr>
          <w:p w14:paraId="6C10C7BA"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Liechtenstein</w:t>
            </w:r>
          </w:p>
        </w:tc>
        <w:tc>
          <w:tcPr>
            <w:tcW w:w="3104" w:type="pct"/>
            <w:hideMark/>
          </w:tcPr>
          <w:p w14:paraId="5ACB1318"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Pccc schaanwald</w:t>
            </w:r>
          </w:p>
        </w:tc>
      </w:tr>
      <w:tr w:rsidR="00170573" w:rsidRPr="000441B2" w14:paraId="1EEA5BF3" w14:textId="77777777" w:rsidTr="00C451D4">
        <w:trPr>
          <w:trHeight w:val="20"/>
        </w:trPr>
        <w:tc>
          <w:tcPr>
            <w:tcW w:w="1896" w:type="pct"/>
            <w:vMerge/>
            <w:vAlign w:val="center"/>
            <w:hideMark/>
          </w:tcPr>
          <w:p w14:paraId="46BF7AC1" w14:textId="77777777" w:rsidR="00170573" w:rsidRPr="000441B2" w:rsidRDefault="00170573" w:rsidP="00C451D4">
            <w:pPr>
              <w:spacing w:after="0"/>
              <w:rPr>
                <w:rFonts w:cs="Calibri"/>
                <w:b/>
                <w:bCs/>
                <w:noProof/>
                <w:szCs w:val="18"/>
                <w:lang w:val="en-GB" w:eastAsia="en-GB"/>
              </w:rPr>
            </w:pPr>
          </w:p>
        </w:tc>
        <w:tc>
          <w:tcPr>
            <w:tcW w:w="3104" w:type="pct"/>
            <w:hideMark/>
          </w:tcPr>
          <w:p w14:paraId="3AD52B49"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National police </w:t>
            </w:r>
          </w:p>
        </w:tc>
      </w:tr>
      <w:tr w:rsidR="00170573" w:rsidRPr="005041AC" w14:paraId="6B891619"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hideMark/>
          </w:tcPr>
          <w:p w14:paraId="1FD6373F"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Lithuania</w:t>
            </w:r>
          </w:p>
        </w:tc>
        <w:tc>
          <w:tcPr>
            <w:tcW w:w="3104" w:type="pct"/>
            <w:hideMark/>
          </w:tcPr>
          <w:p w14:paraId="781227AD"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Police Department under moi Public Police Board Response and Readiness Unit NFIP Lithuania</w:t>
            </w:r>
          </w:p>
        </w:tc>
      </w:tr>
      <w:tr w:rsidR="00170573" w:rsidRPr="000441B2" w14:paraId="11E50059" w14:textId="77777777" w:rsidTr="00C451D4">
        <w:trPr>
          <w:trHeight w:val="20"/>
        </w:trPr>
        <w:tc>
          <w:tcPr>
            <w:tcW w:w="1896" w:type="pct"/>
            <w:vMerge/>
            <w:vAlign w:val="center"/>
            <w:hideMark/>
          </w:tcPr>
          <w:p w14:paraId="0521BFD6" w14:textId="77777777" w:rsidR="00170573" w:rsidRPr="000441B2" w:rsidRDefault="00170573" w:rsidP="00C451D4">
            <w:pPr>
              <w:spacing w:after="0"/>
              <w:rPr>
                <w:rFonts w:cs="Calibri"/>
                <w:b/>
                <w:bCs/>
                <w:noProof/>
                <w:szCs w:val="18"/>
                <w:lang w:val="en-GB" w:eastAsia="en-GB"/>
              </w:rPr>
            </w:pPr>
          </w:p>
        </w:tc>
        <w:tc>
          <w:tcPr>
            <w:tcW w:w="3104" w:type="pct"/>
            <w:hideMark/>
          </w:tcPr>
          <w:p w14:paraId="7AC926DE"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Customs criminal service</w:t>
            </w:r>
          </w:p>
        </w:tc>
      </w:tr>
      <w:tr w:rsidR="00170573" w:rsidRPr="000441B2" w14:paraId="396D87C6"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Align w:val="center"/>
          </w:tcPr>
          <w:p w14:paraId="194B06D0" w14:textId="77777777" w:rsidR="00170573" w:rsidRPr="000441B2" w:rsidRDefault="00170573" w:rsidP="00C451D4">
            <w:pPr>
              <w:spacing w:after="0"/>
              <w:rPr>
                <w:rFonts w:cs="Calibri"/>
                <w:b/>
                <w:bCs/>
                <w:noProof/>
                <w:szCs w:val="18"/>
                <w:lang w:val="en-GB" w:eastAsia="en-GB"/>
              </w:rPr>
            </w:pPr>
            <w:r>
              <w:rPr>
                <w:rFonts w:cs="Calibri"/>
                <w:b/>
                <w:bCs/>
                <w:noProof/>
                <w:szCs w:val="18"/>
                <w:lang w:val="en-GB" w:eastAsia="en-GB"/>
              </w:rPr>
              <w:t>Luxembourg</w:t>
            </w:r>
          </w:p>
        </w:tc>
        <w:tc>
          <w:tcPr>
            <w:tcW w:w="3104" w:type="pct"/>
          </w:tcPr>
          <w:p w14:paraId="6E51210B" w14:textId="77777777" w:rsidR="00170573" w:rsidRPr="00873181" w:rsidRDefault="00170573" w:rsidP="00C451D4">
            <w:pPr>
              <w:spacing w:after="0"/>
              <w:rPr>
                <w:rFonts w:cs="Calibri"/>
                <w:noProof/>
                <w:szCs w:val="18"/>
                <w:lang w:val="en-GB" w:eastAsia="en-GB"/>
              </w:rPr>
            </w:pPr>
            <w:r w:rsidRPr="00873181">
              <w:rPr>
                <w:rFonts w:cs="Calibri"/>
                <w:noProof/>
                <w:szCs w:val="18"/>
                <w:lang w:val="en-GB" w:eastAsia="en-GB"/>
              </w:rPr>
              <w:t>Grand ducal police</w:t>
            </w:r>
          </w:p>
        </w:tc>
      </w:tr>
      <w:tr w:rsidR="00170573" w:rsidRPr="000441B2" w14:paraId="3B060346" w14:textId="77777777" w:rsidTr="00C451D4">
        <w:trPr>
          <w:trHeight w:val="20"/>
        </w:trPr>
        <w:tc>
          <w:tcPr>
            <w:tcW w:w="1896" w:type="pct"/>
            <w:vAlign w:val="center"/>
            <w:hideMark/>
          </w:tcPr>
          <w:p w14:paraId="39FE9C9C"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Malta</w:t>
            </w:r>
          </w:p>
        </w:tc>
        <w:tc>
          <w:tcPr>
            <w:tcW w:w="3104" w:type="pct"/>
            <w:hideMark/>
          </w:tcPr>
          <w:p w14:paraId="77CAD2CD"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Customs</w:t>
            </w:r>
          </w:p>
        </w:tc>
      </w:tr>
      <w:tr w:rsidR="00170573" w:rsidRPr="000441B2" w14:paraId="08A25CA5"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hideMark/>
          </w:tcPr>
          <w:p w14:paraId="70B8778F"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Netherlands</w:t>
            </w:r>
          </w:p>
        </w:tc>
        <w:tc>
          <w:tcPr>
            <w:tcW w:w="3104" w:type="pct"/>
            <w:hideMark/>
          </w:tcPr>
          <w:p w14:paraId="6FCF8EB3"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Customs</w:t>
            </w:r>
          </w:p>
        </w:tc>
      </w:tr>
      <w:tr w:rsidR="00170573" w:rsidRPr="005041AC" w14:paraId="27622995" w14:textId="77777777" w:rsidTr="00C451D4">
        <w:trPr>
          <w:trHeight w:val="20"/>
        </w:trPr>
        <w:tc>
          <w:tcPr>
            <w:tcW w:w="1896" w:type="pct"/>
            <w:vMerge/>
            <w:vAlign w:val="center"/>
            <w:hideMark/>
          </w:tcPr>
          <w:p w14:paraId="57C8E3E8" w14:textId="77777777" w:rsidR="00170573" w:rsidRPr="000441B2" w:rsidRDefault="00170573" w:rsidP="00C451D4">
            <w:pPr>
              <w:spacing w:after="0"/>
              <w:rPr>
                <w:rFonts w:cs="Calibri"/>
                <w:b/>
                <w:bCs/>
                <w:noProof/>
                <w:szCs w:val="18"/>
                <w:lang w:val="en-GB" w:eastAsia="en-GB"/>
              </w:rPr>
            </w:pPr>
          </w:p>
        </w:tc>
        <w:tc>
          <w:tcPr>
            <w:tcW w:w="3104" w:type="pct"/>
            <w:hideMark/>
          </w:tcPr>
          <w:p w14:paraId="50DC1D70"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Ministry of Justice and Security </w:t>
            </w:r>
          </w:p>
        </w:tc>
      </w:tr>
      <w:tr w:rsidR="00170573" w:rsidRPr="000441B2" w14:paraId="2B9E680B"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Align w:val="center"/>
          </w:tcPr>
          <w:p w14:paraId="7BE1EF13" w14:textId="77777777" w:rsidR="00170573" w:rsidRPr="000441B2" w:rsidRDefault="00170573" w:rsidP="00C451D4">
            <w:pPr>
              <w:spacing w:after="0"/>
              <w:rPr>
                <w:rFonts w:cs="Calibri"/>
                <w:b/>
                <w:bCs/>
                <w:noProof/>
                <w:szCs w:val="18"/>
                <w:lang w:val="en-GB" w:eastAsia="en-GB"/>
              </w:rPr>
            </w:pPr>
            <w:r>
              <w:rPr>
                <w:rFonts w:cs="Calibri"/>
                <w:b/>
                <w:bCs/>
                <w:noProof/>
                <w:szCs w:val="18"/>
                <w:lang w:val="en-GB" w:eastAsia="en-GB"/>
              </w:rPr>
              <w:t>Norway</w:t>
            </w:r>
          </w:p>
        </w:tc>
        <w:tc>
          <w:tcPr>
            <w:tcW w:w="3104" w:type="pct"/>
          </w:tcPr>
          <w:p w14:paraId="259DA3B7" w14:textId="77777777" w:rsidR="00170573" w:rsidRPr="00873181" w:rsidRDefault="00170573" w:rsidP="00C451D4">
            <w:pPr>
              <w:spacing w:after="0"/>
              <w:rPr>
                <w:rFonts w:cs="Calibri"/>
                <w:noProof/>
                <w:szCs w:val="18"/>
                <w:lang w:val="en-GB" w:eastAsia="en-GB"/>
              </w:rPr>
            </w:pPr>
            <w:r w:rsidRPr="00873181">
              <w:rPr>
                <w:rFonts w:cs="Calibri"/>
                <w:noProof/>
                <w:szCs w:val="18"/>
                <w:lang w:val="en-GB" w:eastAsia="en-GB"/>
              </w:rPr>
              <w:t>National police directorate</w:t>
            </w:r>
          </w:p>
        </w:tc>
      </w:tr>
      <w:tr w:rsidR="00170573" w:rsidRPr="005041AC" w14:paraId="7C1AC4B0" w14:textId="77777777" w:rsidTr="00C451D4">
        <w:trPr>
          <w:trHeight w:val="20"/>
        </w:trPr>
        <w:tc>
          <w:tcPr>
            <w:tcW w:w="1896" w:type="pct"/>
            <w:vAlign w:val="center"/>
            <w:hideMark/>
          </w:tcPr>
          <w:p w14:paraId="770A2930"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Poland</w:t>
            </w:r>
          </w:p>
        </w:tc>
        <w:tc>
          <w:tcPr>
            <w:tcW w:w="3104" w:type="pct"/>
            <w:hideMark/>
          </w:tcPr>
          <w:p w14:paraId="5BDB034F"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Ministry of Finance / National Revenue Administration</w:t>
            </w:r>
          </w:p>
        </w:tc>
      </w:tr>
      <w:tr w:rsidR="00170573" w:rsidRPr="000441B2" w14:paraId="20010998"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hideMark/>
          </w:tcPr>
          <w:p w14:paraId="29F88FB9"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Portugal</w:t>
            </w:r>
          </w:p>
        </w:tc>
        <w:tc>
          <w:tcPr>
            <w:tcW w:w="3104" w:type="pct"/>
            <w:hideMark/>
          </w:tcPr>
          <w:p w14:paraId="3FAE6261"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Polícia de Segurança Pública</w:t>
            </w:r>
          </w:p>
        </w:tc>
      </w:tr>
      <w:tr w:rsidR="00170573" w:rsidRPr="000441B2" w14:paraId="6A2E1EDA" w14:textId="77777777" w:rsidTr="00C451D4">
        <w:trPr>
          <w:trHeight w:val="20"/>
        </w:trPr>
        <w:tc>
          <w:tcPr>
            <w:tcW w:w="1896" w:type="pct"/>
            <w:vMerge/>
            <w:vAlign w:val="center"/>
            <w:hideMark/>
          </w:tcPr>
          <w:p w14:paraId="62D9C457" w14:textId="77777777" w:rsidR="00170573" w:rsidRPr="000441B2" w:rsidRDefault="00170573" w:rsidP="00C451D4">
            <w:pPr>
              <w:spacing w:after="0"/>
              <w:rPr>
                <w:rFonts w:cs="Calibri"/>
                <w:b/>
                <w:bCs/>
                <w:noProof/>
                <w:szCs w:val="18"/>
                <w:lang w:val="en-GB" w:eastAsia="en-GB"/>
              </w:rPr>
            </w:pPr>
          </w:p>
        </w:tc>
        <w:tc>
          <w:tcPr>
            <w:tcW w:w="3104" w:type="pct"/>
            <w:hideMark/>
          </w:tcPr>
          <w:p w14:paraId="574E1951"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Policia judiciária </w:t>
            </w:r>
          </w:p>
        </w:tc>
      </w:tr>
      <w:tr w:rsidR="00170573" w:rsidRPr="000441B2" w14:paraId="4F7958FE"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066276A7" w14:textId="77777777" w:rsidR="00170573" w:rsidRPr="000441B2" w:rsidRDefault="00170573" w:rsidP="00C451D4">
            <w:pPr>
              <w:spacing w:after="0"/>
              <w:rPr>
                <w:rFonts w:cs="Calibri"/>
                <w:b/>
                <w:bCs/>
                <w:noProof/>
                <w:szCs w:val="18"/>
                <w:lang w:val="en-GB" w:eastAsia="en-GB"/>
              </w:rPr>
            </w:pPr>
          </w:p>
        </w:tc>
        <w:tc>
          <w:tcPr>
            <w:tcW w:w="3104" w:type="pct"/>
            <w:hideMark/>
          </w:tcPr>
          <w:p w14:paraId="0A6E95E6"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Internal security system</w:t>
            </w:r>
          </w:p>
        </w:tc>
      </w:tr>
      <w:tr w:rsidR="00170573" w:rsidRPr="000441B2" w14:paraId="6C1C2AFC" w14:textId="77777777" w:rsidTr="00C451D4">
        <w:trPr>
          <w:trHeight w:val="20"/>
        </w:trPr>
        <w:tc>
          <w:tcPr>
            <w:tcW w:w="1896" w:type="pct"/>
            <w:vMerge/>
            <w:vAlign w:val="center"/>
            <w:hideMark/>
          </w:tcPr>
          <w:p w14:paraId="7D57EA34" w14:textId="77777777" w:rsidR="00170573" w:rsidRPr="000441B2" w:rsidRDefault="00170573" w:rsidP="00C451D4">
            <w:pPr>
              <w:spacing w:after="0"/>
              <w:rPr>
                <w:rFonts w:cs="Calibri"/>
                <w:b/>
                <w:bCs/>
                <w:noProof/>
                <w:szCs w:val="18"/>
                <w:lang w:val="en-GB" w:eastAsia="en-GB"/>
              </w:rPr>
            </w:pPr>
          </w:p>
        </w:tc>
        <w:tc>
          <w:tcPr>
            <w:tcW w:w="3104" w:type="pct"/>
            <w:hideMark/>
          </w:tcPr>
          <w:p w14:paraId="30C0B63E"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Guardia nacional republicana</w:t>
            </w:r>
          </w:p>
        </w:tc>
      </w:tr>
      <w:tr w:rsidR="00170573" w:rsidRPr="000441B2" w14:paraId="103E2FE6"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0FA9E3CF" w14:textId="77777777" w:rsidR="00170573" w:rsidRPr="000441B2" w:rsidRDefault="00170573" w:rsidP="00C451D4">
            <w:pPr>
              <w:spacing w:after="0"/>
              <w:rPr>
                <w:rFonts w:cs="Calibri"/>
                <w:b/>
                <w:bCs/>
                <w:noProof/>
                <w:szCs w:val="18"/>
                <w:lang w:val="en-GB" w:eastAsia="en-GB"/>
              </w:rPr>
            </w:pPr>
          </w:p>
        </w:tc>
        <w:tc>
          <w:tcPr>
            <w:tcW w:w="3104" w:type="pct"/>
            <w:hideMark/>
          </w:tcPr>
          <w:p w14:paraId="03954329"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Tax and Customs Authority</w:t>
            </w:r>
          </w:p>
        </w:tc>
      </w:tr>
      <w:tr w:rsidR="00170573" w:rsidRPr="00285E2B" w14:paraId="52C991E0" w14:textId="77777777" w:rsidTr="00C451D4">
        <w:trPr>
          <w:trHeight w:val="20"/>
        </w:trPr>
        <w:tc>
          <w:tcPr>
            <w:tcW w:w="1896" w:type="pct"/>
            <w:vMerge/>
            <w:vAlign w:val="center"/>
            <w:hideMark/>
          </w:tcPr>
          <w:p w14:paraId="3CC04047" w14:textId="77777777" w:rsidR="00170573" w:rsidRPr="000441B2" w:rsidRDefault="00170573" w:rsidP="00C451D4">
            <w:pPr>
              <w:spacing w:after="0"/>
              <w:rPr>
                <w:rFonts w:cs="Calibri"/>
                <w:b/>
                <w:bCs/>
                <w:noProof/>
                <w:szCs w:val="18"/>
                <w:lang w:val="en-GB" w:eastAsia="en-GB"/>
              </w:rPr>
            </w:pPr>
          </w:p>
        </w:tc>
        <w:tc>
          <w:tcPr>
            <w:tcW w:w="3104" w:type="pct"/>
            <w:hideMark/>
          </w:tcPr>
          <w:p w14:paraId="366EC6B3" w14:textId="77777777" w:rsidR="00170573" w:rsidRPr="00A01E2B" w:rsidRDefault="00170573" w:rsidP="00C451D4">
            <w:pPr>
              <w:spacing w:after="0"/>
              <w:rPr>
                <w:rFonts w:cs="Calibri"/>
                <w:noProof/>
                <w:szCs w:val="18"/>
                <w:lang w:val="pt-BR" w:eastAsia="en-GB"/>
              </w:rPr>
            </w:pPr>
            <w:r w:rsidRPr="00A01E2B">
              <w:rPr>
                <w:rFonts w:cs="Calibri"/>
                <w:noProof/>
                <w:szCs w:val="18"/>
                <w:lang w:val="pt-BR" w:eastAsia="en-GB"/>
              </w:rPr>
              <w:t>Polícia judiciária - ct national unit (unct)</w:t>
            </w:r>
          </w:p>
        </w:tc>
      </w:tr>
      <w:tr w:rsidR="00170573" w:rsidRPr="005041AC" w14:paraId="764F199A"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hideMark/>
          </w:tcPr>
          <w:p w14:paraId="19EE17D8"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Romania</w:t>
            </w:r>
          </w:p>
        </w:tc>
        <w:tc>
          <w:tcPr>
            <w:tcW w:w="3104" w:type="pct"/>
            <w:hideMark/>
          </w:tcPr>
          <w:p w14:paraId="5E15684C"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General Directorate for Operational Management - Ministry of Internal Affairs - Romania</w:t>
            </w:r>
          </w:p>
        </w:tc>
      </w:tr>
      <w:tr w:rsidR="00170573" w:rsidRPr="005041AC" w14:paraId="3AF65543" w14:textId="77777777" w:rsidTr="00C451D4">
        <w:trPr>
          <w:trHeight w:val="20"/>
        </w:trPr>
        <w:tc>
          <w:tcPr>
            <w:tcW w:w="1896" w:type="pct"/>
            <w:vMerge/>
            <w:vAlign w:val="center"/>
            <w:hideMark/>
          </w:tcPr>
          <w:p w14:paraId="53961BA9" w14:textId="77777777" w:rsidR="00170573" w:rsidRPr="000441B2" w:rsidRDefault="00170573" w:rsidP="00C451D4">
            <w:pPr>
              <w:spacing w:after="0"/>
              <w:rPr>
                <w:rFonts w:cs="Calibri"/>
                <w:b/>
                <w:bCs/>
                <w:noProof/>
                <w:szCs w:val="18"/>
                <w:lang w:val="en-GB" w:eastAsia="en-GB"/>
              </w:rPr>
            </w:pPr>
          </w:p>
        </w:tc>
        <w:tc>
          <w:tcPr>
            <w:tcW w:w="3104" w:type="pct"/>
            <w:hideMark/>
          </w:tcPr>
          <w:p w14:paraId="40AFFFD5"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National Football Information Point - General Inspectorate of the Romanian Gendarmerie</w:t>
            </w:r>
          </w:p>
        </w:tc>
      </w:tr>
      <w:tr w:rsidR="00170573" w:rsidRPr="005041AC" w14:paraId="4225C165"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tcPr>
          <w:p w14:paraId="1731BEBD" w14:textId="77777777" w:rsidR="00170573" w:rsidRPr="000441B2" w:rsidRDefault="00170573" w:rsidP="00C451D4">
            <w:pPr>
              <w:spacing w:after="0"/>
              <w:rPr>
                <w:rFonts w:cs="Calibri"/>
                <w:b/>
                <w:bCs/>
                <w:noProof/>
                <w:szCs w:val="18"/>
                <w:lang w:val="en-GB" w:eastAsia="en-GB"/>
              </w:rPr>
            </w:pPr>
            <w:r>
              <w:rPr>
                <w:rFonts w:cs="Calibri"/>
                <w:b/>
                <w:bCs/>
                <w:noProof/>
                <w:szCs w:val="18"/>
                <w:lang w:val="en-GB" w:eastAsia="en-GB"/>
              </w:rPr>
              <w:t>Slovakia</w:t>
            </w:r>
          </w:p>
        </w:tc>
        <w:tc>
          <w:tcPr>
            <w:tcW w:w="3104" w:type="pct"/>
            <w:vAlign w:val="bottom"/>
          </w:tcPr>
          <w:p w14:paraId="6A6F1281"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Ministry of Interior of the Slovak Republic</w:t>
            </w:r>
          </w:p>
        </w:tc>
      </w:tr>
      <w:tr w:rsidR="00170573" w:rsidRPr="000441B2" w14:paraId="4426CEA3" w14:textId="77777777" w:rsidTr="00C451D4">
        <w:trPr>
          <w:trHeight w:val="20"/>
        </w:trPr>
        <w:tc>
          <w:tcPr>
            <w:tcW w:w="1896" w:type="pct"/>
            <w:vMerge/>
            <w:vAlign w:val="center"/>
          </w:tcPr>
          <w:p w14:paraId="3D791410" w14:textId="77777777" w:rsidR="00170573" w:rsidRDefault="00170573" w:rsidP="00C451D4">
            <w:pPr>
              <w:spacing w:after="0"/>
              <w:rPr>
                <w:rFonts w:cs="Calibri"/>
                <w:b/>
                <w:bCs/>
                <w:noProof/>
                <w:szCs w:val="18"/>
                <w:lang w:val="en-GB" w:eastAsia="en-GB"/>
              </w:rPr>
            </w:pPr>
          </w:p>
        </w:tc>
        <w:tc>
          <w:tcPr>
            <w:tcW w:w="3104" w:type="pct"/>
            <w:vAlign w:val="bottom"/>
          </w:tcPr>
          <w:p w14:paraId="69037184"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National crime agency (naka)</w:t>
            </w:r>
          </w:p>
        </w:tc>
      </w:tr>
      <w:tr w:rsidR="00170573" w:rsidRPr="000441B2" w14:paraId="727F63BD"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tcPr>
          <w:p w14:paraId="1FD21C75" w14:textId="77777777" w:rsidR="00170573" w:rsidRDefault="00170573" w:rsidP="00C451D4">
            <w:pPr>
              <w:spacing w:after="0"/>
              <w:rPr>
                <w:rFonts w:cs="Calibri"/>
                <w:b/>
                <w:bCs/>
                <w:noProof/>
                <w:szCs w:val="18"/>
                <w:lang w:val="en-GB" w:eastAsia="en-GB"/>
              </w:rPr>
            </w:pPr>
          </w:p>
        </w:tc>
        <w:tc>
          <w:tcPr>
            <w:tcW w:w="3104" w:type="pct"/>
            <w:vAlign w:val="bottom"/>
          </w:tcPr>
          <w:p w14:paraId="5A9A74CB"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Presidium of Police Force, Criminal Police Bureau, Spectator Violence Unit, National Football Information Point</w:t>
            </w:r>
          </w:p>
        </w:tc>
      </w:tr>
      <w:tr w:rsidR="00170573" w:rsidRPr="005041AC" w14:paraId="2A890BB7" w14:textId="77777777" w:rsidTr="00C451D4">
        <w:trPr>
          <w:trHeight w:val="20"/>
        </w:trPr>
        <w:tc>
          <w:tcPr>
            <w:tcW w:w="1896" w:type="pct"/>
            <w:vMerge/>
            <w:vAlign w:val="center"/>
          </w:tcPr>
          <w:p w14:paraId="1C223B41" w14:textId="77777777" w:rsidR="00170573" w:rsidRDefault="00170573" w:rsidP="00C451D4">
            <w:pPr>
              <w:spacing w:after="0"/>
              <w:rPr>
                <w:rFonts w:cs="Calibri"/>
                <w:b/>
                <w:bCs/>
                <w:noProof/>
                <w:szCs w:val="18"/>
                <w:lang w:val="en-GB" w:eastAsia="en-GB"/>
              </w:rPr>
            </w:pPr>
          </w:p>
        </w:tc>
        <w:tc>
          <w:tcPr>
            <w:tcW w:w="3104" w:type="pct"/>
            <w:vAlign w:val="bottom"/>
          </w:tcPr>
          <w:p w14:paraId="6847EE2C" w14:textId="77777777" w:rsidR="00170573" w:rsidRPr="000441B2" w:rsidRDefault="00170573" w:rsidP="00C451D4">
            <w:pPr>
              <w:spacing w:after="0"/>
              <w:rPr>
                <w:rFonts w:cs="Calibri"/>
                <w:noProof/>
                <w:szCs w:val="18"/>
                <w:lang w:val="en-GB" w:eastAsia="en-GB"/>
              </w:rPr>
            </w:pPr>
            <w:r w:rsidRPr="00873181">
              <w:rPr>
                <w:rFonts w:cs="Calibri"/>
                <w:noProof/>
                <w:szCs w:val="18"/>
                <w:lang w:val="en-GB" w:eastAsia="en-GB"/>
              </w:rPr>
              <w:t>Presidium of the Police Corps, Criminal Police Office, Department of Criminal Investigation</w:t>
            </w:r>
          </w:p>
        </w:tc>
      </w:tr>
      <w:tr w:rsidR="00170573" w:rsidRPr="000441B2" w14:paraId="42A9ABD9"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Align w:val="center"/>
            <w:hideMark/>
          </w:tcPr>
          <w:p w14:paraId="66933D60"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Slovenia</w:t>
            </w:r>
          </w:p>
        </w:tc>
        <w:tc>
          <w:tcPr>
            <w:tcW w:w="3104" w:type="pct"/>
            <w:hideMark/>
          </w:tcPr>
          <w:p w14:paraId="39A67A2C"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General police directorate </w:t>
            </w:r>
          </w:p>
        </w:tc>
      </w:tr>
      <w:tr w:rsidR="00170573" w:rsidRPr="000441B2" w14:paraId="6FFFA5D6" w14:textId="77777777" w:rsidTr="00C451D4">
        <w:trPr>
          <w:trHeight w:val="20"/>
        </w:trPr>
        <w:tc>
          <w:tcPr>
            <w:tcW w:w="1896" w:type="pct"/>
            <w:vMerge w:val="restart"/>
            <w:vAlign w:val="center"/>
            <w:hideMark/>
          </w:tcPr>
          <w:p w14:paraId="023270B6"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Spain</w:t>
            </w:r>
          </w:p>
        </w:tc>
        <w:tc>
          <w:tcPr>
            <w:tcW w:w="3104" w:type="pct"/>
            <w:hideMark/>
          </w:tcPr>
          <w:p w14:paraId="641AB787"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 xml:space="preserve">Policia nacional </w:t>
            </w:r>
          </w:p>
        </w:tc>
      </w:tr>
      <w:tr w:rsidR="00170573" w:rsidRPr="000441B2" w14:paraId="62A82299"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3D89F3E2" w14:textId="77777777" w:rsidR="00170573" w:rsidRPr="000441B2" w:rsidRDefault="00170573" w:rsidP="00C451D4">
            <w:pPr>
              <w:spacing w:after="0"/>
              <w:rPr>
                <w:rFonts w:cs="Calibri"/>
                <w:b/>
                <w:bCs/>
                <w:noProof/>
                <w:szCs w:val="18"/>
                <w:lang w:val="en-GB" w:eastAsia="en-GB"/>
              </w:rPr>
            </w:pPr>
          </w:p>
        </w:tc>
        <w:tc>
          <w:tcPr>
            <w:tcW w:w="3104" w:type="pct"/>
            <w:hideMark/>
          </w:tcPr>
          <w:p w14:paraId="705E09BA"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Nfip - policia nacional</w:t>
            </w:r>
          </w:p>
        </w:tc>
      </w:tr>
      <w:tr w:rsidR="00170573" w:rsidRPr="000441B2" w14:paraId="344A615F" w14:textId="77777777" w:rsidTr="00C451D4">
        <w:trPr>
          <w:trHeight w:val="20"/>
        </w:trPr>
        <w:tc>
          <w:tcPr>
            <w:tcW w:w="1896" w:type="pct"/>
            <w:vMerge/>
            <w:vAlign w:val="center"/>
            <w:hideMark/>
          </w:tcPr>
          <w:p w14:paraId="67443580" w14:textId="77777777" w:rsidR="00170573" w:rsidRPr="000441B2" w:rsidRDefault="00170573" w:rsidP="00C451D4">
            <w:pPr>
              <w:spacing w:after="0"/>
              <w:rPr>
                <w:rFonts w:cs="Calibri"/>
                <w:b/>
                <w:bCs/>
                <w:noProof/>
                <w:szCs w:val="18"/>
                <w:lang w:val="en-GB" w:eastAsia="en-GB"/>
              </w:rPr>
            </w:pPr>
          </w:p>
        </w:tc>
        <w:tc>
          <w:tcPr>
            <w:tcW w:w="3104" w:type="pct"/>
            <w:hideMark/>
          </w:tcPr>
          <w:p w14:paraId="3EC55B3F"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State Secretary for Security</w:t>
            </w:r>
          </w:p>
        </w:tc>
      </w:tr>
      <w:tr w:rsidR="00170573" w:rsidRPr="008651E0" w14:paraId="6E7040EA"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ign w:val="center"/>
            <w:hideMark/>
          </w:tcPr>
          <w:p w14:paraId="2486390E" w14:textId="77777777" w:rsidR="00170573" w:rsidRPr="000441B2" w:rsidRDefault="00170573" w:rsidP="00C451D4">
            <w:pPr>
              <w:spacing w:after="0"/>
              <w:rPr>
                <w:rFonts w:cs="Calibri"/>
                <w:b/>
                <w:bCs/>
                <w:noProof/>
                <w:szCs w:val="18"/>
                <w:lang w:val="en-GB" w:eastAsia="en-GB"/>
              </w:rPr>
            </w:pPr>
          </w:p>
        </w:tc>
        <w:tc>
          <w:tcPr>
            <w:tcW w:w="3104" w:type="pct"/>
            <w:hideMark/>
          </w:tcPr>
          <w:p w14:paraId="4C4782C3" w14:textId="77777777" w:rsidR="00170573" w:rsidRPr="00A01E2B" w:rsidRDefault="00170573" w:rsidP="00C451D4">
            <w:pPr>
              <w:spacing w:after="0"/>
              <w:rPr>
                <w:rFonts w:cs="Calibri"/>
                <w:noProof/>
                <w:szCs w:val="18"/>
                <w:lang w:val="pt-BR" w:eastAsia="en-GB"/>
              </w:rPr>
            </w:pPr>
            <w:r w:rsidRPr="00A01E2B">
              <w:rPr>
                <w:rFonts w:cs="Calibri"/>
                <w:noProof/>
                <w:szCs w:val="18"/>
                <w:lang w:val="pt-BR" w:eastAsia="en-GB"/>
              </w:rPr>
              <w:t>Comisaría General de Policia Judicial- Unidad Central de Delincuencia Especializada y Violenta- Brigada de Patrimonio Histórico</w:t>
            </w:r>
          </w:p>
        </w:tc>
      </w:tr>
      <w:tr w:rsidR="00170573" w:rsidRPr="000441B2" w14:paraId="0FE65B0A" w14:textId="77777777" w:rsidTr="00C451D4">
        <w:trPr>
          <w:trHeight w:val="20"/>
        </w:trPr>
        <w:tc>
          <w:tcPr>
            <w:tcW w:w="1896" w:type="pct"/>
            <w:vMerge/>
            <w:vAlign w:val="center"/>
            <w:hideMark/>
          </w:tcPr>
          <w:p w14:paraId="6377352F" w14:textId="77777777" w:rsidR="00170573" w:rsidRPr="001246D3" w:rsidRDefault="00170573" w:rsidP="00C451D4">
            <w:pPr>
              <w:spacing w:after="0"/>
              <w:rPr>
                <w:rFonts w:cs="Calibri"/>
                <w:b/>
                <w:noProof/>
                <w:szCs w:val="18"/>
                <w:lang w:val="pt-BR" w:eastAsia="en-GB"/>
              </w:rPr>
            </w:pPr>
          </w:p>
        </w:tc>
        <w:tc>
          <w:tcPr>
            <w:tcW w:w="3104" w:type="pct"/>
            <w:hideMark/>
          </w:tcPr>
          <w:p w14:paraId="6F4046BB"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Customs</w:t>
            </w:r>
          </w:p>
        </w:tc>
      </w:tr>
      <w:tr w:rsidR="00170573" w:rsidRPr="000441B2" w14:paraId="3C64E45C"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Merge w:val="restart"/>
            <w:vAlign w:val="center"/>
            <w:hideMark/>
          </w:tcPr>
          <w:p w14:paraId="133F3FB7" w14:textId="77777777" w:rsidR="00170573" w:rsidRPr="000441B2" w:rsidRDefault="00170573" w:rsidP="00C451D4">
            <w:pPr>
              <w:spacing w:after="0"/>
              <w:rPr>
                <w:rFonts w:cs="Calibri"/>
                <w:b/>
                <w:bCs/>
                <w:noProof/>
                <w:szCs w:val="18"/>
                <w:lang w:val="en-GB" w:eastAsia="en-GB"/>
              </w:rPr>
            </w:pPr>
            <w:r w:rsidRPr="000441B2">
              <w:rPr>
                <w:rFonts w:cs="Calibri"/>
                <w:b/>
                <w:bCs/>
                <w:noProof/>
                <w:szCs w:val="18"/>
                <w:lang w:val="en-GB" w:eastAsia="en-GB"/>
              </w:rPr>
              <w:t>Sweden</w:t>
            </w:r>
          </w:p>
        </w:tc>
        <w:tc>
          <w:tcPr>
            <w:tcW w:w="3104" w:type="pct"/>
            <w:hideMark/>
          </w:tcPr>
          <w:p w14:paraId="7C7C01FB" w14:textId="77777777" w:rsidR="00170573" w:rsidRPr="000441B2" w:rsidRDefault="00170573" w:rsidP="00C451D4">
            <w:pPr>
              <w:spacing w:after="0"/>
              <w:rPr>
                <w:rFonts w:cs="Calibri"/>
                <w:noProof/>
                <w:szCs w:val="18"/>
                <w:lang w:val="en-GB" w:eastAsia="en-GB"/>
              </w:rPr>
            </w:pPr>
            <w:r w:rsidRPr="000441B2">
              <w:rPr>
                <w:rFonts w:cs="Calibri"/>
                <w:noProof/>
                <w:szCs w:val="18"/>
                <w:lang w:val="en-GB" w:eastAsia="en-GB"/>
              </w:rPr>
              <w:t>Customs</w:t>
            </w:r>
          </w:p>
        </w:tc>
      </w:tr>
      <w:tr w:rsidR="00170573" w:rsidRPr="000441B2" w14:paraId="0FFEC5D0" w14:textId="77777777" w:rsidTr="00C451D4">
        <w:trPr>
          <w:trHeight w:val="20"/>
        </w:trPr>
        <w:tc>
          <w:tcPr>
            <w:tcW w:w="1896" w:type="pct"/>
            <w:vMerge/>
            <w:vAlign w:val="center"/>
          </w:tcPr>
          <w:p w14:paraId="05995FBD" w14:textId="77777777" w:rsidR="00170573" w:rsidRPr="000441B2" w:rsidRDefault="00170573" w:rsidP="00C451D4">
            <w:pPr>
              <w:spacing w:after="0"/>
              <w:rPr>
                <w:rFonts w:cs="Calibri"/>
                <w:b/>
                <w:bCs/>
                <w:noProof/>
                <w:szCs w:val="18"/>
                <w:lang w:val="en-GB" w:eastAsia="en-GB"/>
              </w:rPr>
            </w:pPr>
          </w:p>
        </w:tc>
        <w:tc>
          <w:tcPr>
            <w:tcW w:w="3104" w:type="pct"/>
          </w:tcPr>
          <w:p w14:paraId="67FA7F9E" w14:textId="77777777" w:rsidR="00170573" w:rsidRPr="00873181" w:rsidRDefault="00170573" w:rsidP="00C451D4">
            <w:pPr>
              <w:spacing w:after="0"/>
              <w:rPr>
                <w:rFonts w:cs="Calibri"/>
                <w:noProof/>
                <w:szCs w:val="18"/>
                <w:lang w:val="en-GB" w:eastAsia="en-GB"/>
              </w:rPr>
            </w:pPr>
            <w:r w:rsidRPr="00873181">
              <w:rPr>
                <w:rFonts w:cs="Calibri"/>
                <w:noProof/>
                <w:szCs w:val="18"/>
                <w:lang w:val="en-GB" w:eastAsia="en-GB"/>
              </w:rPr>
              <w:t>The swedish police authority</w:t>
            </w:r>
          </w:p>
        </w:tc>
      </w:tr>
      <w:tr w:rsidR="00170573" w:rsidRPr="005041AC" w14:paraId="0520816A"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vAlign w:val="center"/>
          </w:tcPr>
          <w:p w14:paraId="3BF7883E" w14:textId="77777777" w:rsidR="00170573" w:rsidRPr="000441B2" w:rsidRDefault="00170573" w:rsidP="00C451D4">
            <w:pPr>
              <w:spacing w:after="0"/>
              <w:rPr>
                <w:rFonts w:cs="Calibri"/>
                <w:b/>
                <w:bCs/>
                <w:noProof/>
                <w:szCs w:val="18"/>
                <w:lang w:val="en-GB" w:eastAsia="en-GB"/>
              </w:rPr>
            </w:pPr>
            <w:r>
              <w:rPr>
                <w:rFonts w:cs="Calibri"/>
                <w:b/>
                <w:bCs/>
                <w:noProof/>
                <w:szCs w:val="18"/>
                <w:lang w:val="en-GB" w:eastAsia="en-GB"/>
              </w:rPr>
              <w:t>Switzerland</w:t>
            </w:r>
          </w:p>
        </w:tc>
        <w:tc>
          <w:tcPr>
            <w:tcW w:w="3104" w:type="pct"/>
          </w:tcPr>
          <w:p w14:paraId="22327789" w14:textId="77777777" w:rsidR="00170573" w:rsidRPr="00873181" w:rsidRDefault="00170573" w:rsidP="00C451D4">
            <w:pPr>
              <w:spacing w:after="0"/>
              <w:rPr>
                <w:rFonts w:cs="Calibri"/>
                <w:noProof/>
                <w:szCs w:val="18"/>
                <w:lang w:val="en-GB" w:eastAsia="en-GB"/>
              </w:rPr>
            </w:pPr>
            <w:r w:rsidRPr="00873181">
              <w:rPr>
                <w:rFonts w:cs="Calibri"/>
                <w:noProof/>
                <w:szCs w:val="18"/>
                <w:lang w:val="en-GB" w:eastAsia="en-GB"/>
              </w:rPr>
              <w:t>Swiss Federal Office of Police fedpol</w:t>
            </w:r>
          </w:p>
        </w:tc>
      </w:tr>
    </w:tbl>
    <w:p w14:paraId="4B116D4A"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0A658B31" w14:textId="77777777" w:rsidR="00170573" w:rsidRPr="00237337" w:rsidRDefault="00170573" w:rsidP="00170573">
      <w:pPr>
        <w:rPr>
          <w:rFonts w:ascii="Times New Roman" w:hAnsi="Times New Roman" w:cs="Times New Roman"/>
          <w:b/>
          <w:noProof/>
          <w:sz w:val="24"/>
        </w:rPr>
      </w:pPr>
      <w:r w:rsidRPr="00237337">
        <w:rPr>
          <w:rFonts w:ascii="Times New Roman" w:hAnsi="Times New Roman" w:cs="Times New Roman"/>
          <w:b/>
          <w:noProof/>
          <w:sz w:val="24"/>
        </w:rPr>
        <w:t>National Judicial Authorities</w:t>
      </w:r>
    </w:p>
    <w:p w14:paraId="74998242" w14:textId="77777777" w:rsidR="00170573" w:rsidRPr="00245FF0" w:rsidRDefault="00170573" w:rsidP="00170573">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the stakeholders consulted from National Judicial Authorities</w:t>
      </w:r>
    </w:p>
    <w:tbl>
      <w:tblPr>
        <w:tblStyle w:val="DocumentTable11"/>
        <w:tblW w:w="5000" w:type="pct"/>
        <w:tblLook w:val="04A0" w:firstRow="1" w:lastRow="0" w:firstColumn="1" w:lastColumn="0" w:noHBand="0" w:noVBand="1"/>
      </w:tblPr>
      <w:tblGrid>
        <w:gridCol w:w="3737"/>
        <w:gridCol w:w="6117"/>
      </w:tblGrid>
      <w:tr w:rsidR="00170573" w:rsidRPr="00177120" w14:paraId="7CD6C128" w14:textId="77777777" w:rsidTr="00C451D4">
        <w:trPr>
          <w:cnfStyle w:val="100000000000" w:firstRow="1" w:lastRow="0" w:firstColumn="0" w:lastColumn="0" w:oddVBand="0" w:evenVBand="0" w:oddHBand="0" w:evenHBand="0" w:firstRowFirstColumn="0" w:firstRowLastColumn="0" w:lastRowFirstColumn="0" w:lastRowLastColumn="0"/>
          <w:trHeight w:val="20"/>
        </w:trPr>
        <w:tc>
          <w:tcPr>
            <w:tcW w:w="1896" w:type="pct"/>
          </w:tcPr>
          <w:p w14:paraId="4027054E" w14:textId="77777777" w:rsidR="00170573" w:rsidRPr="00CB2DE9" w:rsidRDefault="00170573" w:rsidP="00C451D4">
            <w:pPr>
              <w:spacing w:after="0"/>
              <w:jc w:val="center"/>
              <w:rPr>
                <w:rFonts w:cs="Calibri"/>
                <w:b w:val="0"/>
                <w:bCs/>
                <w:noProof/>
                <w:szCs w:val="18"/>
                <w:lang w:val="en-GB" w:eastAsia="en-GB"/>
              </w:rPr>
            </w:pPr>
            <w:r w:rsidRPr="00CB2DE9">
              <w:rPr>
                <w:rFonts w:cs="Calibri"/>
                <w:noProof/>
                <w:color w:val="FFFFFF" w:themeColor="background1"/>
                <w:szCs w:val="18"/>
                <w:lang w:val="en-GB" w:eastAsia="en-GB"/>
              </w:rPr>
              <w:t>Country</w:t>
            </w:r>
          </w:p>
        </w:tc>
        <w:tc>
          <w:tcPr>
            <w:tcW w:w="3104" w:type="pct"/>
          </w:tcPr>
          <w:p w14:paraId="34034765" w14:textId="77777777" w:rsidR="00170573" w:rsidRPr="00CB2DE9" w:rsidRDefault="00170573" w:rsidP="00C451D4">
            <w:pPr>
              <w:spacing w:after="0"/>
              <w:jc w:val="center"/>
              <w:rPr>
                <w:rFonts w:cs="Calibri"/>
                <w:noProof/>
                <w:szCs w:val="18"/>
                <w:lang w:val="en-GB" w:eastAsia="en-GB"/>
              </w:rPr>
            </w:pPr>
            <w:r w:rsidRPr="00CB2DE9">
              <w:rPr>
                <w:rFonts w:cs="Calibri"/>
                <w:noProof/>
                <w:color w:val="FFFFFF" w:themeColor="background1"/>
                <w:szCs w:val="18"/>
                <w:lang w:val="en-GB" w:eastAsia="en-GB"/>
              </w:rPr>
              <w:t>Institution</w:t>
            </w:r>
            <w:r>
              <w:rPr>
                <w:rFonts w:cs="Calibri"/>
                <w:noProof/>
                <w:color w:val="FFFFFF" w:themeColor="background1"/>
                <w:szCs w:val="18"/>
                <w:lang w:val="en-GB" w:eastAsia="en-GB"/>
              </w:rPr>
              <w:t xml:space="preserve"> (n° of respondents)</w:t>
            </w:r>
          </w:p>
        </w:tc>
      </w:tr>
      <w:tr w:rsidR="00170573" w:rsidRPr="00AA1544" w14:paraId="4F059FE4"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55BD2912"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Cyprus</w:t>
            </w:r>
          </w:p>
        </w:tc>
        <w:tc>
          <w:tcPr>
            <w:tcW w:w="3104" w:type="pct"/>
          </w:tcPr>
          <w:p w14:paraId="54DD7606" w14:textId="77777777" w:rsidR="00170573" w:rsidRPr="00CB2DE9" w:rsidRDefault="00170573" w:rsidP="00C451D4">
            <w:pPr>
              <w:spacing w:after="0"/>
              <w:rPr>
                <w:rFonts w:cs="Calibri"/>
                <w:noProof/>
                <w:szCs w:val="18"/>
                <w:lang w:val="en-GB" w:eastAsia="en-GB"/>
              </w:rPr>
            </w:pPr>
            <w:r>
              <w:rPr>
                <w:rFonts w:cs="Calibri"/>
                <w:noProof/>
                <w:szCs w:val="18"/>
                <w:lang w:val="en-GB" w:eastAsia="en-GB"/>
              </w:rPr>
              <w:t>Eurojust National Member</w:t>
            </w:r>
          </w:p>
        </w:tc>
      </w:tr>
      <w:tr w:rsidR="00170573" w:rsidRPr="00AA1544" w14:paraId="11500EC5" w14:textId="77777777" w:rsidTr="00C451D4">
        <w:trPr>
          <w:trHeight w:val="20"/>
        </w:trPr>
        <w:tc>
          <w:tcPr>
            <w:tcW w:w="1896" w:type="pct"/>
          </w:tcPr>
          <w:p w14:paraId="25D3D442"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Estonia</w:t>
            </w:r>
          </w:p>
        </w:tc>
        <w:tc>
          <w:tcPr>
            <w:tcW w:w="3104" w:type="pct"/>
          </w:tcPr>
          <w:p w14:paraId="4A82A711" w14:textId="77777777" w:rsidR="00170573" w:rsidRPr="00CB2DE9"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0D634A99"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47535C01"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Germany</w:t>
            </w:r>
          </w:p>
        </w:tc>
        <w:tc>
          <w:tcPr>
            <w:tcW w:w="3104" w:type="pct"/>
          </w:tcPr>
          <w:p w14:paraId="63FD744B" w14:textId="77777777" w:rsidR="00170573" w:rsidRPr="00CB2DE9"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051D6D02" w14:textId="77777777" w:rsidTr="00C451D4">
        <w:trPr>
          <w:trHeight w:val="20"/>
        </w:trPr>
        <w:tc>
          <w:tcPr>
            <w:tcW w:w="1896" w:type="pct"/>
          </w:tcPr>
          <w:p w14:paraId="353191E5"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Latvia</w:t>
            </w:r>
          </w:p>
        </w:tc>
        <w:tc>
          <w:tcPr>
            <w:tcW w:w="3104" w:type="pct"/>
          </w:tcPr>
          <w:p w14:paraId="49B6CE84" w14:textId="77777777" w:rsidR="00170573" w:rsidRPr="004363BF"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5ABB0D5E"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54EB8B0A"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Netherlands</w:t>
            </w:r>
          </w:p>
        </w:tc>
        <w:tc>
          <w:tcPr>
            <w:tcW w:w="3104" w:type="pct"/>
          </w:tcPr>
          <w:p w14:paraId="6B41EA01" w14:textId="77777777" w:rsidR="00170573" w:rsidRPr="004363BF"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61D394D4" w14:textId="77777777" w:rsidTr="00C451D4">
        <w:trPr>
          <w:trHeight w:val="20"/>
        </w:trPr>
        <w:tc>
          <w:tcPr>
            <w:tcW w:w="1896" w:type="pct"/>
          </w:tcPr>
          <w:p w14:paraId="54FCA34B"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Norway</w:t>
            </w:r>
          </w:p>
        </w:tc>
        <w:tc>
          <w:tcPr>
            <w:tcW w:w="3104" w:type="pct"/>
          </w:tcPr>
          <w:p w14:paraId="7B114D68" w14:textId="77777777" w:rsidR="00170573" w:rsidRPr="004363BF"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203EC03B"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0D016136"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Portugal</w:t>
            </w:r>
          </w:p>
        </w:tc>
        <w:tc>
          <w:tcPr>
            <w:tcW w:w="3104" w:type="pct"/>
          </w:tcPr>
          <w:p w14:paraId="08FB0014" w14:textId="77777777" w:rsidR="00170573" w:rsidRPr="004363BF"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7F4D8DCE" w14:textId="77777777" w:rsidTr="00C451D4">
        <w:trPr>
          <w:trHeight w:val="20"/>
        </w:trPr>
        <w:tc>
          <w:tcPr>
            <w:tcW w:w="1896" w:type="pct"/>
          </w:tcPr>
          <w:p w14:paraId="22615D6B"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Romania</w:t>
            </w:r>
          </w:p>
        </w:tc>
        <w:tc>
          <w:tcPr>
            <w:tcW w:w="3104" w:type="pct"/>
          </w:tcPr>
          <w:p w14:paraId="0C499E60" w14:textId="77777777" w:rsidR="00170573" w:rsidRPr="004363BF"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127CD87A"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5D461C3C"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Slovakia</w:t>
            </w:r>
          </w:p>
        </w:tc>
        <w:tc>
          <w:tcPr>
            <w:tcW w:w="3104" w:type="pct"/>
          </w:tcPr>
          <w:p w14:paraId="65B60223" w14:textId="77777777" w:rsidR="00170573" w:rsidRPr="004363BF"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6EB30864" w14:textId="77777777" w:rsidTr="00C451D4">
        <w:trPr>
          <w:trHeight w:val="20"/>
        </w:trPr>
        <w:tc>
          <w:tcPr>
            <w:tcW w:w="1896" w:type="pct"/>
          </w:tcPr>
          <w:p w14:paraId="5A89790A"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Sweden</w:t>
            </w:r>
          </w:p>
        </w:tc>
        <w:tc>
          <w:tcPr>
            <w:tcW w:w="3104" w:type="pct"/>
          </w:tcPr>
          <w:p w14:paraId="66F561BA" w14:textId="77777777" w:rsidR="00170573" w:rsidRPr="004363BF"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r w:rsidR="00170573" w:rsidRPr="00177120" w14:paraId="6C4A040E"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6555CCC7" w14:textId="77777777" w:rsidR="00170573" w:rsidRPr="00185FD6" w:rsidRDefault="00170573" w:rsidP="00C451D4">
            <w:pPr>
              <w:spacing w:after="0"/>
              <w:rPr>
                <w:rFonts w:cs="Calibri"/>
                <w:b/>
                <w:bCs/>
                <w:noProof/>
                <w:szCs w:val="18"/>
                <w:lang w:val="en-GB" w:eastAsia="en-GB"/>
              </w:rPr>
            </w:pPr>
            <w:r w:rsidRPr="00185FD6">
              <w:rPr>
                <w:rFonts w:cs="Calibri"/>
                <w:b/>
                <w:bCs/>
                <w:noProof/>
                <w:szCs w:val="18"/>
                <w:lang w:val="en-GB" w:eastAsia="en-GB"/>
              </w:rPr>
              <w:t>Switzerland</w:t>
            </w:r>
          </w:p>
        </w:tc>
        <w:tc>
          <w:tcPr>
            <w:tcW w:w="3104" w:type="pct"/>
          </w:tcPr>
          <w:p w14:paraId="279DD03A" w14:textId="77777777" w:rsidR="00170573" w:rsidRPr="004363BF" w:rsidRDefault="00170573" w:rsidP="00C451D4">
            <w:pPr>
              <w:spacing w:after="0"/>
              <w:rPr>
                <w:rFonts w:cs="Calibri"/>
                <w:noProof/>
                <w:szCs w:val="18"/>
                <w:lang w:val="en-GB" w:eastAsia="en-GB"/>
              </w:rPr>
            </w:pPr>
            <w:r w:rsidRPr="0029647C">
              <w:rPr>
                <w:rFonts w:cs="Calibri"/>
                <w:noProof/>
                <w:szCs w:val="18"/>
                <w:lang w:val="en-GB" w:eastAsia="en-GB"/>
              </w:rPr>
              <w:t>Eurojust National Member</w:t>
            </w:r>
          </w:p>
        </w:tc>
      </w:tr>
    </w:tbl>
    <w:p w14:paraId="6E8A75C2"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50D48A3D" w14:textId="77777777" w:rsidR="00170573" w:rsidRPr="00245FF0" w:rsidRDefault="00170573" w:rsidP="00170573">
      <w:pPr>
        <w:rPr>
          <w:rFonts w:ascii="Times New Roman" w:hAnsi="Times New Roman" w:cs="Times New Roman"/>
          <w:b/>
          <w:noProof/>
          <w:sz w:val="24"/>
          <w:szCs w:val="24"/>
        </w:rPr>
      </w:pPr>
      <w:r w:rsidRPr="00245FF0">
        <w:rPr>
          <w:rFonts w:ascii="Times New Roman" w:hAnsi="Times New Roman" w:cs="Times New Roman"/>
          <w:b/>
          <w:noProof/>
          <w:sz w:val="24"/>
          <w:szCs w:val="24"/>
        </w:rPr>
        <w:t>National Data Protection Authorities</w:t>
      </w:r>
    </w:p>
    <w:p w14:paraId="04C81C42" w14:textId="77777777" w:rsidR="00170573" w:rsidRPr="00245FF0" w:rsidRDefault="00170573" w:rsidP="00170573">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the stakeholders consulted from National Data Protection Authorities</w:t>
      </w:r>
    </w:p>
    <w:tbl>
      <w:tblPr>
        <w:tblStyle w:val="DocumentTable11"/>
        <w:tblW w:w="5000" w:type="pct"/>
        <w:tblLook w:val="04A0" w:firstRow="1" w:lastRow="0" w:firstColumn="1" w:lastColumn="0" w:noHBand="0" w:noVBand="1"/>
      </w:tblPr>
      <w:tblGrid>
        <w:gridCol w:w="3737"/>
        <w:gridCol w:w="6117"/>
      </w:tblGrid>
      <w:tr w:rsidR="00170573" w:rsidRPr="00177120" w14:paraId="022E3177" w14:textId="77777777" w:rsidTr="00C451D4">
        <w:trPr>
          <w:cnfStyle w:val="100000000000" w:firstRow="1" w:lastRow="0" w:firstColumn="0" w:lastColumn="0" w:oddVBand="0" w:evenVBand="0" w:oddHBand="0" w:evenHBand="0" w:firstRowFirstColumn="0" w:firstRowLastColumn="0" w:lastRowFirstColumn="0" w:lastRowLastColumn="0"/>
          <w:trHeight w:val="20"/>
        </w:trPr>
        <w:tc>
          <w:tcPr>
            <w:tcW w:w="1896" w:type="pct"/>
          </w:tcPr>
          <w:p w14:paraId="0BF0B824" w14:textId="77777777" w:rsidR="00170573" w:rsidRPr="00CB2DE9" w:rsidRDefault="00170573" w:rsidP="00C451D4">
            <w:pPr>
              <w:spacing w:after="0"/>
              <w:jc w:val="center"/>
              <w:rPr>
                <w:rFonts w:cs="Calibri"/>
                <w:b w:val="0"/>
                <w:bCs/>
                <w:noProof/>
                <w:szCs w:val="18"/>
                <w:lang w:val="en-GB" w:eastAsia="en-GB"/>
              </w:rPr>
            </w:pPr>
            <w:r w:rsidRPr="00CB2DE9">
              <w:rPr>
                <w:rFonts w:cs="Calibri"/>
                <w:noProof/>
                <w:color w:val="FFFFFF" w:themeColor="background1"/>
                <w:szCs w:val="18"/>
                <w:lang w:val="en-GB" w:eastAsia="en-GB"/>
              </w:rPr>
              <w:t>Country</w:t>
            </w:r>
          </w:p>
        </w:tc>
        <w:tc>
          <w:tcPr>
            <w:tcW w:w="3104" w:type="pct"/>
          </w:tcPr>
          <w:p w14:paraId="2CD4FE58" w14:textId="77777777" w:rsidR="00170573" w:rsidRPr="00CB2DE9" w:rsidRDefault="00170573" w:rsidP="00C451D4">
            <w:pPr>
              <w:spacing w:after="0"/>
              <w:jc w:val="center"/>
              <w:rPr>
                <w:rFonts w:cs="Calibri"/>
                <w:noProof/>
                <w:szCs w:val="18"/>
                <w:lang w:val="en-GB" w:eastAsia="en-GB"/>
              </w:rPr>
            </w:pPr>
            <w:r w:rsidRPr="00CB2DE9">
              <w:rPr>
                <w:rFonts w:cs="Calibri"/>
                <w:noProof/>
                <w:color w:val="FFFFFF" w:themeColor="background1"/>
                <w:szCs w:val="18"/>
                <w:lang w:val="en-GB" w:eastAsia="en-GB"/>
              </w:rPr>
              <w:t>Institution</w:t>
            </w:r>
            <w:r>
              <w:rPr>
                <w:rFonts w:cs="Calibri"/>
                <w:noProof/>
                <w:color w:val="FFFFFF" w:themeColor="background1"/>
                <w:szCs w:val="18"/>
                <w:lang w:val="en-GB" w:eastAsia="en-GB"/>
              </w:rPr>
              <w:t xml:space="preserve"> (n° of respondents)</w:t>
            </w:r>
          </w:p>
        </w:tc>
      </w:tr>
      <w:tr w:rsidR="00170573" w:rsidRPr="00177120" w14:paraId="5350B786"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412C5E40"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Belgium</w:t>
            </w:r>
          </w:p>
        </w:tc>
        <w:tc>
          <w:tcPr>
            <w:tcW w:w="3104" w:type="pct"/>
          </w:tcPr>
          <w:p w14:paraId="5E2883AF" w14:textId="77777777" w:rsidR="00170573" w:rsidRPr="00CB2DE9"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2A6C3328" w14:textId="77777777" w:rsidTr="00C451D4">
        <w:trPr>
          <w:trHeight w:val="20"/>
        </w:trPr>
        <w:tc>
          <w:tcPr>
            <w:tcW w:w="1896" w:type="pct"/>
          </w:tcPr>
          <w:p w14:paraId="5A9D7F8C"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Bulgaria</w:t>
            </w:r>
          </w:p>
        </w:tc>
        <w:tc>
          <w:tcPr>
            <w:tcW w:w="3104" w:type="pct"/>
          </w:tcPr>
          <w:p w14:paraId="6732FEF7" w14:textId="77777777" w:rsidR="00170573" w:rsidRPr="00CB2DE9"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7D6B27A0"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13F34ED0"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Croatia</w:t>
            </w:r>
          </w:p>
        </w:tc>
        <w:tc>
          <w:tcPr>
            <w:tcW w:w="3104" w:type="pct"/>
          </w:tcPr>
          <w:p w14:paraId="78234DC3" w14:textId="77777777" w:rsidR="00170573" w:rsidRPr="00CB2DE9"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01022181" w14:textId="77777777" w:rsidTr="00C451D4">
        <w:trPr>
          <w:trHeight w:val="20"/>
        </w:trPr>
        <w:tc>
          <w:tcPr>
            <w:tcW w:w="1896" w:type="pct"/>
          </w:tcPr>
          <w:p w14:paraId="12DC13A6"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Cyprus</w:t>
            </w:r>
          </w:p>
        </w:tc>
        <w:tc>
          <w:tcPr>
            <w:tcW w:w="3104" w:type="pct"/>
          </w:tcPr>
          <w:p w14:paraId="1FEA77C9" w14:textId="77777777" w:rsidR="00170573"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7A0768AE"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49CC1047"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Estonia</w:t>
            </w:r>
          </w:p>
        </w:tc>
        <w:tc>
          <w:tcPr>
            <w:tcW w:w="3104" w:type="pct"/>
          </w:tcPr>
          <w:p w14:paraId="34995966" w14:textId="77777777" w:rsidR="00170573"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7E3BC1C7" w14:textId="77777777" w:rsidTr="00C451D4">
        <w:trPr>
          <w:trHeight w:val="20"/>
        </w:trPr>
        <w:tc>
          <w:tcPr>
            <w:tcW w:w="1896" w:type="pct"/>
          </w:tcPr>
          <w:p w14:paraId="0947D81F"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Hungary</w:t>
            </w:r>
          </w:p>
        </w:tc>
        <w:tc>
          <w:tcPr>
            <w:tcW w:w="3104" w:type="pct"/>
          </w:tcPr>
          <w:p w14:paraId="243AC8F2" w14:textId="77777777" w:rsidR="00170573"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5B20257E"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5585F5A3"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Lithuania</w:t>
            </w:r>
          </w:p>
        </w:tc>
        <w:tc>
          <w:tcPr>
            <w:tcW w:w="3104" w:type="pct"/>
          </w:tcPr>
          <w:p w14:paraId="0F2D6248" w14:textId="77777777" w:rsidR="00170573"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24F0376E" w14:textId="77777777" w:rsidTr="00C451D4">
        <w:trPr>
          <w:trHeight w:val="20"/>
        </w:trPr>
        <w:tc>
          <w:tcPr>
            <w:tcW w:w="1896" w:type="pct"/>
          </w:tcPr>
          <w:p w14:paraId="7B4B3B98"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Poland</w:t>
            </w:r>
          </w:p>
        </w:tc>
        <w:tc>
          <w:tcPr>
            <w:tcW w:w="3104" w:type="pct"/>
          </w:tcPr>
          <w:p w14:paraId="103A3AD8" w14:textId="77777777" w:rsidR="00170573"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7CEA740B"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96" w:type="pct"/>
          </w:tcPr>
          <w:p w14:paraId="2E8B2AF6"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Romania</w:t>
            </w:r>
          </w:p>
        </w:tc>
        <w:tc>
          <w:tcPr>
            <w:tcW w:w="3104" w:type="pct"/>
          </w:tcPr>
          <w:p w14:paraId="2BFBFB75" w14:textId="77777777" w:rsidR="00170573"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r w:rsidR="00170573" w:rsidRPr="00177120" w14:paraId="6A4B32E8" w14:textId="77777777" w:rsidTr="00C451D4">
        <w:trPr>
          <w:trHeight w:val="20"/>
        </w:trPr>
        <w:tc>
          <w:tcPr>
            <w:tcW w:w="1896" w:type="pct"/>
          </w:tcPr>
          <w:p w14:paraId="4972C135" w14:textId="77777777" w:rsidR="00170573" w:rsidRPr="009128FF" w:rsidRDefault="00170573" w:rsidP="00C451D4">
            <w:pPr>
              <w:spacing w:after="0"/>
              <w:rPr>
                <w:rFonts w:cs="Calibri"/>
                <w:b/>
                <w:bCs/>
                <w:noProof/>
                <w:szCs w:val="18"/>
                <w:lang w:val="en-GB" w:eastAsia="en-GB"/>
              </w:rPr>
            </w:pPr>
            <w:r w:rsidRPr="009128FF">
              <w:rPr>
                <w:rFonts w:cs="Calibri"/>
                <w:b/>
                <w:bCs/>
                <w:noProof/>
                <w:szCs w:val="18"/>
                <w:lang w:val="en-GB" w:eastAsia="en-GB"/>
              </w:rPr>
              <w:t>Slovenia</w:t>
            </w:r>
          </w:p>
        </w:tc>
        <w:tc>
          <w:tcPr>
            <w:tcW w:w="3104" w:type="pct"/>
          </w:tcPr>
          <w:p w14:paraId="526AE7CB" w14:textId="77777777" w:rsidR="00170573" w:rsidRDefault="00170573" w:rsidP="00C451D4">
            <w:pPr>
              <w:spacing w:after="0"/>
              <w:rPr>
                <w:rFonts w:cs="Calibri"/>
                <w:noProof/>
                <w:szCs w:val="18"/>
                <w:lang w:val="en-GB" w:eastAsia="en-GB"/>
              </w:rPr>
            </w:pPr>
            <w:r>
              <w:rPr>
                <w:rFonts w:cs="Calibri"/>
                <w:noProof/>
                <w:szCs w:val="18"/>
                <w:lang w:val="en-GB" w:eastAsia="en-GB"/>
              </w:rPr>
              <w:t>National Data Protection Authority</w:t>
            </w:r>
          </w:p>
        </w:tc>
      </w:tr>
    </w:tbl>
    <w:p w14:paraId="61ECD827"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562D4342" w14:textId="77777777" w:rsidR="00170573" w:rsidRPr="00245FF0" w:rsidRDefault="00170573" w:rsidP="00170573">
      <w:pPr>
        <w:rPr>
          <w:rFonts w:ascii="Times New Roman" w:hAnsi="Times New Roman" w:cs="Times New Roman"/>
          <w:noProof/>
          <w:sz w:val="24"/>
          <w:szCs w:val="24"/>
        </w:rPr>
      </w:pPr>
      <w:r w:rsidRPr="00245FF0">
        <w:rPr>
          <w:rFonts w:ascii="Times New Roman" w:hAnsi="Times New Roman" w:cs="Times New Roman"/>
          <w:b/>
          <w:i/>
          <w:noProof/>
          <w:sz w:val="24"/>
          <w:szCs w:val="24"/>
        </w:rPr>
        <w:t>Focus groups</w:t>
      </w:r>
    </w:p>
    <w:p w14:paraId="217A14D1" w14:textId="77777777" w:rsidR="00170573" w:rsidRPr="00245FF0" w:rsidRDefault="00170573" w:rsidP="00170573">
      <w:pPr>
        <w:rPr>
          <w:rFonts w:ascii="Times New Roman" w:hAnsi="Times New Roman" w:cs="Times New Roman"/>
          <w:b/>
          <w:noProof/>
          <w:sz w:val="24"/>
          <w:szCs w:val="24"/>
        </w:rPr>
      </w:pPr>
      <w:r w:rsidRPr="00245FF0">
        <w:rPr>
          <w:rFonts w:ascii="Times New Roman" w:hAnsi="Times New Roman" w:cs="Times New Roman"/>
          <w:b/>
          <w:noProof/>
          <w:sz w:val="24"/>
          <w:szCs w:val="24"/>
        </w:rPr>
        <w:t>Benelux Agreement</w:t>
      </w:r>
    </w:p>
    <w:p w14:paraId="637D6799" w14:textId="77777777" w:rsidR="00170573" w:rsidRPr="001E74FF" w:rsidRDefault="00170573" w:rsidP="00170573">
      <w:pPr>
        <w:pStyle w:val="Caption"/>
        <w:keepNext/>
        <w:jc w:val="center"/>
        <w:rPr>
          <w:noProof/>
          <w:lang w:val="en-US"/>
        </w:rPr>
      </w:pPr>
      <w:r w:rsidRPr="00245FF0">
        <w:rPr>
          <w:rFonts w:ascii="Times New Roman" w:hAnsi="Times New Roman"/>
          <w:noProof/>
          <w:sz w:val="24"/>
          <w:szCs w:val="24"/>
          <w:lang w:val="en-US"/>
        </w:rPr>
        <w:t>Overview of the stakeholders consulted with respect to the Benelux Agreement</w:t>
      </w:r>
    </w:p>
    <w:tbl>
      <w:tblPr>
        <w:tblStyle w:val="DocumentTable11"/>
        <w:tblW w:w="5000" w:type="pct"/>
        <w:tblLook w:val="04A0" w:firstRow="1" w:lastRow="0" w:firstColumn="1" w:lastColumn="0" w:noHBand="0" w:noVBand="1"/>
      </w:tblPr>
      <w:tblGrid>
        <w:gridCol w:w="3770"/>
        <w:gridCol w:w="6084"/>
      </w:tblGrid>
      <w:tr w:rsidR="00170573" w:rsidRPr="00A75E3C" w14:paraId="2DFF6454" w14:textId="77777777" w:rsidTr="00C451D4">
        <w:trPr>
          <w:cnfStyle w:val="100000000000" w:firstRow="1" w:lastRow="0" w:firstColumn="0" w:lastColumn="0" w:oddVBand="0" w:evenVBand="0" w:oddHBand="0" w:evenHBand="0" w:firstRowFirstColumn="0" w:firstRowLastColumn="0" w:lastRowFirstColumn="0" w:lastRowLastColumn="0"/>
          <w:trHeight w:val="259"/>
        </w:trPr>
        <w:tc>
          <w:tcPr>
            <w:tcW w:w="1913" w:type="pct"/>
            <w:shd w:val="clear" w:color="auto" w:fill="00B0F0"/>
          </w:tcPr>
          <w:p w14:paraId="5CFC31F8" w14:textId="77777777" w:rsidR="00170573" w:rsidRPr="00A75E3C" w:rsidRDefault="00170573" w:rsidP="00C451D4">
            <w:pPr>
              <w:spacing w:after="0"/>
              <w:jc w:val="center"/>
              <w:rPr>
                <w:noProof/>
                <w:color w:val="FFFFFF" w:themeColor="background1"/>
                <w:szCs w:val="18"/>
              </w:rPr>
            </w:pPr>
            <w:r w:rsidRPr="00A75E3C">
              <w:rPr>
                <w:noProof/>
                <w:color w:val="FFFFFF" w:themeColor="background1"/>
                <w:szCs w:val="18"/>
              </w:rPr>
              <w:t>Country</w:t>
            </w:r>
          </w:p>
        </w:tc>
        <w:tc>
          <w:tcPr>
            <w:tcW w:w="3087" w:type="pct"/>
            <w:shd w:val="clear" w:color="auto" w:fill="00B0F0"/>
            <w:vAlign w:val="center"/>
            <w:hideMark/>
          </w:tcPr>
          <w:p w14:paraId="5215EBAE" w14:textId="77777777" w:rsidR="00170573" w:rsidRPr="00A75E3C" w:rsidRDefault="00170573" w:rsidP="00C451D4">
            <w:pPr>
              <w:spacing w:after="0"/>
              <w:jc w:val="center"/>
              <w:rPr>
                <w:b w:val="0"/>
                <w:bCs/>
                <w:noProof/>
                <w:szCs w:val="18"/>
              </w:rPr>
            </w:pPr>
            <w:r w:rsidRPr="00CB2DE9">
              <w:rPr>
                <w:rFonts w:cs="Calibri"/>
                <w:noProof/>
                <w:color w:val="FFFFFF" w:themeColor="background1"/>
                <w:szCs w:val="18"/>
                <w:lang w:val="en-GB" w:eastAsia="en-GB"/>
              </w:rPr>
              <w:t>Institution</w:t>
            </w:r>
            <w:r>
              <w:rPr>
                <w:rFonts w:cs="Calibri"/>
                <w:noProof/>
                <w:color w:val="FFFFFF" w:themeColor="background1"/>
                <w:szCs w:val="18"/>
                <w:lang w:val="en-GB" w:eastAsia="en-GB"/>
              </w:rPr>
              <w:t xml:space="preserve"> (n° of participants)</w:t>
            </w:r>
          </w:p>
        </w:tc>
      </w:tr>
      <w:tr w:rsidR="00170573" w:rsidRPr="00A75E3C" w14:paraId="26E0618D" w14:textId="77777777" w:rsidTr="00C451D4">
        <w:trPr>
          <w:cnfStyle w:val="000000100000" w:firstRow="0" w:lastRow="0" w:firstColumn="0" w:lastColumn="0" w:oddVBand="0" w:evenVBand="0" w:oddHBand="1" w:evenHBand="0" w:firstRowFirstColumn="0" w:firstRowLastColumn="0" w:lastRowFirstColumn="0" w:lastRowLastColumn="0"/>
          <w:trHeight w:val="259"/>
        </w:trPr>
        <w:tc>
          <w:tcPr>
            <w:tcW w:w="1913" w:type="pct"/>
            <w:shd w:val="clear" w:color="auto" w:fill="F2F2F2" w:themeFill="background1" w:themeFillShade="F2"/>
          </w:tcPr>
          <w:p w14:paraId="39B8B67E" w14:textId="77777777" w:rsidR="00170573" w:rsidRPr="00A75E3C" w:rsidRDefault="00170573" w:rsidP="00C451D4">
            <w:pPr>
              <w:spacing w:after="0"/>
              <w:rPr>
                <w:noProof/>
                <w:color w:val="FFFFFF" w:themeColor="background1"/>
                <w:szCs w:val="18"/>
              </w:rPr>
            </w:pPr>
            <w:r w:rsidRPr="00A75E3C">
              <w:rPr>
                <w:b/>
                <w:bCs/>
                <w:noProof/>
                <w:color w:val="000000"/>
                <w:szCs w:val="18"/>
              </w:rPr>
              <w:t>Belgium</w:t>
            </w:r>
          </w:p>
        </w:tc>
        <w:tc>
          <w:tcPr>
            <w:tcW w:w="3087" w:type="pct"/>
            <w:shd w:val="clear" w:color="auto" w:fill="F2F2F2" w:themeFill="background1" w:themeFillShade="F2"/>
          </w:tcPr>
          <w:p w14:paraId="7E3DE0A7" w14:textId="77777777" w:rsidR="00170573" w:rsidRPr="00A75E3C" w:rsidRDefault="00170573" w:rsidP="00C451D4">
            <w:pPr>
              <w:spacing w:after="0"/>
              <w:rPr>
                <w:noProof/>
                <w:color w:val="FFFFFF" w:themeColor="background1"/>
                <w:szCs w:val="18"/>
              </w:rPr>
            </w:pPr>
            <w:r w:rsidRPr="00A75E3C">
              <w:rPr>
                <w:noProof/>
                <w:color w:val="000000"/>
                <w:szCs w:val="18"/>
              </w:rPr>
              <w:t>Federal Police (2)</w:t>
            </w:r>
          </w:p>
        </w:tc>
      </w:tr>
      <w:tr w:rsidR="00170573" w:rsidRPr="00A75E3C" w14:paraId="3C90378F" w14:textId="77777777" w:rsidTr="00C451D4">
        <w:trPr>
          <w:trHeight w:val="259"/>
        </w:trPr>
        <w:tc>
          <w:tcPr>
            <w:tcW w:w="1913" w:type="pct"/>
            <w:shd w:val="clear" w:color="auto" w:fill="F2F2F2" w:themeFill="background1" w:themeFillShade="F2"/>
          </w:tcPr>
          <w:p w14:paraId="090B33DF" w14:textId="77777777" w:rsidR="00170573" w:rsidRPr="00A75E3C" w:rsidRDefault="00170573" w:rsidP="00C451D4">
            <w:pPr>
              <w:spacing w:after="0"/>
              <w:rPr>
                <w:b/>
                <w:bCs/>
                <w:noProof/>
                <w:color w:val="000000"/>
                <w:szCs w:val="18"/>
              </w:rPr>
            </w:pPr>
            <w:r w:rsidRPr="00A75E3C">
              <w:rPr>
                <w:b/>
                <w:bCs/>
                <w:noProof/>
                <w:color w:val="000000"/>
                <w:szCs w:val="18"/>
              </w:rPr>
              <w:t>Luxemb</w:t>
            </w:r>
            <w:r>
              <w:rPr>
                <w:b/>
                <w:bCs/>
                <w:noProof/>
                <w:color w:val="000000"/>
                <w:szCs w:val="18"/>
              </w:rPr>
              <w:t>o</w:t>
            </w:r>
            <w:r w:rsidRPr="00A75E3C">
              <w:rPr>
                <w:b/>
                <w:bCs/>
                <w:noProof/>
                <w:color w:val="000000"/>
                <w:szCs w:val="18"/>
              </w:rPr>
              <w:t>urg</w:t>
            </w:r>
          </w:p>
        </w:tc>
        <w:tc>
          <w:tcPr>
            <w:tcW w:w="3087" w:type="pct"/>
            <w:shd w:val="clear" w:color="auto" w:fill="F2F2F2" w:themeFill="background1" w:themeFillShade="F2"/>
          </w:tcPr>
          <w:p w14:paraId="0DD196BB" w14:textId="77777777" w:rsidR="00170573" w:rsidRPr="00A75E3C" w:rsidRDefault="00170573" w:rsidP="00C451D4">
            <w:pPr>
              <w:spacing w:after="0"/>
              <w:rPr>
                <w:noProof/>
                <w:color w:val="000000"/>
                <w:szCs w:val="18"/>
              </w:rPr>
            </w:pPr>
            <w:r w:rsidRPr="00A75E3C">
              <w:rPr>
                <w:noProof/>
                <w:color w:val="000000"/>
                <w:szCs w:val="18"/>
              </w:rPr>
              <w:t>Police Grand-Ducale (2)</w:t>
            </w:r>
          </w:p>
        </w:tc>
      </w:tr>
      <w:tr w:rsidR="00170573" w:rsidRPr="00A75E3C" w14:paraId="4E6BF90E" w14:textId="77777777" w:rsidTr="00C451D4">
        <w:trPr>
          <w:cnfStyle w:val="000000100000" w:firstRow="0" w:lastRow="0" w:firstColumn="0" w:lastColumn="0" w:oddVBand="0" w:evenVBand="0" w:oddHBand="1" w:evenHBand="0" w:firstRowFirstColumn="0" w:firstRowLastColumn="0" w:lastRowFirstColumn="0" w:lastRowLastColumn="0"/>
          <w:trHeight w:val="245"/>
        </w:trPr>
        <w:tc>
          <w:tcPr>
            <w:tcW w:w="1913" w:type="pct"/>
          </w:tcPr>
          <w:p w14:paraId="03B04890" w14:textId="77777777" w:rsidR="00170573" w:rsidRPr="00A75E3C" w:rsidRDefault="00170573" w:rsidP="00C451D4">
            <w:pPr>
              <w:spacing w:after="0"/>
              <w:rPr>
                <w:b/>
                <w:bCs/>
                <w:noProof/>
                <w:color w:val="000000"/>
                <w:szCs w:val="18"/>
              </w:rPr>
            </w:pPr>
            <w:r w:rsidRPr="00A75E3C">
              <w:rPr>
                <w:b/>
                <w:bCs/>
                <w:noProof/>
                <w:color w:val="000000"/>
                <w:szCs w:val="18"/>
              </w:rPr>
              <w:t>Netherlands</w:t>
            </w:r>
          </w:p>
        </w:tc>
        <w:tc>
          <w:tcPr>
            <w:tcW w:w="3087" w:type="pct"/>
            <w:hideMark/>
          </w:tcPr>
          <w:p w14:paraId="1CDC6719" w14:textId="77777777" w:rsidR="00170573" w:rsidRPr="00A75E3C" w:rsidRDefault="00170573" w:rsidP="00C451D4">
            <w:pPr>
              <w:spacing w:after="0"/>
              <w:rPr>
                <w:noProof/>
                <w:color w:val="000000"/>
                <w:szCs w:val="18"/>
              </w:rPr>
            </w:pPr>
            <w:r w:rsidRPr="00A75E3C">
              <w:rPr>
                <w:noProof/>
                <w:color w:val="000000"/>
                <w:szCs w:val="18"/>
              </w:rPr>
              <w:t>Netherlands Defence Academy</w:t>
            </w:r>
          </w:p>
        </w:tc>
      </w:tr>
      <w:tr w:rsidR="00170573" w:rsidRPr="005041AC" w14:paraId="2EA441CF" w14:textId="77777777" w:rsidTr="00C451D4">
        <w:trPr>
          <w:trHeight w:val="259"/>
        </w:trPr>
        <w:tc>
          <w:tcPr>
            <w:tcW w:w="1913" w:type="pct"/>
          </w:tcPr>
          <w:p w14:paraId="1F3E7929" w14:textId="77777777" w:rsidR="00170573" w:rsidRPr="00A75E3C" w:rsidRDefault="00170573" w:rsidP="00C451D4">
            <w:pPr>
              <w:spacing w:after="0"/>
              <w:rPr>
                <w:b/>
                <w:bCs/>
                <w:noProof/>
                <w:color w:val="000000"/>
                <w:szCs w:val="18"/>
              </w:rPr>
            </w:pPr>
            <w:r w:rsidRPr="00A75E3C">
              <w:rPr>
                <w:b/>
                <w:bCs/>
                <w:noProof/>
                <w:color w:val="000000"/>
                <w:szCs w:val="18"/>
              </w:rPr>
              <w:t>Netherlands</w:t>
            </w:r>
          </w:p>
        </w:tc>
        <w:tc>
          <w:tcPr>
            <w:tcW w:w="3087" w:type="pct"/>
            <w:hideMark/>
          </w:tcPr>
          <w:p w14:paraId="3ABAE306" w14:textId="77777777" w:rsidR="00170573" w:rsidRPr="00EC1997" w:rsidRDefault="00170573" w:rsidP="00C451D4">
            <w:pPr>
              <w:spacing w:after="0"/>
              <w:rPr>
                <w:noProof/>
                <w:color w:val="000000"/>
                <w:szCs w:val="18"/>
                <w:lang w:val="en-GB"/>
              </w:rPr>
            </w:pPr>
            <w:r w:rsidRPr="00EC1997">
              <w:rPr>
                <w:noProof/>
                <w:color w:val="000000"/>
                <w:szCs w:val="18"/>
                <w:lang w:val="en-GB"/>
              </w:rPr>
              <w:t>Ministry of Justice and Security (2)</w:t>
            </w:r>
          </w:p>
        </w:tc>
      </w:tr>
      <w:tr w:rsidR="00170573" w:rsidRPr="00A75E3C" w14:paraId="7A6A53F8" w14:textId="77777777" w:rsidTr="00C451D4">
        <w:trPr>
          <w:cnfStyle w:val="000000100000" w:firstRow="0" w:lastRow="0" w:firstColumn="0" w:lastColumn="0" w:oddVBand="0" w:evenVBand="0" w:oddHBand="1" w:evenHBand="0" w:firstRowFirstColumn="0" w:firstRowLastColumn="0" w:lastRowFirstColumn="0" w:lastRowLastColumn="0"/>
          <w:trHeight w:val="245"/>
        </w:trPr>
        <w:tc>
          <w:tcPr>
            <w:tcW w:w="1913" w:type="pct"/>
          </w:tcPr>
          <w:p w14:paraId="6E7D79DD" w14:textId="77777777" w:rsidR="00170573" w:rsidRPr="00A75E3C" w:rsidRDefault="00170573" w:rsidP="00C451D4">
            <w:pPr>
              <w:spacing w:after="0"/>
              <w:rPr>
                <w:b/>
                <w:bCs/>
                <w:noProof/>
                <w:color w:val="000000"/>
                <w:szCs w:val="18"/>
              </w:rPr>
            </w:pPr>
            <w:r w:rsidRPr="00A75E3C">
              <w:rPr>
                <w:b/>
                <w:bCs/>
                <w:noProof/>
                <w:color w:val="000000"/>
                <w:szCs w:val="18"/>
              </w:rPr>
              <w:t>Netherlands</w:t>
            </w:r>
          </w:p>
        </w:tc>
        <w:tc>
          <w:tcPr>
            <w:tcW w:w="3087" w:type="pct"/>
            <w:hideMark/>
          </w:tcPr>
          <w:p w14:paraId="5EB9010E" w14:textId="77777777" w:rsidR="00170573" w:rsidRPr="00A75E3C" w:rsidRDefault="00170573" w:rsidP="00C451D4">
            <w:pPr>
              <w:spacing w:after="0"/>
              <w:rPr>
                <w:noProof/>
                <w:color w:val="000000"/>
                <w:szCs w:val="18"/>
              </w:rPr>
            </w:pPr>
            <w:r w:rsidRPr="00A75E3C">
              <w:rPr>
                <w:noProof/>
                <w:color w:val="000000"/>
                <w:szCs w:val="18"/>
              </w:rPr>
              <w:t>National Police (2)</w:t>
            </w:r>
          </w:p>
        </w:tc>
      </w:tr>
    </w:tbl>
    <w:p w14:paraId="5C2441C9"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3636A262" w14:textId="77777777" w:rsidR="00170573" w:rsidRPr="00237337" w:rsidRDefault="00170573" w:rsidP="00170573">
      <w:pPr>
        <w:rPr>
          <w:rFonts w:ascii="Times New Roman" w:hAnsi="Times New Roman" w:cs="Times New Roman"/>
          <w:b/>
          <w:noProof/>
          <w:sz w:val="24"/>
        </w:rPr>
      </w:pPr>
      <w:r w:rsidRPr="00237337">
        <w:rPr>
          <w:rFonts w:ascii="Times New Roman" w:hAnsi="Times New Roman" w:cs="Times New Roman"/>
          <w:b/>
          <w:noProof/>
          <w:sz w:val="24"/>
        </w:rPr>
        <w:t>Czechia-Germany Agreement</w:t>
      </w:r>
    </w:p>
    <w:p w14:paraId="690062FD" w14:textId="77777777" w:rsidR="00170573" w:rsidRPr="00245FF0" w:rsidRDefault="00170573" w:rsidP="00170573">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the stakeholders consulted with respect to the Czechia-Germany Agreement</w:t>
      </w:r>
    </w:p>
    <w:tbl>
      <w:tblPr>
        <w:tblStyle w:val="DocumentTable11"/>
        <w:tblW w:w="5000" w:type="pct"/>
        <w:tblLook w:val="04A0" w:firstRow="1" w:lastRow="0" w:firstColumn="1" w:lastColumn="0" w:noHBand="0" w:noVBand="1"/>
      </w:tblPr>
      <w:tblGrid>
        <w:gridCol w:w="3764"/>
        <w:gridCol w:w="6090"/>
      </w:tblGrid>
      <w:tr w:rsidR="00170573" w:rsidRPr="00A75E3C" w14:paraId="5F389397"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910" w:type="pct"/>
          </w:tcPr>
          <w:p w14:paraId="4EE2787F" w14:textId="77777777" w:rsidR="00170573" w:rsidRPr="00A75E3C" w:rsidRDefault="00170573" w:rsidP="00C451D4">
            <w:pPr>
              <w:keepNext/>
              <w:keepLines/>
              <w:widowControl w:val="0"/>
              <w:spacing w:after="0"/>
              <w:rPr>
                <w:b w:val="0"/>
                <w:bCs/>
                <w:noProof/>
                <w:szCs w:val="18"/>
              </w:rPr>
            </w:pPr>
            <w:r w:rsidRPr="00A75E3C">
              <w:rPr>
                <w:noProof/>
                <w:color w:val="FFFFFF" w:themeColor="background1"/>
                <w:szCs w:val="18"/>
              </w:rPr>
              <w:t>Country</w:t>
            </w:r>
          </w:p>
        </w:tc>
        <w:tc>
          <w:tcPr>
            <w:tcW w:w="3090" w:type="pct"/>
            <w:vAlign w:val="center"/>
          </w:tcPr>
          <w:p w14:paraId="61359240" w14:textId="77777777" w:rsidR="00170573" w:rsidRPr="00A75E3C" w:rsidRDefault="00170573" w:rsidP="00C451D4">
            <w:pPr>
              <w:keepNext/>
              <w:keepLines/>
              <w:widowControl w:val="0"/>
              <w:spacing w:after="0"/>
              <w:jc w:val="center"/>
              <w:rPr>
                <w:noProof/>
                <w:szCs w:val="18"/>
              </w:rPr>
            </w:pPr>
            <w:r w:rsidRPr="00CB2DE9">
              <w:rPr>
                <w:rFonts w:cs="Calibri"/>
                <w:noProof/>
                <w:color w:val="FFFFFF" w:themeColor="background1"/>
                <w:szCs w:val="18"/>
                <w:lang w:val="en-GB" w:eastAsia="en-GB"/>
              </w:rPr>
              <w:t>Institution</w:t>
            </w:r>
            <w:r>
              <w:rPr>
                <w:rFonts w:cs="Calibri"/>
                <w:noProof/>
                <w:color w:val="FFFFFF" w:themeColor="background1"/>
                <w:szCs w:val="18"/>
                <w:lang w:val="en-GB" w:eastAsia="en-GB"/>
              </w:rPr>
              <w:t xml:space="preserve"> (n° of participants)</w:t>
            </w:r>
          </w:p>
        </w:tc>
      </w:tr>
      <w:tr w:rsidR="00170573" w:rsidRPr="00A75E3C" w14:paraId="10E10D5B"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910" w:type="pct"/>
          </w:tcPr>
          <w:p w14:paraId="1882E8BE" w14:textId="77777777" w:rsidR="00170573" w:rsidRPr="00A75E3C" w:rsidRDefault="00170573" w:rsidP="00C451D4">
            <w:pPr>
              <w:keepNext/>
              <w:keepLines/>
              <w:widowControl w:val="0"/>
              <w:spacing w:after="0"/>
              <w:rPr>
                <w:b/>
                <w:bCs/>
                <w:noProof/>
                <w:szCs w:val="18"/>
              </w:rPr>
            </w:pPr>
            <w:r w:rsidRPr="00A75E3C">
              <w:rPr>
                <w:b/>
                <w:bCs/>
                <w:noProof/>
                <w:szCs w:val="18"/>
              </w:rPr>
              <w:t>Czechia</w:t>
            </w:r>
          </w:p>
        </w:tc>
        <w:tc>
          <w:tcPr>
            <w:tcW w:w="3090" w:type="pct"/>
            <w:hideMark/>
          </w:tcPr>
          <w:p w14:paraId="71276F2D" w14:textId="77777777" w:rsidR="00170573" w:rsidRPr="00A75E3C" w:rsidRDefault="00170573" w:rsidP="00C451D4">
            <w:pPr>
              <w:keepNext/>
              <w:keepLines/>
              <w:widowControl w:val="0"/>
              <w:spacing w:after="0"/>
              <w:rPr>
                <w:noProof/>
                <w:szCs w:val="18"/>
              </w:rPr>
            </w:pPr>
            <w:r w:rsidRPr="00A75E3C">
              <w:rPr>
                <w:noProof/>
                <w:szCs w:val="18"/>
              </w:rPr>
              <w:t>International police cooperation directorate (3)</w:t>
            </w:r>
          </w:p>
        </w:tc>
      </w:tr>
      <w:tr w:rsidR="00170573" w:rsidRPr="00A75E3C" w14:paraId="491499E4" w14:textId="77777777" w:rsidTr="00C451D4">
        <w:trPr>
          <w:trHeight w:val="20"/>
        </w:trPr>
        <w:tc>
          <w:tcPr>
            <w:tcW w:w="1910" w:type="pct"/>
          </w:tcPr>
          <w:p w14:paraId="24CA2737" w14:textId="77777777" w:rsidR="00170573" w:rsidRPr="00A75E3C" w:rsidRDefault="00170573" w:rsidP="00C451D4">
            <w:pPr>
              <w:keepNext/>
              <w:keepLines/>
              <w:widowControl w:val="0"/>
              <w:spacing w:after="0"/>
              <w:rPr>
                <w:b/>
                <w:bCs/>
                <w:noProof/>
                <w:szCs w:val="18"/>
              </w:rPr>
            </w:pPr>
            <w:r w:rsidRPr="00A75E3C">
              <w:rPr>
                <w:b/>
                <w:bCs/>
                <w:noProof/>
                <w:szCs w:val="18"/>
              </w:rPr>
              <w:t>Czechia</w:t>
            </w:r>
          </w:p>
        </w:tc>
        <w:tc>
          <w:tcPr>
            <w:tcW w:w="3090" w:type="pct"/>
            <w:hideMark/>
          </w:tcPr>
          <w:p w14:paraId="7A4F2392" w14:textId="77777777" w:rsidR="00170573" w:rsidRPr="00A75E3C" w:rsidRDefault="00170573" w:rsidP="00C451D4">
            <w:pPr>
              <w:keepNext/>
              <w:keepLines/>
              <w:widowControl w:val="0"/>
              <w:spacing w:after="0"/>
              <w:rPr>
                <w:noProof/>
                <w:szCs w:val="18"/>
              </w:rPr>
            </w:pPr>
            <w:r w:rsidRPr="00A75E3C">
              <w:rPr>
                <w:noProof/>
                <w:szCs w:val="18"/>
                <w:lang w:val="nl-NL"/>
              </w:rPr>
              <w:t>Cezch republic liaison officer</w:t>
            </w:r>
          </w:p>
        </w:tc>
      </w:tr>
      <w:tr w:rsidR="00170573" w:rsidRPr="00A75E3C" w14:paraId="7473F329"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910" w:type="pct"/>
          </w:tcPr>
          <w:p w14:paraId="3660916D" w14:textId="77777777" w:rsidR="00170573" w:rsidRPr="00A75E3C" w:rsidRDefault="00170573" w:rsidP="00C451D4">
            <w:pPr>
              <w:keepNext/>
              <w:keepLines/>
              <w:widowControl w:val="0"/>
              <w:spacing w:after="0"/>
              <w:rPr>
                <w:b/>
                <w:bCs/>
                <w:noProof/>
                <w:szCs w:val="18"/>
              </w:rPr>
            </w:pPr>
            <w:r w:rsidRPr="00A75E3C">
              <w:rPr>
                <w:b/>
                <w:bCs/>
                <w:noProof/>
                <w:szCs w:val="18"/>
              </w:rPr>
              <w:t>Germany</w:t>
            </w:r>
          </w:p>
        </w:tc>
        <w:tc>
          <w:tcPr>
            <w:tcW w:w="3090" w:type="pct"/>
            <w:hideMark/>
          </w:tcPr>
          <w:p w14:paraId="31B7D505" w14:textId="77777777" w:rsidR="00170573" w:rsidRPr="00A75E3C" w:rsidRDefault="00170573" w:rsidP="00C451D4">
            <w:pPr>
              <w:keepNext/>
              <w:keepLines/>
              <w:widowControl w:val="0"/>
              <w:spacing w:after="0"/>
              <w:rPr>
                <w:noProof/>
                <w:szCs w:val="18"/>
              </w:rPr>
            </w:pPr>
            <w:r w:rsidRPr="00A75E3C">
              <w:rPr>
                <w:noProof/>
                <w:szCs w:val="18"/>
              </w:rPr>
              <w:t>Police Academy Hamburg</w:t>
            </w:r>
          </w:p>
        </w:tc>
      </w:tr>
      <w:tr w:rsidR="00170573" w:rsidRPr="00A75E3C" w14:paraId="66F2CC58" w14:textId="77777777" w:rsidTr="00C451D4">
        <w:trPr>
          <w:trHeight w:val="20"/>
        </w:trPr>
        <w:tc>
          <w:tcPr>
            <w:tcW w:w="1910" w:type="pct"/>
          </w:tcPr>
          <w:p w14:paraId="1F445DA3" w14:textId="77777777" w:rsidR="00170573" w:rsidRPr="00A75E3C" w:rsidRDefault="00170573" w:rsidP="00C451D4">
            <w:pPr>
              <w:keepNext/>
              <w:keepLines/>
              <w:widowControl w:val="0"/>
              <w:spacing w:after="0"/>
              <w:rPr>
                <w:b/>
                <w:bCs/>
                <w:noProof/>
                <w:szCs w:val="18"/>
              </w:rPr>
            </w:pPr>
            <w:r w:rsidRPr="00A75E3C">
              <w:rPr>
                <w:b/>
                <w:bCs/>
                <w:noProof/>
                <w:szCs w:val="18"/>
              </w:rPr>
              <w:t>Germany</w:t>
            </w:r>
          </w:p>
        </w:tc>
        <w:tc>
          <w:tcPr>
            <w:tcW w:w="3090" w:type="pct"/>
            <w:hideMark/>
          </w:tcPr>
          <w:p w14:paraId="1CC905DE" w14:textId="77777777" w:rsidR="00170573" w:rsidRPr="00A75E3C" w:rsidRDefault="00170573" w:rsidP="00C451D4">
            <w:pPr>
              <w:keepNext/>
              <w:keepLines/>
              <w:widowControl w:val="0"/>
              <w:spacing w:after="0"/>
              <w:rPr>
                <w:noProof/>
                <w:szCs w:val="18"/>
              </w:rPr>
            </w:pPr>
            <w:r w:rsidRPr="00A75E3C">
              <w:rPr>
                <w:noProof/>
                <w:szCs w:val="18"/>
              </w:rPr>
              <w:t>Customs</w:t>
            </w:r>
          </w:p>
        </w:tc>
      </w:tr>
      <w:tr w:rsidR="00170573" w:rsidRPr="00A75E3C" w14:paraId="593DA1F1"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910" w:type="pct"/>
          </w:tcPr>
          <w:p w14:paraId="0B963CBD" w14:textId="77777777" w:rsidR="00170573" w:rsidRPr="00A75E3C" w:rsidRDefault="00170573" w:rsidP="00C451D4">
            <w:pPr>
              <w:keepNext/>
              <w:keepLines/>
              <w:widowControl w:val="0"/>
              <w:spacing w:after="0"/>
              <w:rPr>
                <w:b/>
                <w:bCs/>
                <w:noProof/>
                <w:szCs w:val="18"/>
              </w:rPr>
            </w:pPr>
            <w:r w:rsidRPr="00A75E3C">
              <w:rPr>
                <w:b/>
                <w:bCs/>
                <w:noProof/>
                <w:szCs w:val="18"/>
              </w:rPr>
              <w:t>Germany</w:t>
            </w:r>
          </w:p>
        </w:tc>
        <w:tc>
          <w:tcPr>
            <w:tcW w:w="3090" w:type="pct"/>
            <w:hideMark/>
          </w:tcPr>
          <w:p w14:paraId="1DA4E04D" w14:textId="77777777" w:rsidR="00170573" w:rsidRPr="00A75E3C" w:rsidRDefault="00170573" w:rsidP="00C451D4">
            <w:pPr>
              <w:keepNext/>
              <w:keepLines/>
              <w:widowControl w:val="0"/>
              <w:spacing w:after="0"/>
              <w:rPr>
                <w:noProof/>
                <w:szCs w:val="18"/>
              </w:rPr>
            </w:pPr>
            <w:r w:rsidRPr="00A75E3C">
              <w:rPr>
                <w:noProof/>
                <w:szCs w:val="18"/>
              </w:rPr>
              <w:t>Bavarian State Police</w:t>
            </w:r>
          </w:p>
        </w:tc>
      </w:tr>
      <w:tr w:rsidR="00170573" w:rsidRPr="00A75E3C" w14:paraId="270EF304" w14:textId="77777777" w:rsidTr="00C451D4">
        <w:trPr>
          <w:trHeight w:val="20"/>
        </w:trPr>
        <w:tc>
          <w:tcPr>
            <w:tcW w:w="1910" w:type="pct"/>
          </w:tcPr>
          <w:p w14:paraId="2C7A8EB1" w14:textId="77777777" w:rsidR="00170573" w:rsidRPr="00A75E3C" w:rsidRDefault="00170573" w:rsidP="00C451D4">
            <w:pPr>
              <w:keepNext/>
              <w:keepLines/>
              <w:widowControl w:val="0"/>
              <w:spacing w:after="0"/>
              <w:rPr>
                <w:b/>
                <w:bCs/>
                <w:noProof/>
                <w:szCs w:val="18"/>
              </w:rPr>
            </w:pPr>
            <w:r w:rsidRPr="00A75E3C">
              <w:rPr>
                <w:b/>
                <w:bCs/>
                <w:noProof/>
                <w:szCs w:val="18"/>
              </w:rPr>
              <w:t>Germany</w:t>
            </w:r>
          </w:p>
        </w:tc>
        <w:tc>
          <w:tcPr>
            <w:tcW w:w="3090" w:type="pct"/>
            <w:hideMark/>
          </w:tcPr>
          <w:p w14:paraId="74C0E49B" w14:textId="77777777" w:rsidR="00170573" w:rsidRPr="00A75E3C" w:rsidRDefault="00170573" w:rsidP="00C451D4">
            <w:pPr>
              <w:keepNext/>
              <w:keepLines/>
              <w:widowControl w:val="0"/>
              <w:spacing w:after="0"/>
              <w:rPr>
                <w:noProof/>
                <w:szCs w:val="18"/>
              </w:rPr>
            </w:pPr>
            <w:r w:rsidRPr="00A75E3C">
              <w:rPr>
                <w:noProof/>
                <w:szCs w:val="18"/>
              </w:rPr>
              <w:t>PCCC</w:t>
            </w:r>
          </w:p>
        </w:tc>
      </w:tr>
      <w:tr w:rsidR="00170573" w:rsidRPr="00A75E3C" w14:paraId="3C60E1BE"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910" w:type="pct"/>
          </w:tcPr>
          <w:p w14:paraId="038D98BA" w14:textId="77777777" w:rsidR="00170573" w:rsidRPr="00A75E3C" w:rsidRDefault="00170573" w:rsidP="00C451D4">
            <w:pPr>
              <w:keepNext/>
              <w:keepLines/>
              <w:widowControl w:val="0"/>
              <w:spacing w:after="0"/>
              <w:rPr>
                <w:b/>
                <w:bCs/>
                <w:noProof/>
                <w:szCs w:val="18"/>
              </w:rPr>
            </w:pPr>
            <w:r w:rsidRPr="00A75E3C">
              <w:rPr>
                <w:b/>
                <w:bCs/>
                <w:noProof/>
                <w:szCs w:val="18"/>
              </w:rPr>
              <w:t>Germany</w:t>
            </w:r>
          </w:p>
        </w:tc>
        <w:tc>
          <w:tcPr>
            <w:tcW w:w="3090" w:type="pct"/>
            <w:hideMark/>
          </w:tcPr>
          <w:p w14:paraId="6A28DADB" w14:textId="77777777" w:rsidR="00170573" w:rsidRPr="00A75E3C" w:rsidRDefault="00170573" w:rsidP="00C451D4">
            <w:pPr>
              <w:keepNext/>
              <w:keepLines/>
              <w:widowControl w:val="0"/>
              <w:spacing w:after="0"/>
              <w:rPr>
                <w:noProof/>
                <w:szCs w:val="18"/>
              </w:rPr>
            </w:pPr>
            <w:r w:rsidRPr="00A75E3C">
              <w:rPr>
                <w:noProof/>
                <w:szCs w:val="18"/>
              </w:rPr>
              <w:t>Ministry of Finance (2)</w:t>
            </w:r>
          </w:p>
        </w:tc>
      </w:tr>
    </w:tbl>
    <w:p w14:paraId="6BC11C39"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6A64AD9E" w14:textId="77777777" w:rsidR="00170573" w:rsidRPr="00237337" w:rsidRDefault="00170573" w:rsidP="00170573">
      <w:pPr>
        <w:rPr>
          <w:rFonts w:ascii="Times New Roman" w:hAnsi="Times New Roman" w:cs="Times New Roman"/>
          <w:b/>
          <w:noProof/>
          <w:sz w:val="24"/>
        </w:rPr>
      </w:pPr>
      <w:r w:rsidRPr="00237337">
        <w:rPr>
          <w:rFonts w:ascii="Times New Roman" w:hAnsi="Times New Roman" w:cs="Times New Roman"/>
          <w:b/>
          <w:noProof/>
          <w:sz w:val="24"/>
        </w:rPr>
        <w:t>France-Switzerland Agreement</w:t>
      </w:r>
    </w:p>
    <w:p w14:paraId="33656A6E" w14:textId="77777777" w:rsidR="00170573" w:rsidRPr="001E74FF" w:rsidRDefault="00170573" w:rsidP="00170573">
      <w:pPr>
        <w:pStyle w:val="Caption"/>
        <w:keepNext/>
        <w:jc w:val="center"/>
        <w:rPr>
          <w:noProof/>
          <w:lang w:val="en-US"/>
        </w:rPr>
      </w:pPr>
      <w:r w:rsidRPr="00245FF0">
        <w:rPr>
          <w:rFonts w:ascii="Times New Roman" w:hAnsi="Times New Roman"/>
          <w:noProof/>
          <w:sz w:val="24"/>
          <w:szCs w:val="24"/>
          <w:lang w:val="en-US"/>
        </w:rPr>
        <w:t>Overview of the stakeholders consulted with respect to the France-Switzerland Agreement</w:t>
      </w:r>
    </w:p>
    <w:tbl>
      <w:tblPr>
        <w:tblStyle w:val="DocumentTable11"/>
        <w:tblW w:w="5000" w:type="pct"/>
        <w:tblLook w:val="04A0" w:firstRow="1" w:lastRow="0" w:firstColumn="1" w:lastColumn="0" w:noHBand="0" w:noVBand="1"/>
      </w:tblPr>
      <w:tblGrid>
        <w:gridCol w:w="3764"/>
        <w:gridCol w:w="6090"/>
      </w:tblGrid>
      <w:tr w:rsidR="00170573" w:rsidRPr="00FA24C9" w14:paraId="7929605D"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910" w:type="pct"/>
            <w:shd w:val="clear" w:color="auto" w:fill="00B0F0"/>
            <w:vAlign w:val="center"/>
          </w:tcPr>
          <w:p w14:paraId="54B0C43E" w14:textId="77777777" w:rsidR="00170573" w:rsidRDefault="00170573" w:rsidP="00C451D4">
            <w:pPr>
              <w:spacing w:after="0"/>
              <w:jc w:val="center"/>
              <w:rPr>
                <w:noProof/>
                <w:color w:val="FFFFFF" w:themeColor="background1"/>
                <w:szCs w:val="18"/>
              </w:rPr>
            </w:pPr>
            <w:r>
              <w:rPr>
                <w:noProof/>
                <w:color w:val="FFFFFF" w:themeColor="background1"/>
                <w:szCs w:val="18"/>
              </w:rPr>
              <w:t>Country</w:t>
            </w:r>
          </w:p>
        </w:tc>
        <w:tc>
          <w:tcPr>
            <w:tcW w:w="3090" w:type="pct"/>
            <w:shd w:val="clear" w:color="auto" w:fill="00B0F0"/>
            <w:vAlign w:val="center"/>
            <w:hideMark/>
          </w:tcPr>
          <w:p w14:paraId="1C6566E7" w14:textId="77777777" w:rsidR="00170573" w:rsidRPr="00FA24C9" w:rsidRDefault="00170573" w:rsidP="00C451D4">
            <w:pPr>
              <w:spacing w:after="0"/>
              <w:jc w:val="center"/>
              <w:rPr>
                <w:noProof/>
                <w:color w:val="FFFFFF" w:themeColor="background1"/>
                <w:szCs w:val="18"/>
              </w:rPr>
            </w:pPr>
            <w:r w:rsidRPr="00CB2DE9">
              <w:rPr>
                <w:rFonts w:cs="Calibri"/>
                <w:noProof/>
                <w:color w:val="FFFFFF" w:themeColor="background1"/>
                <w:szCs w:val="18"/>
                <w:lang w:val="en-GB" w:eastAsia="en-GB"/>
              </w:rPr>
              <w:t>Institution</w:t>
            </w:r>
            <w:r>
              <w:rPr>
                <w:rFonts w:cs="Calibri"/>
                <w:noProof/>
                <w:color w:val="FFFFFF" w:themeColor="background1"/>
                <w:szCs w:val="18"/>
                <w:lang w:val="en-GB" w:eastAsia="en-GB"/>
              </w:rPr>
              <w:t xml:space="preserve"> (n° of participants)</w:t>
            </w:r>
          </w:p>
        </w:tc>
      </w:tr>
      <w:tr w:rsidR="00170573" w:rsidRPr="008651E0" w14:paraId="0DA4F315"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910" w:type="pct"/>
          </w:tcPr>
          <w:p w14:paraId="4362D5AF" w14:textId="77777777" w:rsidR="00170573" w:rsidRPr="00505A5C" w:rsidRDefault="00170573" w:rsidP="00C451D4">
            <w:pPr>
              <w:spacing w:after="0"/>
              <w:rPr>
                <w:b/>
                <w:bCs/>
                <w:noProof/>
                <w:szCs w:val="18"/>
              </w:rPr>
            </w:pPr>
            <w:r w:rsidRPr="00505A5C">
              <w:rPr>
                <w:b/>
                <w:bCs/>
                <w:noProof/>
                <w:szCs w:val="18"/>
              </w:rPr>
              <w:t>France</w:t>
            </w:r>
          </w:p>
        </w:tc>
        <w:tc>
          <w:tcPr>
            <w:tcW w:w="3090" w:type="pct"/>
            <w:hideMark/>
          </w:tcPr>
          <w:p w14:paraId="41AC64D4" w14:textId="77777777" w:rsidR="00170573" w:rsidRPr="00A01E2B" w:rsidRDefault="00170573" w:rsidP="00C451D4">
            <w:pPr>
              <w:spacing w:after="0"/>
              <w:rPr>
                <w:noProof/>
                <w:szCs w:val="18"/>
                <w:lang w:val="fr-BE"/>
              </w:rPr>
            </w:pPr>
            <w:r w:rsidRPr="00A01E2B">
              <w:rPr>
                <w:noProof/>
                <w:szCs w:val="18"/>
                <w:lang w:val="fr-BE"/>
              </w:rPr>
              <w:t>Secrétariat général des affaires européennes</w:t>
            </w:r>
          </w:p>
        </w:tc>
      </w:tr>
      <w:tr w:rsidR="00170573" w:rsidRPr="008651E0" w14:paraId="7087027C" w14:textId="77777777" w:rsidTr="00C451D4">
        <w:trPr>
          <w:trHeight w:val="20"/>
        </w:trPr>
        <w:tc>
          <w:tcPr>
            <w:tcW w:w="1910" w:type="pct"/>
          </w:tcPr>
          <w:p w14:paraId="0C0E2CD9" w14:textId="77777777" w:rsidR="00170573" w:rsidRPr="00505A5C" w:rsidRDefault="00170573" w:rsidP="00C451D4">
            <w:pPr>
              <w:spacing w:after="0"/>
              <w:rPr>
                <w:b/>
                <w:bCs/>
                <w:noProof/>
                <w:szCs w:val="18"/>
              </w:rPr>
            </w:pPr>
            <w:r w:rsidRPr="00505A5C">
              <w:rPr>
                <w:b/>
                <w:bCs/>
                <w:noProof/>
                <w:szCs w:val="18"/>
              </w:rPr>
              <w:t>France</w:t>
            </w:r>
          </w:p>
        </w:tc>
        <w:tc>
          <w:tcPr>
            <w:tcW w:w="3090" w:type="pct"/>
            <w:hideMark/>
          </w:tcPr>
          <w:p w14:paraId="16DB277F" w14:textId="77777777" w:rsidR="00170573" w:rsidRPr="00A01E2B" w:rsidRDefault="00170573" w:rsidP="00C451D4">
            <w:pPr>
              <w:spacing w:after="0"/>
              <w:rPr>
                <w:noProof/>
                <w:szCs w:val="18"/>
                <w:lang w:val="fr-BE"/>
              </w:rPr>
            </w:pPr>
            <w:r w:rsidRPr="00A01E2B">
              <w:rPr>
                <w:noProof/>
                <w:szCs w:val="18"/>
                <w:lang w:val="fr-BE"/>
              </w:rPr>
              <w:t>Direction de la Coopération Internationale (DCI) (2)</w:t>
            </w:r>
          </w:p>
        </w:tc>
      </w:tr>
      <w:tr w:rsidR="00170573" w:rsidRPr="008651E0" w14:paraId="274BAFD7"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910" w:type="pct"/>
          </w:tcPr>
          <w:p w14:paraId="0677369A" w14:textId="77777777" w:rsidR="00170573" w:rsidRPr="00505A5C" w:rsidRDefault="00170573" w:rsidP="00C451D4">
            <w:pPr>
              <w:spacing w:after="0"/>
              <w:rPr>
                <w:b/>
                <w:bCs/>
                <w:noProof/>
                <w:szCs w:val="18"/>
              </w:rPr>
            </w:pPr>
            <w:r w:rsidRPr="00505A5C">
              <w:rPr>
                <w:b/>
                <w:bCs/>
                <w:noProof/>
                <w:szCs w:val="18"/>
              </w:rPr>
              <w:t>France</w:t>
            </w:r>
          </w:p>
        </w:tc>
        <w:tc>
          <w:tcPr>
            <w:tcW w:w="3090" w:type="pct"/>
            <w:hideMark/>
          </w:tcPr>
          <w:p w14:paraId="2676669F" w14:textId="77777777" w:rsidR="00170573" w:rsidRPr="00A01E2B" w:rsidRDefault="00170573" w:rsidP="00C451D4">
            <w:pPr>
              <w:spacing w:after="0"/>
              <w:rPr>
                <w:noProof/>
                <w:szCs w:val="18"/>
                <w:lang w:val="fr-BE"/>
              </w:rPr>
            </w:pPr>
            <w:r w:rsidRPr="00A01E2B">
              <w:rPr>
                <w:noProof/>
                <w:szCs w:val="18"/>
                <w:lang w:val="fr-BE"/>
              </w:rPr>
              <w:t>Service de la Justice et des affaires intérieures (2)</w:t>
            </w:r>
          </w:p>
        </w:tc>
      </w:tr>
      <w:tr w:rsidR="00170573" w:rsidRPr="00FA24C9" w14:paraId="175905C7" w14:textId="77777777" w:rsidTr="00C451D4">
        <w:trPr>
          <w:trHeight w:val="20"/>
        </w:trPr>
        <w:tc>
          <w:tcPr>
            <w:tcW w:w="1910" w:type="pct"/>
          </w:tcPr>
          <w:p w14:paraId="1DA588EC" w14:textId="77777777" w:rsidR="00170573" w:rsidRPr="00505A5C" w:rsidRDefault="00170573" w:rsidP="00C451D4">
            <w:pPr>
              <w:spacing w:after="0"/>
              <w:rPr>
                <w:b/>
                <w:bCs/>
                <w:noProof/>
                <w:szCs w:val="18"/>
              </w:rPr>
            </w:pPr>
            <w:r w:rsidRPr="00505A5C">
              <w:rPr>
                <w:b/>
                <w:bCs/>
                <w:noProof/>
                <w:szCs w:val="18"/>
              </w:rPr>
              <w:t>France</w:t>
            </w:r>
          </w:p>
        </w:tc>
        <w:tc>
          <w:tcPr>
            <w:tcW w:w="3090" w:type="pct"/>
            <w:hideMark/>
          </w:tcPr>
          <w:p w14:paraId="728299F3" w14:textId="77777777" w:rsidR="00170573" w:rsidRPr="00FA24C9" w:rsidRDefault="00170573" w:rsidP="00C451D4">
            <w:pPr>
              <w:spacing w:after="0"/>
              <w:rPr>
                <w:noProof/>
                <w:szCs w:val="18"/>
              </w:rPr>
            </w:pPr>
            <w:r>
              <w:rPr>
                <w:noProof/>
                <w:szCs w:val="18"/>
              </w:rPr>
              <w:t>Police Nationale</w:t>
            </w:r>
          </w:p>
        </w:tc>
      </w:tr>
      <w:tr w:rsidR="00170573" w:rsidRPr="00FA24C9" w14:paraId="2C340BED"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910" w:type="pct"/>
          </w:tcPr>
          <w:p w14:paraId="4D3F5891" w14:textId="77777777" w:rsidR="00170573" w:rsidRPr="00505A5C" w:rsidRDefault="00170573" w:rsidP="00C451D4">
            <w:pPr>
              <w:spacing w:after="0"/>
              <w:rPr>
                <w:b/>
                <w:bCs/>
                <w:noProof/>
                <w:szCs w:val="18"/>
              </w:rPr>
            </w:pPr>
            <w:r w:rsidRPr="00505A5C">
              <w:rPr>
                <w:b/>
                <w:bCs/>
                <w:noProof/>
                <w:szCs w:val="18"/>
              </w:rPr>
              <w:t>France</w:t>
            </w:r>
          </w:p>
        </w:tc>
        <w:tc>
          <w:tcPr>
            <w:tcW w:w="3090" w:type="pct"/>
            <w:hideMark/>
          </w:tcPr>
          <w:p w14:paraId="12359223" w14:textId="77777777" w:rsidR="00170573" w:rsidRPr="00FA24C9" w:rsidRDefault="00170573" w:rsidP="00C451D4">
            <w:pPr>
              <w:spacing w:after="0"/>
              <w:rPr>
                <w:noProof/>
                <w:szCs w:val="18"/>
              </w:rPr>
            </w:pPr>
            <w:r>
              <w:rPr>
                <w:noProof/>
                <w:szCs w:val="18"/>
              </w:rPr>
              <w:t>Gendarmerie</w:t>
            </w:r>
          </w:p>
        </w:tc>
      </w:tr>
      <w:tr w:rsidR="00170573" w:rsidRPr="00FA24C9" w14:paraId="2D343B24" w14:textId="77777777" w:rsidTr="00C451D4">
        <w:trPr>
          <w:trHeight w:val="20"/>
        </w:trPr>
        <w:tc>
          <w:tcPr>
            <w:tcW w:w="1910" w:type="pct"/>
          </w:tcPr>
          <w:p w14:paraId="63BA5A50" w14:textId="77777777" w:rsidR="00170573" w:rsidRPr="00505A5C" w:rsidRDefault="00170573" w:rsidP="00C451D4">
            <w:pPr>
              <w:spacing w:after="0"/>
              <w:rPr>
                <w:b/>
                <w:bCs/>
                <w:noProof/>
                <w:szCs w:val="18"/>
              </w:rPr>
            </w:pPr>
            <w:r w:rsidRPr="00505A5C">
              <w:rPr>
                <w:b/>
                <w:bCs/>
                <w:noProof/>
                <w:szCs w:val="18"/>
              </w:rPr>
              <w:t>Switzerland</w:t>
            </w:r>
          </w:p>
        </w:tc>
        <w:tc>
          <w:tcPr>
            <w:tcW w:w="3090" w:type="pct"/>
          </w:tcPr>
          <w:p w14:paraId="7F279962" w14:textId="77777777" w:rsidR="00170573" w:rsidRDefault="00170573" w:rsidP="00C451D4">
            <w:pPr>
              <w:spacing w:after="0"/>
              <w:rPr>
                <w:noProof/>
                <w:szCs w:val="18"/>
              </w:rPr>
            </w:pPr>
            <w:r>
              <w:rPr>
                <w:noProof/>
                <w:szCs w:val="18"/>
              </w:rPr>
              <w:t>Federal Police</w:t>
            </w:r>
          </w:p>
        </w:tc>
      </w:tr>
      <w:tr w:rsidR="00170573" w:rsidRPr="008651E0" w14:paraId="1ED5ED40"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910" w:type="pct"/>
          </w:tcPr>
          <w:p w14:paraId="47CD9557" w14:textId="77777777" w:rsidR="00170573" w:rsidRPr="00505A5C" w:rsidRDefault="00170573" w:rsidP="00C451D4">
            <w:pPr>
              <w:spacing w:after="0"/>
              <w:rPr>
                <w:b/>
                <w:bCs/>
                <w:noProof/>
                <w:szCs w:val="18"/>
              </w:rPr>
            </w:pPr>
            <w:r w:rsidRPr="00505A5C">
              <w:rPr>
                <w:b/>
                <w:bCs/>
                <w:noProof/>
                <w:szCs w:val="18"/>
              </w:rPr>
              <w:t>Switzerland</w:t>
            </w:r>
          </w:p>
        </w:tc>
        <w:tc>
          <w:tcPr>
            <w:tcW w:w="3090" w:type="pct"/>
          </w:tcPr>
          <w:p w14:paraId="34E70C76" w14:textId="77777777" w:rsidR="00170573" w:rsidRPr="00A01E2B" w:rsidRDefault="00170573" w:rsidP="00C451D4">
            <w:pPr>
              <w:spacing w:after="0"/>
              <w:rPr>
                <w:noProof/>
                <w:szCs w:val="18"/>
                <w:lang w:val="fr-BE"/>
              </w:rPr>
            </w:pPr>
            <w:r w:rsidRPr="00A01E2B">
              <w:rPr>
                <w:noProof/>
                <w:szCs w:val="18"/>
                <w:lang w:val="fr-BE"/>
              </w:rPr>
              <w:t>Département de la sécurité, de l'emploi et de la santé (3)</w:t>
            </w:r>
          </w:p>
        </w:tc>
      </w:tr>
    </w:tbl>
    <w:p w14:paraId="0FFB76B0" w14:textId="77777777" w:rsidR="00170573" w:rsidRDefault="00170573" w:rsidP="00170573">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3D04E786" w14:textId="77777777" w:rsidR="00170573" w:rsidRPr="00237337" w:rsidRDefault="00170573" w:rsidP="00170573">
      <w:pPr>
        <w:rPr>
          <w:rFonts w:ascii="Times New Roman" w:hAnsi="Times New Roman" w:cs="Times New Roman"/>
          <w:b/>
          <w:noProof/>
          <w:sz w:val="24"/>
        </w:rPr>
      </w:pPr>
      <w:r w:rsidRPr="00237337">
        <w:rPr>
          <w:rFonts w:ascii="Times New Roman" w:hAnsi="Times New Roman" w:cs="Times New Roman"/>
          <w:b/>
          <w:noProof/>
          <w:sz w:val="24"/>
        </w:rPr>
        <w:t>Nordic Agreement</w:t>
      </w:r>
    </w:p>
    <w:p w14:paraId="0032D241" w14:textId="77777777" w:rsidR="00170573" w:rsidRPr="001E74FF" w:rsidRDefault="00170573" w:rsidP="00170573">
      <w:pPr>
        <w:pStyle w:val="Caption"/>
        <w:keepNext/>
        <w:jc w:val="center"/>
        <w:rPr>
          <w:noProof/>
          <w:lang w:val="en-US"/>
        </w:rPr>
      </w:pPr>
      <w:r w:rsidRPr="00245FF0">
        <w:rPr>
          <w:rFonts w:ascii="Times New Roman" w:hAnsi="Times New Roman"/>
          <w:noProof/>
          <w:sz w:val="24"/>
          <w:szCs w:val="24"/>
          <w:lang w:val="en-US"/>
        </w:rPr>
        <w:t>Overview of the stakeholders consulted with respect to the Nordic Agreement</w:t>
      </w:r>
    </w:p>
    <w:tbl>
      <w:tblPr>
        <w:tblStyle w:val="DocumentTable11"/>
        <w:tblW w:w="5000" w:type="pct"/>
        <w:tblLook w:val="04A0" w:firstRow="1" w:lastRow="0" w:firstColumn="1" w:lastColumn="0" w:noHBand="0" w:noVBand="1"/>
      </w:tblPr>
      <w:tblGrid>
        <w:gridCol w:w="3711"/>
        <w:gridCol w:w="6143"/>
      </w:tblGrid>
      <w:tr w:rsidR="00170573" w14:paraId="55D00DEA"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83" w:type="pct"/>
          </w:tcPr>
          <w:p w14:paraId="38B8C189" w14:textId="77777777" w:rsidR="00170573" w:rsidRPr="00505A5C" w:rsidRDefault="00170573" w:rsidP="00C451D4">
            <w:pPr>
              <w:spacing w:after="0"/>
              <w:jc w:val="center"/>
              <w:rPr>
                <w:b w:val="0"/>
                <w:bCs/>
                <w:noProof/>
                <w:szCs w:val="18"/>
              </w:rPr>
            </w:pPr>
            <w:r>
              <w:rPr>
                <w:noProof/>
                <w:color w:val="FFFFFF" w:themeColor="background1"/>
                <w:sz w:val="20"/>
              </w:rPr>
              <w:t>Country</w:t>
            </w:r>
          </w:p>
        </w:tc>
        <w:tc>
          <w:tcPr>
            <w:tcW w:w="3117" w:type="pct"/>
            <w:vAlign w:val="center"/>
          </w:tcPr>
          <w:p w14:paraId="22E567E9" w14:textId="77777777" w:rsidR="00170573" w:rsidRPr="00505A5C" w:rsidRDefault="00170573" w:rsidP="00C451D4">
            <w:pPr>
              <w:spacing w:after="0"/>
              <w:jc w:val="center"/>
              <w:rPr>
                <w:noProof/>
                <w:szCs w:val="18"/>
              </w:rPr>
            </w:pPr>
            <w:r w:rsidRPr="00CB2DE9">
              <w:rPr>
                <w:rFonts w:cs="Calibri"/>
                <w:noProof/>
                <w:color w:val="FFFFFF" w:themeColor="background1"/>
                <w:szCs w:val="18"/>
                <w:lang w:val="en-GB" w:eastAsia="en-GB"/>
              </w:rPr>
              <w:t>Institution</w:t>
            </w:r>
            <w:r>
              <w:rPr>
                <w:rFonts w:cs="Calibri"/>
                <w:noProof/>
                <w:color w:val="FFFFFF" w:themeColor="background1"/>
                <w:szCs w:val="18"/>
                <w:lang w:val="en-GB" w:eastAsia="en-GB"/>
              </w:rPr>
              <w:t xml:space="preserve"> (n° of participants)</w:t>
            </w:r>
          </w:p>
        </w:tc>
      </w:tr>
      <w:tr w:rsidR="00170573" w14:paraId="55FEAE2F"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83" w:type="pct"/>
            <w:shd w:val="clear" w:color="auto" w:fill="F2F2F2" w:themeFill="background1" w:themeFillShade="F2"/>
          </w:tcPr>
          <w:p w14:paraId="29B2B3A9" w14:textId="77777777" w:rsidR="00170573" w:rsidRPr="00E656F9" w:rsidRDefault="00170573" w:rsidP="00C451D4">
            <w:pPr>
              <w:spacing w:after="0"/>
              <w:rPr>
                <w:noProof/>
                <w:color w:val="auto"/>
                <w:sz w:val="20"/>
              </w:rPr>
            </w:pPr>
            <w:r w:rsidRPr="00E656F9">
              <w:rPr>
                <w:noProof/>
                <w:color w:val="auto"/>
                <w:szCs w:val="18"/>
              </w:rPr>
              <w:t>Denmark</w:t>
            </w:r>
          </w:p>
        </w:tc>
        <w:tc>
          <w:tcPr>
            <w:tcW w:w="3117" w:type="pct"/>
            <w:shd w:val="clear" w:color="auto" w:fill="F2F2F2" w:themeFill="background1" w:themeFillShade="F2"/>
          </w:tcPr>
          <w:p w14:paraId="47A31237" w14:textId="77777777" w:rsidR="00170573" w:rsidRPr="00E656F9" w:rsidRDefault="00170573" w:rsidP="00C451D4">
            <w:pPr>
              <w:spacing w:after="0"/>
              <w:rPr>
                <w:b w:val="0"/>
                <w:bCs/>
                <w:noProof/>
                <w:color w:val="auto"/>
                <w:sz w:val="20"/>
              </w:rPr>
            </w:pPr>
            <w:r w:rsidRPr="00E656F9">
              <w:rPr>
                <w:b w:val="0"/>
                <w:bCs/>
                <w:noProof/>
                <w:color w:val="auto"/>
                <w:szCs w:val="18"/>
              </w:rPr>
              <w:t>National Police (3)</w:t>
            </w:r>
          </w:p>
        </w:tc>
      </w:tr>
      <w:tr w:rsidR="00170573" w14:paraId="4AD82628"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83" w:type="pct"/>
            <w:shd w:val="clear" w:color="auto" w:fill="F2F2F2" w:themeFill="background1" w:themeFillShade="F2"/>
          </w:tcPr>
          <w:p w14:paraId="266D11A0" w14:textId="77777777" w:rsidR="00170573" w:rsidRPr="00E656F9" w:rsidRDefault="00170573" w:rsidP="00C451D4">
            <w:pPr>
              <w:spacing w:after="0"/>
              <w:rPr>
                <w:noProof/>
                <w:color w:val="auto"/>
                <w:sz w:val="20"/>
              </w:rPr>
            </w:pPr>
            <w:r w:rsidRPr="00E656F9">
              <w:rPr>
                <w:noProof/>
                <w:color w:val="auto"/>
                <w:szCs w:val="18"/>
              </w:rPr>
              <w:t>Finland</w:t>
            </w:r>
          </w:p>
        </w:tc>
        <w:tc>
          <w:tcPr>
            <w:tcW w:w="3117" w:type="pct"/>
            <w:shd w:val="clear" w:color="auto" w:fill="F2F2F2" w:themeFill="background1" w:themeFillShade="F2"/>
          </w:tcPr>
          <w:p w14:paraId="4149E4B7" w14:textId="77777777" w:rsidR="00170573" w:rsidRPr="00E656F9" w:rsidRDefault="00170573" w:rsidP="00C451D4">
            <w:pPr>
              <w:spacing w:after="0"/>
              <w:rPr>
                <w:b w:val="0"/>
                <w:bCs/>
                <w:noProof/>
                <w:color w:val="auto"/>
                <w:sz w:val="20"/>
              </w:rPr>
            </w:pPr>
            <w:r w:rsidRPr="00E656F9">
              <w:rPr>
                <w:b w:val="0"/>
                <w:bCs/>
                <w:noProof/>
                <w:color w:val="auto"/>
                <w:szCs w:val="18"/>
              </w:rPr>
              <w:t>National Police (3)</w:t>
            </w:r>
          </w:p>
        </w:tc>
      </w:tr>
      <w:tr w:rsidR="00170573" w14:paraId="33A54F3D"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83" w:type="pct"/>
            <w:shd w:val="clear" w:color="auto" w:fill="F2F2F2" w:themeFill="background1" w:themeFillShade="F2"/>
          </w:tcPr>
          <w:p w14:paraId="613CB907" w14:textId="77777777" w:rsidR="00170573" w:rsidRPr="00E656F9" w:rsidRDefault="00170573" w:rsidP="00C451D4">
            <w:pPr>
              <w:spacing w:after="0"/>
              <w:rPr>
                <w:noProof/>
                <w:color w:val="auto"/>
                <w:sz w:val="20"/>
              </w:rPr>
            </w:pPr>
            <w:r w:rsidRPr="00E656F9">
              <w:rPr>
                <w:noProof/>
                <w:color w:val="auto"/>
                <w:szCs w:val="18"/>
              </w:rPr>
              <w:t>Iceland</w:t>
            </w:r>
          </w:p>
        </w:tc>
        <w:tc>
          <w:tcPr>
            <w:tcW w:w="3117" w:type="pct"/>
            <w:shd w:val="clear" w:color="auto" w:fill="F2F2F2" w:themeFill="background1" w:themeFillShade="F2"/>
          </w:tcPr>
          <w:p w14:paraId="71931BFB" w14:textId="77777777" w:rsidR="00170573" w:rsidRPr="00E656F9" w:rsidRDefault="00170573" w:rsidP="00C451D4">
            <w:pPr>
              <w:spacing w:after="0"/>
              <w:rPr>
                <w:b w:val="0"/>
                <w:bCs/>
                <w:noProof/>
                <w:color w:val="auto"/>
                <w:sz w:val="20"/>
              </w:rPr>
            </w:pPr>
            <w:r w:rsidRPr="00E656F9">
              <w:rPr>
                <w:b w:val="0"/>
                <w:bCs/>
                <w:noProof/>
                <w:color w:val="auto"/>
                <w:szCs w:val="18"/>
              </w:rPr>
              <w:t>National Police (3)</w:t>
            </w:r>
          </w:p>
        </w:tc>
      </w:tr>
      <w:tr w:rsidR="00170573" w14:paraId="6845A670"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83" w:type="pct"/>
            <w:shd w:val="clear" w:color="auto" w:fill="F2F2F2" w:themeFill="background1" w:themeFillShade="F2"/>
          </w:tcPr>
          <w:p w14:paraId="67DDB618" w14:textId="77777777" w:rsidR="00170573" w:rsidRPr="00E656F9" w:rsidRDefault="00170573" w:rsidP="00C451D4">
            <w:pPr>
              <w:spacing w:after="0"/>
              <w:rPr>
                <w:b/>
                <w:bCs/>
                <w:noProof/>
                <w:szCs w:val="18"/>
              </w:rPr>
            </w:pPr>
            <w:r w:rsidRPr="00E656F9">
              <w:rPr>
                <w:b/>
                <w:bCs/>
                <w:noProof/>
                <w:szCs w:val="18"/>
              </w:rPr>
              <w:t>Norway</w:t>
            </w:r>
          </w:p>
        </w:tc>
        <w:tc>
          <w:tcPr>
            <w:tcW w:w="3117" w:type="pct"/>
            <w:shd w:val="clear" w:color="auto" w:fill="F2F2F2" w:themeFill="background1" w:themeFillShade="F2"/>
            <w:hideMark/>
          </w:tcPr>
          <w:p w14:paraId="3F9F95E1" w14:textId="77777777" w:rsidR="00170573" w:rsidRPr="00E656F9" w:rsidRDefault="00170573" w:rsidP="00C451D4">
            <w:pPr>
              <w:spacing w:after="0"/>
              <w:rPr>
                <w:noProof/>
                <w:szCs w:val="18"/>
              </w:rPr>
            </w:pPr>
            <w:r w:rsidRPr="00E656F9">
              <w:rPr>
                <w:noProof/>
                <w:szCs w:val="18"/>
              </w:rPr>
              <w:t>National Police (2)</w:t>
            </w:r>
          </w:p>
        </w:tc>
      </w:tr>
      <w:tr w:rsidR="00170573" w14:paraId="5CBE97A4" w14:textId="77777777" w:rsidTr="00C451D4">
        <w:trPr>
          <w:trHeight w:val="20"/>
        </w:trPr>
        <w:tc>
          <w:tcPr>
            <w:tcW w:w="1883" w:type="pct"/>
            <w:shd w:val="clear" w:color="auto" w:fill="F2F2F2" w:themeFill="background1" w:themeFillShade="F2"/>
          </w:tcPr>
          <w:p w14:paraId="530EFE63" w14:textId="77777777" w:rsidR="00170573" w:rsidRPr="00E656F9" w:rsidRDefault="00170573" w:rsidP="00C451D4">
            <w:pPr>
              <w:spacing w:after="0"/>
              <w:rPr>
                <w:b/>
                <w:bCs/>
                <w:noProof/>
                <w:szCs w:val="18"/>
              </w:rPr>
            </w:pPr>
            <w:r w:rsidRPr="00E656F9">
              <w:rPr>
                <w:b/>
                <w:bCs/>
                <w:noProof/>
                <w:szCs w:val="18"/>
              </w:rPr>
              <w:t>Sweden</w:t>
            </w:r>
          </w:p>
        </w:tc>
        <w:tc>
          <w:tcPr>
            <w:tcW w:w="3117" w:type="pct"/>
            <w:shd w:val="clear" w:color="auto" w:fill="F2F2F2" w:themeFill="background1" w:themeFillShade="F2"/>
            <w:hideMark/>
          </w:tcPr>
          <w:p w14:paraId="014204CB" w14:textId="77777777" w:rsidR="00170573" w:rsidRPr="00E656F9" w:rsidRDefault="00170573" w:rsidP="00C451D4">
            <w:pPr>
              <w:spacing w:after="0"/>
              <w:rPr>
                <w:noProof/>
                <w:szCs w:val="18"/>
              </w:rPr>
            </w:pPr>
            <w:r w:rsidRPr="00E656F9">
              <w:rPr>
                <w:noProof/>
                <w:szCs w:val="18"/>
              </w:rPr>
              <w:t>Swedish Police Authority (4)</w:t>
            </w:r>
          </w:p>
        </w:tc>
      </w:tr>
      <w:tr w:rsidR="00170573" w14:paraId="5133EBE4"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83" w:type="pct"/>
            <w:shd w:val="clear" w:color="auto" w:fill="F2F2F2" w:themeFill="background1" w:themeFillShade="F2"/>
          </w:tcPr>
          <w:p w14:paraId="16CC5BC1" w14:textId="77777777" w:rsidR="00170573" w:rsidRPr="00E656F9" w:rsidRDefault="00170573" w:rsidP="00C451D4">
            <w:pPr>
              <w:spacing w:after="0"/>
              <w:rPr>
                <w:b/>
                <w:bCs/>
                <w:noProof/>
                <w:szCs w:val="18"/>
              </w:rPr>
            </w:pPr>
            <w:r w:rsidRPr="00E656F9">
              <w:rPr>
                <w:b/>
                <w:bCs/>
                <w:noProof/>
                <w:szCs w:val="18"/>
              </w:rPr>
              <w:t>Sweden</w:t>
            </w:r>
          </w:p>
        </w:tc>
        <w:tc>
          <w:tcPr>
            <w:tcW w:w="3117" w:type="pct"/>
            <w:shd w:val="clear" w:color="auto" w:fill="F2F2F2" w:themeFill="background1" w:themeFillShade="F2"/>
            <w:hideMark/>
          </w:tcPr>
          <w:p w14:paraId="38E8ACA4" w14:textId="77777777" w:rsidR="00170573" w:rsidRPr="00E656F9" w:rsidRDefault="00170573" w:rsidP="00C451D4">
            <w:pPr>
              <w:spacing w:after="0"/>
              <w:rPr>
                <w:noProof/>
                <w:szCs w:val="18"/>
              </w:rPr>
            </w:pPr>
            <w:r w:rsidRPr="00E656F9">
              <w:rPr>
                <w:noProof/>
                <w:szCs w:val="18"/>
              </w:rPr>
              <w:t>Customs</w:t>
            </w:r>
          </w:p>
        </w:tc>
      </w:tr>
    </w:tbl>
    <w:p w14:paraId="4FED5B46" w14:textId="77777777" w:rsidR="00170573" w:rsidRDefault="00170573" w:rsidP="00170573">
      <w:pPr>
        <w:pStyle w:val="Body"/>
        <w:jc w:val="center"/>
        <w:rPr>
          <w:noProof/>
          <w:lang w:val="en-US"/>
        </w:rPr>
      </w:pPr>
      <w:r w:rsidRPr="00327691">
        <w:rPr>
          <w:i/>
          <w:noProof/>
          <w:color w:val="7F7F7F" w:themeColor="text1" w:themeTint="80"/>
          <w:sz w:val="18"/>
          <w:szCs w:val="18"/>
        </w:rPr>
        <w:t xml:space="preserve">Source: </w:t>
      </w:r>
      <w:r w:rsidRPr="00CB565C">
        <w:rPr>
          <w:i/>
          <w:noProof/>
          <w:color w:val="7F7F7F" w:themeColor="text1" w:themeTint="80"/>
          <w:sz w:val="18"/>
          <w:szCs w:val="18"/>
        </w:rPr>
        <w:t>EY/RAND Europe Study’s</w:t>
      </w:r>
      <w:r w:rsidRPr="00CB565C">
        <w:rPr>
          <w:i/>
          <w:noProof/>
          <w:color w:val="7F7F7F" w:themeColor="text1" w:themeTint="80"/>
          <w:szCs w:val="16"/>
        </w:rPr>
        <w:t xml:space="preserve"> </w:t>
      </w:r>
      <w:r w:rsidRPr="00CB565C">
        <w:rPr>
          <w:i/>
          <w:noProof/>
          <w:color w:val="7F7F7F" w:themeColor="text1" w:themeTint="80"/>
          <w:sz w:val="18"/>
          <w:szCs w:val="16"/>
        </w:rPr>
        <w:t xml:space="preserve">elaboration </w:t>
      </w:r>
    </w:p>
    <w:p w14:paraId="5FD37747" w14:textId="77777777" w:rsidR="00170573" w:rsidRPr="00FF7427" w:rsidRDefault="00170573" w:rsidP="00170573">
      <w:pPr>
        <w:rPr>
          <w:noProof/>
        </w:rPr>
      </w:pPr>
      <w:r w:rsidRPr="00237337">
        <w:rPr>
          <w:rFonts w:ascii="Times New Roman" w:hAnsi="Times New Roman" w:cs="Times New Roman"/>
          <w:b/>
          <w:noProof/>
          <w:sz w:val="24"/>
        </w:rPr>
        <w:t>Case study interviews</w:t>
      </w:r>
    </w:p>
    <w:p w14:paraId="4E93B961" w14:textId="77777777" w:rsidR="00170573" w:rsidRPr="001E74FF" w:rsidRDefault="00170573" w:rsidP="00170573">
      <w:pPr>
        <w:pStyle w:val="Caption"/>
        <w:keepNext/>
        <w:jc w:val="center"/>
        <w:rPr>
          <w:noProof/>
          <w:lang w:val="en-US"/>
        </w:rPr>
      </w:pPr>
      <w:r w:rsidRPr="00245FF0">
        <w:rPr>
          <w:rFonts w:ascii="Times New Roman" w:hAnsi="Times New Roman"/>
          <w:noProof/>
          <w:sz w:val="24"/>
          <w:szCs w:val="24"/>
          <w:lang w:val="en-US"/>
        </w:rPr>
        <w:t>Overview of the stakeholders consulted as case studies</w:t>
      </w:r>
    </w:p>
    <w:tbl>
      <w:tblPr>
        <w:tblStyle w:val="DocumentTable11"/>
        <w:tblW w:w="5000" w:type="pct"/>
        <w:tblLook w:val="04A0" w:firstRow="1" w:lastRow="0" w:firstColumn="1" w:lastColumn="0" w:noHBand="0" w:noVBand="1"/>
      </w:tblPr>
      <w:tblGrid>
        <w:gridCol w:w="3711"/>
        <w:gridCol w:w="6143"/>
      </w:tblGrid>
      <w:tr w:rsidR="00170573" w:rsidRPr="005041AC" w14:paraId="2DCF88CB"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83" w:type="pct"/>
          </w:tcPr>
          <w:p w14:paraId="143BAF3C" w14:textId="77777777" w:rsidR="00170573" w:rsidRPr="00505A5C" w:rsidRDefault="00170573" w:rsidP="00C451D4">
            <w:pPr>
              <w:spacing w:after="0"/>
              <w:jc w:val="center"/>
              <w:rPr>
                <w:b w:val="0"/>
                <w:bCs/>
                <w:noProof/>
                <w:szCs w:val="18"/>
              </w:rPr>
            </w:pPr>
            <w:r>
              <w:rPr>
                <w:noProof/>
                <w:color w:val="FFFFFF" w:themeColor="background1"/>
                <w:sz w:val="20"/>
              </w:rPr>
              <w:t>Country</w:t>
            </w:r>
          </w:p>
        </w:tc>
        <w:tc>
          <w:tcPr>
            <w:tcW w:w="3117" w:type="pct"/>
            <w:vAlign w:val="center"/>
          </w:tcPr>
          <w:p w14:paraId="50BE40FA" w14:textId="77777777" w:rsidR="00170573" w:rsidRPr="00420089" w:rsidRDefault="00170573" w:rsidP="00C451D4">
            <w:pPr>
              <w:spacing w:after="0"/>
              <w:jc w:val="center"/>
              <w:rPr>
                <w:noProof/>
                <w:szCs w:val="18"/>
                <w:lang w:val="en-US"/>
              </w:rPr>
            </w:pPr>
            <w:r>
              <w:rPr>
                <w:rFonts w:cs="Calibri"/>
                <w:noProof/>
                <w:color w:val="FFFFFF" w:themeColor="background1"/>
                <w:szCs w:val="18"/>
                <w:lang w:val="en-GB" w:eastAsia="en-GB"/>
              </w:rPr>
              <w:t>Institution (n° of case study interviews)</w:t>
            </w:r>
          </w:p>
        </w:tc>
      </w:tr>
      <w:tr w:rsidR="00170573" w14:paraId="313D319D"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83" w:type="pct"/>
            <w:shd w:val="clear" w:color="auto" w:fill="F2F2F2" w:themeFill="background1" w:themeFillShade="F2"/>
          </w:tcPr>
          <w:p w14:paraId="0DBFA2A6" w14:textId="77777777" w:rsidR="00170573" w:rsidRPr="00E656F9" w:rsidRDefault="00170573" w:rsidP="00C451D4">
            <w:pPr>
              <w:spacing w:after="0"/>
              <w:rPr>
                <w:noProof/>
                <w:color w:val="auto"/>
                <w:sz w:val="20"/>
              </w:rPr>
            </w:pPr>
            <w:r>
              <w:rPr>
                <w:noProof/>
                <w:color w:val="auto"/>
                <w:sz w:val="20"/>
              </w:rPr>
              <w:t>Austria</w:t>
            </w:r>
          </w:p>
        </w:tc>
        <w:tc>
          <w:tcPr>
            <w:tcW w:w="3117" w:type="pct"/>
            <w:shd w:val="clear" w:color="auto" w:fill="F2F2F2" w:themeFill="background1" w:themeFillShade="F2"/>
          </w:tcPr>
          <w:p w14:paraId="0BCF780D" w14:textId="77777777" w:rsidR="00170573" w:rsidRPr="00420089" w:rsidRDefault="00170573" w:rsidP="00C451D4">
            <w:pPr>
              <w:spacing w:after="0"/>
              <w:rPr>
                <w:b w:val="0"/>
                <w:bCs/>
                <w:i/>
                <w:iCs/>
                <w:noProof/>
                <w:color w:val="auto"/>
                <w:sz w:val="20"/>
              </w:rPr>
            </w:pPr>
            <w:r w:rsidRPr="00420089">
              <w:rPr>
                <w:b w:val="0"/>
                <w:bCs/>
                <w:i/>
                <w:iCs/>
                <w:noProof/>
                <w:color w:val="auto"/>
                <w:szCs w:val="18"/>
              </w:rPr>
              <w:t>planned</w:t>
            </w:r>
          </w:p>
        </w:tc>
      </w:tr>
      <w:tr w:rsidR="00170573" w:rsidRPr="005041AC" w14:paraId="22EBA889"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83" w:type="pct"/>
            <w:shd w:val="clear" w:color="auto" w:fill="F2F2F2" w:themeFill="background1" w:themeFillShade="F2"/>
          </w:tcPr>
          <w:p w14:paraId="13A511EE" w14:textId="77777777" w:rsidR="00170573" w:rsidRPr="00E656F9" w:rsidRDefault="00170573" w:rsidP="00C451D4">
            <w:pPr>
              <w:spacing w:after="0"/>
              <w:rPr>
                <w:noProof/>
                <w:color w:val="auto"/>
                <w:sz w:val="20"/>
              </w:rPr>
            </w:pPr>
            <w:r>
              <w:rPr>
                <w:noProof/>
                <w:color w:val="auto"/>
                <w:sz w:val="20"/>
              </w:rPr>
              <w:t>France</w:t>
            </w:r>
          </w:p>
        </w:tc>
        <w:tc>
          <w:tcPr>
            <w:tcW w:w="3117" w:type="pct"/>
            <w:shd w:val="clear" w:color="auto" w:fill="F2F2F2" w:themeFill="background1" w:themeFillShade="F2"/>
          </w:tcPr>
          <w:p w14:paraId="3EAD8C49" w14:textId="77777777" w:rsidR="00170573" w:rsidRPr="00882790" w:rsidRDefault="00170573" w:rsidP="00C451D4">
            <w:pPr>
              <w:spacing w:after="0"/>
              <w:rPr>
                <w:b w:val="0"/>
                <w:noProof/>
                <w:color w:val="auto"/>
                <w:sz w:val="20"/>
                <w:lang w:val="en-US"/>
              </w:rPr>
            </w:pPr>
            <w:r w:rsidRPr="00882790">
              <w:rPr>
                <w:b w:val="0"/>
                <w:noProof/>
                <w:color w:val="auto"/>
                <w:szCs w:val="18"/>
                <w:lang w:val="en-US"/>
              </w:rPr>
              <w:t>Ministry of the Interior, National Police, Gendarmerie (4)</w:t>
            </w:r>
          </w:p>
        </w:tc>
      </w:tr>
      <w:tr w:rsidR="00170573" w14:paraId="6C387146" w14:textId="77777777" w:rsidTr="00C451D4">
        <w:trPr>
          <w:cnfStyle w:val="100000000000" w:firstRow="1" w:lastRow="0" w:firstColumn="0" w:lastColumn="0" w:oddVBand="0" w:evenVBand="0" w:oddHBand="0" w:evenHBand="0" w:firstRowFirstColumn="0" w:firstRowLastColumn="0" w:lastRowFirstColumn="0" w:lastRowLastColumn="0"/>
          <w:trHeight w:val="20"/>
          <w:tblHeader/>
        </w:trPr>
        <w:tc>
          <w:tcPr>
            <w:tcW w:w="1883" w:type="pct"/>
            <w:shd w:val="clear" w:color="auto" w:fill="F2F2F2" w:themeFill="background1" w:themeFillShade="F2"/>
          </w:tcPr>
          <w:p w14:paraId="45AD4558" w14:textId="77777777" w:rsidR="00170573" w:rsidRPr="00E656F9" w:rsidRDefault="00170573" w:rsidP="00C451D4">
            <w:pPr>
              <w:spacing w:after="0"/>
              <w:rPr>
                <w:noProof/>
                <w:color w:val="auto"/>
                <w:sz w:val="20"/>
              </w:rPr>
            </w:pPr>
            <w:r>
              <w:rPr>
                <w:noProof/>
                <w:color w:val="auto"/>
                <w:szCs w:val="18"/>
              </w:rPr>
              <w:t>Hungary</w:t>
            </w:r>
          </w:p>
        </w:tc>
        <w:tc>
          <w:tcPr>
            <w:tcW w:w="3117" w:type="pct"/>
            <w:shd w:val="clear" w:color="auto" w:fill="F2F2F2" w:themeFill="background1" w:themeFillShade="F2"/>
          </w:tcPr>
          <w:p w14:paraId="234A15F1" w14:textId="77777777" w:rsidR="00170573" w:rsidRPr="00420089" w:rsidRDefault="00170573" w:rsidP="00C451D4">
            <w:pPr>
              <w:spacing w:after="0"/>
              <w:rPr>
                <w:b w:val="0"/>
                <w:bCs/>
                <w:i/>
                <w:iCs/>
                <w:noProof/>
                <w:color w:val="auto"/>
                <w:sz w:val="20"/>
              </w:rPr>
            </w:pPr>
            <w:r w:rsidRPr="00420089">
              <w:rPr>
                <w:b w:val="0"/>
                <w:bCs/>
                <w:i/>
                <w:iCs/>
                <w:noProof/>
                <w:color w:val="auto"/>
                <w:szCs w:val="18"/>
              </w:rPr>
              <w:t>planned</w:t>
            </w:r>
          </w:p>
        </w:tc>
      </w:tr>
      <w:tr w:rsidR="00170573" w:rsidRPr="005041AC" w14:paraId="3B26CBB6"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83" w:type="pct"/>
            <w:shd w:val="clear" w:color="auto" w:fill="F2F2F2" w:themeFill="background1" w:themeFillShade="F2"/>
          </w:tcPr>
          <w:p w14:paraId="4C5E8982" w14:textId="77777777" w:rsidR="00170573" w:rsidRPr="00E656F9" w:rsidRDefault="00170573" w:rsidP="00C451D4">
            <w:pPr>
              <w:spacing w:after="0"/>
              <w:rPr>
                <w:b/>
                <w:bCs/>
                <w:noProof/>
                <w:szCs w:val="18"/>
              </w:rPr>
            </w:pPr>
            <w:r>
              <w:rPr>
                <w:b/>
                <w:bCs/>
                <w:noProof/>
                <w:szCs w:val="18"/>
              </w:rPr>
              <w:t>Slovenia</w:t>
            </w:r>
          </w:p>
        </w:tc>
        <w:tc>
          <w:tcPr>
            <w:tcW w:w="3117" w:type="pct"/>
            <w:shd w:val="clear" w:color="auto" w:fill="F2F2F2" w:themeFill="background1" w:themeFillShade="F2"/>
            <w:hideMark/>
          </w:tcPr>
          <w:p w14:paraId="61CE1C76" w14:textId="77777777" w:rsidR="00170573" w:rsidRPr="004075E0" w:rsidRDefault="00170573" w:rsidP="00C451D4">
            <w:pPr>
              <w:spacing w:after="0"/>
              <w:rPr>
                <w:noProof/>
                <w:szCs w:val="18"/>
                <w:lang w:val="en-US"/>
              </w:rPr>
            </w:pPr>
            <w:r w:rsidRPr="004075E0">
              <w:rPr>
                <w:noProof/>
                <w:szCs w:val="18"/>
                <w:lang w:val="en-US"/>
              </w:rPr>
              <w:t xml:space="preserve">Ministry of the </w:t>
            </w:r>
            <w:r w:rsidRPr="0051250D">
              <w:rPr>
                <w:noProof/>
                <w:szCs w:val="18"/>
                <w:lang w:val="en-US"/>
              </w:rPr>
              <w:t>Interior, Criminal</w:t>
            </w:r>
            <w:r w:rsidRPr="004075E0">
              <w:rPr>
                <w:noProof/>
                <w:szCs w:val="18"/>
                <w:lang w:val="en-US"/>
              </w:rPr>
              <w:t xml:space="preserve"> Police </w:t>
            </w:r>
            <w:r w:rsidRPr="0051250D">
              <w:rPr>
                <w:noProof/>
                <w:szCs w:val="18"/>
                <w:lang w:val="en-US"/>
              </w:rPr>
              <w:t>Directorate (4</w:t>
            </w:r>
            <w:r w:rsidRPr="004075E0">
              <w:rPr>
                <w:noProof/>
                <w:szCs w:val="18"/>
                <w:lang w:val="en-US"/>
              </w:rPr>
              <w:t>)</w:t>
            </w:r>
          </w:p>
        </w:tc>
      </w:tr>
      <w:tr w:rsidR="00170573" w14:paraId="1CCF5963" w14:textId="77777777" w:rsidTr="00C451D4">
        <w:trPr>
          <w:trHeight w:val="20"/>
        </w:trPr>
        <w:tc>
          <w:tcPr>
            <w:tcW w:w="1883" w:type="pct"/>
            <w:shd w:val="clear" w:color="auto" w:fill="F2F2F2" w:themeFill="background1" w:themeFillShade="F2"/>
          </w:tcPr>
          <w:p w14:paraId="5A61CDB9" w14:textId="77777777" w:rsidR="00170573" w:rsidRPr="00E656F9" w:rsidRDefault="00170573" w:rsidP="00C451D4">
            <w:pPr>
              <w:spacing w:after="0"/>
              <w:rPr>
                <w:b/>
                <w:bCs/>
                <w:noProof/>
                <w:szCs w:val="18"/>
              </w:rPr>
            </w:pPr>
            <w:r>
              <w:rPr>
                <w:b/>
                <w:bCs/>
                <w:noProof/>
                <w:szCs w:val="18"/>
              </w:rPr>
              <w:t>Sweden</w:t>
            </w:r>
          </w:p>
        </w:tc>
        <w:tc>
          <w:tcPr>
            <w:tcW w:w="3117" w:type="pct"/>
            <w:shd w:val="clear" w:color="auto" w:fill="F2F2F2" w:themeFill="background1" w:themeFillShade="F2"/>
            <w:hideMark/>
          </w:tcPr>
          <w:p w14:paraId="751E0C6B" w14:textId="77777777" w:rsidR="00170573" w:rsidRPr="00420089" w:rsidRDefault="00170573" w:rsidP="00C451D4">
            <w:pPr>
              <w:spacing w:after="0"/>
              <w:rPr>
                <w:i/>
                <w:iCs/>
                <w:noProof/>
                <w:szCs w:val="18"/>
              </w:rPr>
            </w:pPr>
            <w:r w:rsidRPr="00420089">
              <w:rPr>
                <w:i/>
                <w:iCs/>
                <w:noProof/>
                <w:szCs w:val="18"/>
              </w:rPr>
              <w:t>planned</w:t>
            </w:r>
          </w:p>
        </w:tc>
      </w:tr>
      <w:tr w:rsidR="00170573" w14:paraId="0B9F973C" w14:textId="77777777" w:rsidTr="00C451D4">
        <w:trPr>
          <w:cnfStyle w:val="000000100000" w:firstRow="0" w:lastRow="0" w:firstColumn="0" w:lastColumn="0" w:oddVBand="0" w:evenVBand="0" w:oddHBand="1" w:evenHBand="0" w:firstRowFirstColumn="0" w:firstRowLastColumn="0" w:lastRowFirstColumn="0" w:lastRowLastColumn="0"/>
          <w:trHeight w:val="20"/>
        </w:trPr>
        <w:tc>
          <w:tcPr>
            <w:tcW w:w="1883" w:type="pct"/>
            <w:shd w:val="clear" w:color="auto" w:fill="F2F2F2" w:themeFill="background1" w:themeFillShade="F2"/>
          </w:tcPr>
          <w:p w14:paraId="59A4EFD3" w14:textId="77777777" w:rsidR="00170573" w:rsidRPr="00E656F9" w:rsidRDefault="00170573" w:rsidP="00C451D4">
            <w:pPr>
              <w:spacing w:after="0"/>
              <w:rPr>
                <w:b/>
                <w:bCs/>
                <w:noProof/>
                <w:szCs w:val="18"/>
              </w:rPr>
            </w:pPr>
            <w:r>
              <w:rPr>
                <w:b/>
                <w:bCs/>
                <w:noProof/>
                <w:szCs w:val="18"/>
              </w:rPr>
              <w:t>Switzerland</w:t>
            </w:r>
          </w:p>
        </w:tc>
        <w:tc>
          <w:tcPr>
            <w:tcW w:w="3117" w:type="pct"/>
            <w:shd w:val="clear" w:color="auto" w:fill="F2F2F2" w:themeFill="background1" w:themeFillShade="F2"/>
            <w:hideMark/>
          </w:tcPr>
          <w:p w14:paraId="279148B9" w14:textId="77777777" w:rsidR="00170573" w:rsidRPr="00E656F9" w:rsidRDefault="00170573" w:rsidP="00C451D4">
            <w:pPr>
              <w:spacing w:after="0"/>
              <w:rPr>
                <w:noProof/>
                <w:szCs w:val="18"/>
              </w:rPr>
            </w:pPr>
            <w:r>
              <w:rPr>
                <w:noProof/>
                <w:szCs w:val="18"/>
              </w:rPr>
              <w:t>Federal Police (2)</w:t>
            </w:r>
          </w:p>
        </w:tc>
      </w:tr>
    </w:tbl>
    <w:p w14:paraId="1F17CBD0" w14:textId="04798ADA" w:rsidR="00170573" w:rsidRPr="006241B7" w:rsidRDefault="00170573" w:rsidP="006241B7">
      <w:pPr>
        <w:spacing w:after="160" w:line="259" w:lineRule="auto"/>
        <w:jc w:val="center"/>
        <w:rPr>
          <w:rFonts w:ascii="Verdana" w:hAnsi="Verdana" w:cs="Times New Roman"/>
          <w:noProof/>
          <w:sz w:val="24"/>
          <w:szCs w:val="24"/>
        </w:rPr>
      </w:pPr>
      <w:r w:rsidRPr="006241B7">
        <w:rPr>
          <w:rFonts w:ascii="Verdana" w:hAnsi="Verdana"/>
          <w:i/>
          <w:noProof/>
          <w:color w:val="7F7F7F" w:themeColor="text1" w:themeTint="80"/>
          <w:sz w:val="18"/>
          <w:szCs w:val="18"/>
        </w:rPr>
        <w:t>Source: EY/RAND Europe Study’s</w:t>
      </w:r>
      <w:r w:rsidRPr="006241B7">
        <w:rPr>
          <w:rFonts w:ascii="Verdana" w:hAnsi="Verdana"/>
          <w:i/>
          <w:noProof/>
          <w:color w:val="7F7F7F" w:themeColor="text1" w:themeTint="80"/>
          <w:szCs w:val="16"/>
        </w:rPr>
        <w:t xml:space="preserve"> </w:t>
      </w:r>
      <w:r w:rsidRPr="006241B7">
        <w:rPr>
          <w:rFonts w:ascii="Verdana" w:hAnsi="Verdana"/>
          <w:i/>
          <w:noProof/>
          <w:color w:val="7F7F7F" w:themeColor="text1" w:themeTint="80"/>
          <w:sz w:val="18"/>
          <w:szCs w:val="16"/>
        </w:rPr>
        <w:t>elaboration</w:t>
      </w:r>
    </w:p>
    <w:p w14:paraId="1319A438" w14:textId="77777777" w:rsidR="00170573" w:rsidRDefault="00170573" w:rsidP="006241B7">
      <w:pPr>
        <w:spacing w:after="160" w:line="259" w:lineRule="auto"/>
        <w:jc w:val="both"/>
        <w:rPr>
          <w:rFonts w:ascii="Times New Roman" w:hAnsi="Times New Roman" w:cs="Times New Roman"/>
          <w:noProof/>
          <w:sz w:val="24"/>
          <w:szCs w:val="24"/>
        </w:rPr>
      </w:pPr>
    </w:p>
    <w:p w14:paraId="64604512" w14:textId="21EF3AA9" w:rsidR="005B3636" w:rsidRDefault="005B3636" w:rsidP="006241B7">
      <w:pPr>
        <w:spacing w:after="160" w:line="259" w:lineRule="auto"/>
        <w:jc w:val="both"/>
        <w:rPr>
          <w:rFonts w:ascii="Times New Roman" w:hAnsi="Times New Roman" w:cs="Times New Roman"/>
          <w:noProof/>
          <w:sz w:val="24"/>
          <w:szCs w:val="24"/>
          <w:lang w:val="en-GB"/>
        </w:rPr>
      </w:pPr>
    </w:p>
    <w:p w14:paraId="5C46BEB8" w14:textId="77777777" w:rsidR="00C76702" w:rsidRPr="00AE777C" w:rsidRDefault="00C76702" w:rsidP="00AE777C">
      <w:pPr>
        <w:pStyle w:val="AnnexHeading1"/>
        <w:rPr>
          <w:noProof/>
        </w:rPr>
      </w:pPr>
      <w:bookmarkStart w:id="147" w:name="_Toc48897654"/>
      <w:bookmarkStart w:id="148" w:name="_Toc74838192"/>
      <w:bookmarkStart w:id="149" w:name="_Toc83801054"/>
      <w:r w:rsidRPr="00AE777C">
        <w:rPr>
          <w:noProof/>
        </w:rPr>
        <w:t>Annex 3: Who is affected and how?</w:t>
      </w:r>
      <w:bookmarkEnd w:id="147"/>
      <w:bookmarkEnd w:id="148"/>
      <w:bookmarkEnd w:id="149"/>
    </w:p>
    <w:p w14:paraId="210F8A5D" w14:textId="77777777" w:rsidR="00EC16ED" w:rsidRPr="00D83E1E" w:rsidRDefault="009E155E" w:rsidP="00EC16ED">
      <w:pPr>
        <w:spacing w:after="100" w:line="240" w:lineRule="auto"/>
        <w:rPr>
          <w:rFonts w:ascii="Times New Roman" w:hAnsi="Times New Roman" w:cs="Times New Roman"/>
          <w:b/>
          <w:noProof/>
          <w:sz w:val="24"/>
          <w:szCs w:val="24"/>
        </w:rPr>
      </w:pPr>
      <w:bookmarkStart w:id="150" w:name="_Toc74585858"/>
      <w:bookmarkEnd w:id="150"/>
      <w:r w:rsidRPr="00D83E1E">
        <w:rPr>
          <w:rFonts w:ascii="Times New Roman" w:hAnsi="Times New Roman" w:cs="Times New Roman"/>
          <w:b/>
          <w:noProof/>
          <w:sz w:val="24"/>
          <w:szCs w:val="24"/>
        </w:rPr>
        <w:t>Main s</w:t>
      </w:r>
      <w:r w:rsidR="00EC16ED" w:rsidRPr="00D83E1E">
        <w:rPr>
          <w:rFonts w:ascii="Times New Roman" w:hAnsi="Times New Roman" w:cs="Times New Roman"/>
          <w:b/>
          <w:noProof/>
          <w:sz w:val="24"/>
          <w:szCs w:val="24"/>
        </w:rPr>
        <w:t>takeholder</w:t>
      </w:r>
      <w:r w:rsidRPr="00D83E1E">
        <w:rPr>
          <w:rFonts w:ascii="Times New Roman" w:hAnsi="Times New Roman" w:cs="Times New Roman"/>
          <w:b/>
          <w:noProof/>
          <w:sz w:val="24"/>
          <w:szCs w:val="24"/>
        </w:rPr>
        <w:t>s impacted by the preferred policy option</w:t>
      </w:r>
      <w:r w:rsidR="00EC16ED" w:rsidRPr="00D83E1E">
        <w:rPr>
          <w:rFonts w:ascii="Times New Roman" w:hAnsi="Times New Roman" w:cs="Times New Roman"/>
          <w:b/>
          <w:noProof/>
          <w:sz w:val="24"/>
          <w:szCs w:val="24"/>
        </w:rPr>
        <w:t xml:space="preserve">  </w:t>
      </w:r>
    </w:p>
    <w:p w14:paraId="6C3BCC60" w14:textId="77777777" w:rsidR="00EC16ED" w:rsidRPr="00D83E1E" w:rsidRDefault="00EC16ED" w:rsidP="00EC16ED">
      <w:pPr>
        <w:spacing w:after="100" w:line="240" w:lineRule="auto"/>
        <w:rPr>
          <w:rFonts w:ascii="Times New Roman" w:hAnsi="Times New Roman" w:cs="Times New Roman"/>
          <w:i/>
          <w:noProof/>
          <w:sz w:val="24"/>
          <w:szCs w:val="24"/>
        </w:rPr>
      </w:pPr>
      <w:r w:rsidRPr="00D83E1E">
        <w:rPr>
          <w:rFonts w:ascii="Times New Roman" w:hAnsi="Times New Roman" w:cs="Times New Roman"/>
          <w:i/>
          <w:noProof/>
          <w:sz w:val="24"/>
          <w:szCs w:val="24"/>
        </w:rPr>
        <w:t>EU citizens</w:t>
      </w:r>
    </w:p>
    <w:p w14:paraId="4D1C80BA" w14:textId="77777777" w:rsidR="00D83E1E" w:rsidRDefault="00182939" w:rsidP="00182939">
      <w:pPr>
        <w:spacing w:after="10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preferred policy option </w:t>
      </w:r>
      <w:r w:rsidR="00EC16ED">
        <w:rPr>
          <w:rFonts w:ascii="Times New Roman" w:eastAsia="Times New Roman" w:hAnsi="Times New Roman" w:cs="Times New Roman"/>
          <w:noProof/>
          <w:sz w:val="24"/>
          <w:szCs w:val="24"/>
        </w:rPr>
        <w:t>aim</w:t>
      </w:r>
      <w:r w:rsidR="00EC16ED" w:rsidRPr="00653A48">
        <w:rPr>
          <w:rFonts w:ascii="Times New Roman" w:eastAsia="Times New Roman" w:hAnsi="Times New Roman" w:cs="Times New Roman"/>
          <w:noProof/>
          <w:sz w:val="24"/>
          <w:szCs w:val="24"/>
        </w:rPr>
        <w:t xml:space="preserve"> to support law enforcement </w:t>
      </w:r>
      <w:r w:rsidR="00EC16ED">
        <w:rPr>
          <w:rFonts w:ascii="Times New Roman" w:eastAsia="Times New Roman" w:hAnsi="Times New Roman" w:cs="Times New Roman"/>
          <w:noProof/>
          <w:sz w:val="24"/>
          <w:szCs w:val="24"/>
        </w:rPr>
        <w:t>officers</w:t>
      </w:r>
      <w:r w:rsidR="00EC16ED" w:rsidRPr="00653A48">
        <w:rPr>
          <w:rFonts w:ascii="Times New Roman" w:eastAsia="Times New Roman" w:hAnsi="Times New Roman" w:cs="Times New Roman"/>
          <w:noProof/>
          <w:sz w:val="24"/>
          <w:szCs w:val="24"/>
        </w:rPr>
        <w:t xml:space="preserve"> in the exercise of their tasks</w:t>
      </w:r>
      <w:r w:rsidR="009E155E">
        <w:rPr>
          <w:rFonts w:ascii="Times New Roman" w:eastAsia="Times New Roman" w:hAnsi="Times New Roman" w:cs="Times New Roman"/>
          <w:noProof/>
          <w:sz w:val="24"/>
          <w:szCs w:val="24"/>
        </w:rPr>
        <w:t xml:space="preserve"> against criminal offences, thereby </w:t>
      </w:r>
      <w:r w:rsidR="009E155E" w:rsidRPr="00653A48">
        <w:rPr>
          <w:rFonts w:ascii="Times New Roman" w:eastAsia="Times New Roman" w:hAnsi="Times New Roman" w:cs="Times New Roman"/>
          <w:noProof/>
          <w:sz w:val="24"/>
          <w:szCs w:val="24"/>
        </w:rPr>
        <w:t>contribute to enhancing the security and well-being of EU citizens</w:t>
      </w:r>
      <w:r w:rsidR="009E155E">
        <w:rPr>
          <w:rFonts w:ascii="Times New Roman" w:eastAsia="Times New Roman" w:hAnsi="Times New Roman" w:cs="Times New Roman"/>
          <w:noProof/>
          <w:sz w:val="24"/>
          <w:szCs w:val="24"/>
        </w:rPr>
        <w:t xml:space="preserve">. </w:t>
      </w:r>
    </w:p>
    <w:p w14:paraId="5983312A" w14:textId="77777777" w:rsidR="00182939" w:rsidRDefault="00EC16ED" w:rsidP="00182939">
      <w:pPr>
        <w:spacing w:after="100" w:line="240" w:lineRule="auto"/>
        <w:jc w:val="both"/>
        <w:rPr>
          <w:rFonts w:ascii="Times New Roman" w:hAnsi="Times New Roman" w:cs="Times New Roman"/>
          <w:i/>
          <w:noProof/>
          <w:sz w:val="24"/>
          <w:szCs w:val="24"/>
        </w:rPr>
      </w:pPr>
      <w:r w:rsidRPr="00EC16ED">
        <w:rPr>
          <w:rFonts w:ascii="Times New Roman" w:hAnsi="Times New Roman" w:cs="Times New Roman"/>
          <w:i/>
          <w:noProof/>
          <w:sz w:val="24"/>
          <w:szCs w:val="24"/>
        </w:rPr>
        <w:t xml:space="preserve">Law enforcement </w:t>
      </w:r>
      <w:r w:rsidR="00182939">
        <w:rPr>
          <w:rFonts w:ascii="Times New Roman" w:hAnsi="Times New Roman" w:cs="Times New Roman"/>
          <w:i/>
          <w:noProof/>
          <w:sz w:val="24"/>
          <w:szCs w:val="24"/>
        </w:rPr>
        <w:t xml:space="preserve">authorities </w:t>
      </w:r>
    </w:p>
    <w:p w14:paraId="1902110B" w14:textId="77777777" w:rsidR="00EC16ED" w:rsidRDefault="00182939" w:rsidP="00182939">
      <w:pPr>
        <w:spacing w:after="100" w:line="240" w:lineRule="auto"/>
        <w:jc w:val="both"/>
        <w:rPr>
          <w:rFonts w:ascii="Times New Roman" w:eastAsia="Times New Roman" w:hAnsi="Times New Roman" w:cs="Times New Roman"/>
          <w:noProof/>
          <w:sz w:val="24"/>
          <w:szCs w:val="24"/>
        </w:rPr>
      </w:pPr>
      <w:r w:rsidRPr="00182939">
        <w:rPr>
          <w:rFonts w:ascii="Times New Roman" w:hAnsi="Times New Roman" w:cs="Times New Roman"/>
          <w:noProof/>
          <w:sz w:val="24"/>
          <w:szCs w:val="24"/>
        </w:rPr>
        <w:t xml:space="preserve">In particular the law enforcement authorities of Member States that are responsible for the exchange of international information, and the law enforcement officers on the ground, essentially in intra-EU border areas, </w:t>
      </w:r>
      <w:r>
        <w:rPr>
          <w:rFonts w:ascii="Times New Roman" w:hAnsi="Times New Roman" w:cs="Times New Roman"/>
          <w:noProof/>
          <w:sz w:val="24"/>
          <w:szCs w:val="24"/>
        </w:rPr>
        <w:t xml:space="preserve">having </w:t>
      </w:r>
      <w:r w:rsidRPr="00182939">
        <w:rPr>
          <w:rFonts w:ascii="Times New Roman" w:hAnsi="Times New Roman" w:cs="Times New Roman"/>
          <w:noProof/>
          <w:sz w:val="24"/>
          <w:szCs w:val="24"/>
        </w:rPr>
        <w:t>access t</w:t>
      </w:r>
      <w:r>
        <w:rPr>
          <w:rFonts w:ascii="Times New Roman" w:hAnsi="Times New Roman" w:cs="Times New Roman"/>
          <w:noProof/>
          <w:sz w:val="24"/>
          <w:szCs w:val="24"/>
        </w:rPr>
        <w:t>o</w:t>
      </w:r>
      <w:r w:rsidRPr="00182939">
        <w:rPr>
          <w:rFonts w:ascii="Times New Roman" w:hAnsi="Times New Roman" w:cs="Times New Roman"/>
          <w:noProof/>
          <w:sz w:val="24"/>
          <w:szCs w:val="24"/>
        </w:rPr>
        <w:t xml:space="preserve"> information</w:t>
      </w:r>
      <w:r>
        <w:rPr>
          <w:rFonts w:ascii="Times New Roman" w:hAnsi="Times New Roman" w:cs="Times New Roman"/>
          <w:noProof/>
          <w:sz w:val="24"/>
          <w:szCs w:val="24"/>
        </w:rPr>
        <w:t>.</w:t>
      </w:r>
      <w:r w:rsidRPr="00182939">
        <w:rPr>
          <w:rFonts w:ascii="Times New Roman" w:hAnsi="Times New Roman" w:cs="Times New Roman"/>
          <w:noProof/>
          <w:sz w:val="24"/>
          <w:szCs w:val="24"/>
        </w:rPr>
        <w:t xml:space="preserve"> Europol and its secure communication channel SIENA</w:t>
      </w:r>
      <w:r>
        <w:rPr>
          <w:rFonts w:ascii="Times New Roman" w:hAnsi="Times New Roman" w:cs="Times New Roman"/>
          <w:noProof/>
          <w:sz w:val="24"/>
          <w:szCs w:val="24"/>
        </w:rPr>
        <w:t xml:space="preserve"> and CEPOL, would also be impacted</w:t>
      </w:r>
      <w:r w:rsidRPr="00182939">
        <w:rPr>
          <w:rFonts w:ascii="Times New Roman" w:hAnsi="Times New Roman" w:cs="Times New Roman"/>
          <w:noProof/>
          <w:sz w:val="24"/>
          <w:szCs w:val="24"/>
        </w:rPr>
        <w:t>.</w:t>
      </w:r>
      <w:r w:rsidR="00EC16ED">
        <w:rPr>
          <w:rFonts w:ascii="Times New Roman" w:eastAsia="Times New Roman" w:hAnsi="Times New Roman" w:cs="Times New Roman"/>
          <w:noProof/>
          <w:sz w:val="24"/>
          <w:szCs w:val="24"/>
        </w:rPr>
        <w:t xml:space="preserve"> </w:t>
      </w:r>
    </w:p>
    <w:p w14:paraId="7F54A557" w14:textId="77777777" w:rsidR="00D83E1E" w:rsidRDefault="00735ECD" w:rsidP="006C5DD3">
      <w:pPr>
        <w:pStyle w:val="Text2"/>
        <w:spacing w:after="120"/>
        <w:ind w:left="0"/>
        <w:rPr>
          <w:b/>
          <w:noProof/>
          <w:szCs w:val="24"/>
        </w:rPr>
      </w:pPr>
      <w:r w:rsidRPr="005A021F">
        <w:rPr>
          <w:b/>
          <w:noProof/>
          <w:szCs w:val="24"/>
        </w:rPr>
        <w:t xml:space="preserve">Costs and benefits of the preferred policy option </w:t>
      </w:r>
    </w:p>
    <w:p w14:paraId="6D57EC58" w14:textId="77777777" w:rsidR="00D83E1E" w:rsidRPr="00D83E1E" w:rsidRDefault="00D83E1E" w:rsidP="006C5DD3">
      <w:pPr>
        <w:pStyle w:val="Text2"/>
        <w:spacing w:after="120"/>
        <w:ind w:left="0"/>
        <w:rPr>
          <w:i/>
          <w:noProof/>
          <w:szCs w:val="24"/>
        </w:rPr>
      </w:pPr>
      <w:r w:rsidRPr="00D83E1E">
        <w:rPr>
          <w:i/>
          <w:noProof/>
          <w:szCs w:val="24"/>
        </w:rPr>
        <w:t>Costs</w:t>
      </w:r>
      <w:r>
        <w:rPr>
          <w:i/>
          <w:noProof/>
          <w:szCs w:val="24"/>
        </w:rPr>
        <w:t xml:space="preserve"> </w:t>
      </w:r>
      <w:r w:rsidRPr="00D83E1E">
        <w:rPr>
          <w:i/>
          <w:noProof/>
          <w:szCs w:val="24"/>
        </w:rPr>
        <w:t>of the preferred policy option</w:t>
      </w:r>
    </w:p>
    <w:p w14:paraId="6112E1FB" w14:textId="77777777" w:rsidR="009E155E" w:rsidRPr="005A021F" w:rsidRDefault="005A021F" w:rsidP="006C5DD3">
      <w:pPr>
        <w:pStyle w:val="Text2"/>
        <w:spacing w:after="120"/>
        <w:ind w:left="0"/>
        <w:rPr>
          <w:noProof/>
          <w:szCs w:val="24"/>
        </w:rPr>
      </w:pPr>
      <w:r w:rsidRPr="005A021F">
        <w:rPr>
          <w:noProof/>
          <w:szCs w:val="24"/>
        </w:rPr>
        <w:t xml:space="preserve">The </w:t>
      </w:r>
      <w:r>
        <w:rPr>
          <w:noProof/>
          <w:szCs w:val="24"/>
        </w:rPr>
        <w:t xml:space="preserve">preferred policy option requires </w:t>
      </w:r>
      <w:r w:rsidRPr="0022273C">
        <w:rPr>
          <w:noProof/>
          <w:szCs w:val="24"/>
        </w:rPr>
        <w:t>IT investments at national level, and an increased need for training of impacted law enforcement officials. Specifically, for those that have not already done so, national SPOCs and PCCCs will have to establish a CMS, and to roll-out Europol</w:t>
      </w:r>
      <w:r>
        <w:rPr>
          <w:noProof/>
          <w:szCs w:val="24"/>
        </w:rPr>
        <w:t>'</w:t>
      </w:r>
      <w:r w:rsidRPr="0022273C">
        <w:rPr>
          <w:noProof/>
          <w:szCs w:val="24"/>
        </w:rPr>
        <w:t xml:space="preserve">s </w:t>
      </w:r>
      <w:r>
        <w:rPr>
          <w:noProof/>
          <w:szCs w:val="24"/>
        </w:rPr>
        <w:t>SIENA to these structures, and</w:t>
      </w:r>
      <w:r w:rsidRPr="0022273C">
        <w:rPr>
          <w:noProof/>
          <w:szCs w:val="24"/>
        </w:rPr>
        <w:t xml:space="preserve"> to </w:t>
      </w:r>
      <w:r>
        <w:rPr>
          <w:noProof/>
          <w:szCs w:val="24"/>
        </w:rPr>
        <w:t xml:space="preserve">criminal investigators. </w:t>
      </w:r>
    </w:p>
    <w:p w14:paraId="2C743752" w14:textId="77777777" w:rsidR="006C5DD3" w:rsidRPr="004A6C4C" w:rsidRDefault="006C5DD3" w:rsidP="006C5DD3">
      <w:pPr>
        <w:pStyle w:val="Body"/>
        <w:spacing w:after="120"/>
        <w:jc w:val="both"/>
        <w:rPr>
          <w:rFonts w:ascii="Times New Roman" w:eastAsiaTheme="minorHAnsi" w:hAnsi="Times New Roman"/>
          <w:noProof/>
          <w:sz w:val="24"/>
          <w:szCs w:val="24"/>
          <w:lang w:val="en-US"/>
        </w:rPr>
      </w:pPr>
      <w:r w:rsidRPr="004A6C4C">
        <w:rPr>
          <w:rFonts w:ascii="Times New Roman" w:eastAsiaTheme="minorHAnsi" w:hAnsi="Times New Roman"/>
          <w:noProof/>
          <w:sz w:val="24"/>
          <w:szCs w:val="24"/>
          <w:lang w:val="en-US"/>
        </w:rPr>
        <w:t>For a CMS, a</w:t>
      </w:r>
      <w:r w:rsidR="00B418F1">
        <w:rPr>
          <w:rFonts w:ascii="Times New Roman" w:eastAsiaTheme="minorHAnsi" w:hAnsi="Times New Roman"/>
          <w:noProof/>
          <w:sz w:val="24"/>
          <w:szCs w:val="24"/>
          <w:lang w:val="en-US"/>
        </w:rPr>
        <w:t xml:space="preserve"> one-size fits all cost estimation is impossible</w:t>
      </w:r>
      <w:r w:rsidRPr="004A6C4C">
        <w:rPr>
          <w:rFonts w:ascii="Times New Roman" w:eastAsiaTheme="minorHAnsi" w:hAnsi="Times New Roman"/>
          <w:noProof/>
          <w:sz w:val="24"/>
          <w:szCs w:val="24"/>
          <w:lang w:val="en-US"/>
        </w:rPr>
        <w:t xml:space="preserve">, as </w:t>
      </w:r>
      <w:r w:rsidR="00B418F1">
        <w:rPr>
          <w:rFonts w:ascii="Times New Roman" w:eastAsiaTheme="minorHAnsi" w:hAnsi="Times New Roman"/>
          <w:noProof/>
          <w:sz w:val="24"/>
          <w:szCs w:val="24"/>
          <w:lang w:val="en-US"/>
        </w:rPr>
        <w:t xml:space="preserve">national costs </w:t>
      </w:r>
      <w:r w:rsidRPr="004A6C4C">
        <w:rPr>
          <w:rFonts w:ascii="Times New Roman" w:eastAsiaTheme="minorHAnsi" w:hAnsi="Times New Roman"/>
          <w:noProof/>
          <w:sz w:val="24"/>
          <w:szCs w:val="24"/>
          <w:lang w:val="en-US"/>
        </w:rPr>
        <w:t xml:space="preserve">are largely depending on system complexity, number of users, functionalities, licenses, infrastructure, etc. </w:t>
      </w:r>
      <w:r w:rsidR="00B418F1">
        <w:rPr>
          <w:rFonts w:ascii="Times New Roman" w:eastAsiaTheme="minorHAnsi" w:hAnsi="Times New Roman"/>
          <w:noProof/>
          <w:sz w:val="24"/>
          <w:szCs w:val="24"/>
          <w:lang w:val="en-US"/>
        </w:rPr>
        <w:t>F</w:t>
      </w:r>
      <w:r>
        <w:rPr>
          <w:rFonts w:ascii="Times New Roman" w:eastAsiaTheme="minorHAnsi" w:hAnsi="Times New Roman"/>
          <w:noProof/>
          <w:sz w:val="24"/>
          <w:szCs w:val="24"/>
          <w:lang w:val="en-US"/>
        </w:rPr>
        <w:t>or Europol</w:t>
      </w:r>
      <w:r w:rsidR="00B418F1">
        <w:rPr>
          <w:rFonts w:ascii="Times New Roman" w:eastAsiaTheme="minorHAnsi" w:hAnsi="Times New Roman"/>
          <w:noProof/>
          <w:sz w:val="24"/>
          <w:szCs w:val="24"/>
          <w:lang w:val="en-US"/>
        </w:rPr>
        <w:t>,</w:t>
      </w:r>
      <w:r>
        <w:rPr>
          <w:rFonts w:ascii="Times New Roman" w:eastAsiaTheme="minorHAnsi" w:hAnsi="Times New Roman"/>
          <w:noProof/>
          <w:sz w:val="24"/>
          <w:szCs w:val="24"/>
          <w:lang w:val="en-US"/>
        </w:rPr>
        <w:t xml:space="preserve"> the respective costs c</w:t>
      </w:r>
      <w:r w:rsidRPr="004A6C4C">
        <w:rPr>
          <w:rFonts w:ascii="Times New Roman" w:eastAsiaTheme="minorHAnsi" w:hAnsi="Times New Roman"/>
          <w:noProof/>
          <w:sz w:val="24"/>
          <w:szCs w:val="24"/>
          <w:lang w:val="en-US"/>
        </w:rPr>
        <w:t xml:space="preserve">ould be </w:t>
      </w:r>
      <w:r>
        <w:rPr>
          <w:rFonts w:ascii="Times New Roman" w:eastAsiaTheme="minorHAnsi" w:hAnsi="Times New Roman"/>
          <w:noProof/>
          <w:sz w:val="24"/>
          <w:szCs w:val="24"/>
          <w:lang w:val="en-US"/>
        </w:rPr>
        <w:t xml:space="preserve">of EUR </w:t>
      </w:r>
      <w:r w:rsidRPr="004A6C4C">
        <w:rPr>
          <w:rFonts w:ascii="Times New Roman" w:eastAsiaTheme="minorHAnsi" w:hAnsi="Times New Roman"/>
          <w:noProof/>
          <w:sz w:val="24"/>
          <w:szCs w:val="24"/>
          <w:lang w:val="en-US"/>
        </w:rPr>
        <w:t>150</w:t>
      </w:r>
      <w:r w:rsidR="00B418F1">
        <w:rPr>
          <w:rFonts w:ascii="Times New Roman" w:eastAsiaTheme="minorHAnsi" w:hAnsi="Times New Roman"/>
          <w:noProof/>
          <w:sz w:val="24"/>
          <w:szCs w:val="24"/>
          <w:lang w:val="en-US"/>
        </w:rPr>
        <w:t>.</w:t>
      </w:r>
      <w:r w:rsidRPr="004A6C4C">
        <w:rPr>
          <w:rFonts w:ascii="Times New Roman" w:eastAsiaTheme="minorHAnsi" w:hAnsi="Times New Roman"/>
          <w:noProof/>
          <w:sz w:val="24"/>
          <w:szCs w:val="24"/>
          <w:lang w:val="en-US"/>
        </w:rPr>
        <w:t>000</w:t>
      </w:r>
      <w:r>
        <w:rPr>
          <w:rFonts w:ascii="Times New Roman" w:eastAsiaTheme="minorHAnsi" w:hAnsi="Times New Roman"/>
          <w:noProof/>
          <w:sz w:val="24"/>
          <w:szCs w:val="24"/>
          <w:lang w:val="en-US"/>
        </w:rPr>
        <w:t>,</w:t>
      </w:r>
      <w:r w:rsidRPr="004A6C4C">
        <w:rPr>
          <w:rFonts w:ascii="Times New Roman" w:eastAsiaTheme="minorHAnsi" w:hAnsi="Times New Roman"/>
          <w:noProof/>
          <w:sz w:val="24"/>
          <w:szCs w:val="24"/>
          <w:lang w:val="en-US"/>
        </w:rPr>
        <w:t xml:space="preserve"> without infrastructure and hardware costs. </w:t>
      </w:r>
    </w:p>
    <w:p w14:paraId="017B162A" w14:textId="77777777" w:rsidR="00386871" w:rsidRPr="00D83E1E" w:rsidRDefault="00386871" w:rsidP="00EC16ED">
      <w:pPr>
        <w:pStyle w:val="Body"/>
        <w:jc w:val="both"/>
        <w:rPr>
          <w:rFonts w:ascii="Times New Roman" w:hAnsi="Times New Roman"/>
          <w:bCs/>
          <w:noProof/>
          <w:sz w:val="24"/>
          <w:szCs w:val="24"/>
        </w:rPr>
      </w:pPr>
      <w:bookmarkStart w:id="151" w:name="_Toc48897657"/>
      <w:bookmarkStart w:id="152" w:name="_Toc74838193"/>
      <w:r w:rsidRPr="00D83E1E">
        <w:rPr>
          <w:rFonts w:ascii="Times New Roman" w:hAnsi="Times New Roman"/>
          <w:bCs/>
          <w:noProof/>
          <w:sz w:val="24"/>
          <w:szCs w:val="24"/>
        </w:rPr>
        <w:t xml:space="preserve">Establishing a common minimum set of data that has to be made available for exchange, as well as establishing SIENA as the </w:t>
      </w:r>
      <w:r w:rsidR="00EC16ED" w:rsidRPr="00D83E1E">
        <w:rPr>
          <w:rFonts w:ascii="Times New Roman" w:hAnsi="Times New Roman"/>
          <w:bCs/>
          <w:noProof/>
          <w:sz w:val="24"/>
          <w:szCs w:val="24"/>
        </w:rPr>
        <w:t xml:space="preserve">privileged </w:t>
      </w:r>
      <w:r w:rsidRPr="00D83E1E">
        <w:rPr>
          <w:rFonts w:ascii="Times New Roman" w:hAnsi="Times New Roman"/>
          <w:bCs/>
          <w:noProof/>
          <w:sz w:val="24"/>
          <w:szCs w:val="24"/>
        </w:rPr>
        <w:t>channel of communication and defining common requirements for functionalities of the CMS is expected to have a very positive impact on the overall efficiency of the access to and exchange of information. It can be expected that the exchange of information will become swifter, less time consuming, and overall less burdensome in view of the information that can reasonably be expected from counterparts in other countries. This has also been confirmed in various interviews with national stakeholders</w:t>
      </w:r>
      <w:r w:rsidRPr="00D83E1E">
        <w:rPr>
          <w:rStyle w:val="FootnoteReference"/>
          <w:rFonts w:ascii="Times New Roman" w:hAnsi="Times New Roman"/>
          <w:bCs/>
          <w:noProof/>
          <w:sz w:val="24"/>
          <w:szCs w:val="24"/>
        </w:rPr>
        <w:footnoteReference w:id="157"/>
      </w:r>
      <w:r w:rsidR="006A09B8">
        <w:rPr>
          <w:rFonts w:ascii="Times New Roman" w:hAnsi="Times New Roman"/>
          <w:bCs/>
          <w:noProof/>
          <w:sz w:val="24"/>
          <w:szCs w:val="24"/>
        </w:rPr>
        <w:t>.</w:t>
      </w:r>
      <w:r w:rsidRPr="00D83E1E">
        <w:rPr>
          <w:rFonts w:ascii="Times New Roman" w:hAnsi="Times New Roman"/>
          <w:bCs/>
          <w:noProof/>
          <w:sz w:val="24"/>
          <w:szCs w:val="24"/>
        </w:rPr>
        <w:t xml:space="preserve"> </w:t>
      </w:r>
    </w:p>
    <w:tbl>
      <w:tblPr>
        <w:tblStyle w:val="Sty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386871" w:rsidRPr="00AC24E2" w14:paraId="2B81BD6A" w14:textId="77777777" w:rsidTr="00386871">
        <w:tc>
          <w:tcPr>
            <w:tcW w:w="9620" w:type="dxa"/>
            <w:shd w:val="clear" w:color="auto" w:fill="DEEAF6" w:themeFill="accent1" w:themeFillTint="33"/>
          </w:tcPr>
          <w:p w14:paraId="3726B8A4" w14:textId="77777777" w:rsidR="00386871" w:rsidRPr="00704502" w:rsidRDefault="00386871" w:rsidP="00EC16ED">
            <w:pPr>
              <w:pStyle w:val="Body"/>
              <w:spacing w:after="120"/>
              <w:jc w:val="center"/>
              <w:rPr>
                <w:b/>
                <w:i/>
                <w:iCs/>
                <w:noProof/>
                <w:sz w:val="18"/>
                <w:szCs w:val="18"/>
              </w:rPr>
            </w:pPr>
            <w:r w:rsidRPr="00704502">
              <w:rPr>
                <w:b/>
                <w:i/>
                <w:iCs/>
                <w:noProof/>
                <w:sz w:val="18"/>
                <w:szCs w:val="18"/>
              </w:rPr>
              <w:t xml:space="preserve">The </w:t>
            </w:r>
            <w:r w:rsidR="00EC16ED" w:rsidRPr="00704502">
              <w:rPr>
                <w:b/>
                <w:i/>
                <w:iCs/>
                <w:noProof/>
                <w:sz w:val="18"/>
                <w:szCs w:val="18"/>
              </w:rPr>
              <w:t xml:space="preserve">possible </w:t>
            </w:r>
            <w:r w:rsidRPr="00704502">
              <w:rPr>
                <w:b/>
                <w:i/>
                <w:iCs/>
                <w:noProof/>
                <w:sz w:val="18"/>
                <w:szCs w:val="18"/>
              </w:rPr>
              <w:t xml:space="preserve">costs associated with SIENA </w:t>
            </w:r>
          </w:p>
          <w:p w14:paraId="6386414B" w14:textId="77777777" w:rsidR="00386871" w:rsidRPr="00704502" w:rsidRDefault="00386871" w:rsidP="00EC16ED">
            <w:pPr>
              <w:pStyle w:val="Body"/>
              <w:spacing w:after="120"/>
              <w:jc w:val="both"/>
              <w:rPr>
                <w:bCs/>
                <w:noProof/>
                <w:sz w:val="18"/>
                <w:szCs w:val="18"/>
              </w:rPr>
            </w:pPr>
            <w:r w:rsidRPr="00704502">
              <w:rPr>
                <w:bCs/>
                <w:noProof/>
                <w:sz w:val="18"/>
                <w:szCs w:val="18"/>
              </w:rPr>
              <w:t xml:space="preserve">Europol estimated that the implementation of the SIENA functions foreseen in the baseline scenario could costs individual Member States around </w:t>
            </w:r>
            <w:r w:rsidR="00EC16ED" w:rsidRPr="00704502">
              <w:rPr>
                <w:bCs/>
                <w:noProof/>
                <w:sz w:val="18"/>
                <w:szCs w:val="18"/>
              </w:rPr>
              <w:t xml:space="preserve">EUR </w:t>
            </w:r>
            <w:r w:rsidRPr="00704502">
              <w:rPr>
                <w:bCs/>
                <w:noProof/>
                <w:sz w:val="18"/>
                <w:szCs w:val="18"/>
              </w:rPr>
              <w:t>50,000 on an annual basis over the next five to seven years for the implementation of SIENA web</w:t>
            </w:r>
            <w:r w:rsidR="001A70B3" w:rsidRPr="00704502">
              <w:rPr>
                <w:bCs/>
                <w:noProof/>
                <w:sz w:val="18"/>
                <w:szCs w:val="18"/>
              </w:rPr>
              <w:t xml:space="preserve"> </w:t>
            </w:r>
            <w:r w:rsidRPr="00704502">
              <w:rPr>
                <w:bCs/>
                <w:noProof/>
                <w:sz w:val="18"/>
                <w:szCs w:val="18"/>
              </w:rPr>
              <w:t>services.</w:t>
            </w:r>
          </w:p>
          <w:p w14:paraId="3083D2A8" w14:textId="77777777" w:rsidR="00386871" w:rsidRPr="00704502" w:rsidRDefault="00386871" w:rsidP="00EC16ED">
            <w:pPr>
              <w:pStyle w:val="Body"/>
              <w:spacing w:after="120"/>
              <w:jc w:val="both"/>
              <w:rPr>
                <w:bCs/>
                <w:noProof/>
                <w:sz w:val="18"/>
                <w:szCs w:val="18"/>
              </w:rPr>
            </w:pPr>
            <w:r w:rsidRPr="00704502">
              <w:rPr>
                <w:bCs/>
                <w:noProof/>
                <w:sz w:val="18"/>
                <w:szCs w:val="18"/>
              </w:rPr>
              <w:t xml:space="preserve">The calculation is based on several assumptions: There is already an existing case management system technologically able to integrate with SIENA web services and the network infrastructure does not require additional investments. The average </w:t>
            </w:r>
            <w:r w:rsidR="001A70B3" w:rsidRPr="00704502">
              <w:rPr>
                <w:bCs/>
                <w:noProof/>
                <w:sz w:val="18"/>
                <w:szCs w:val="18"/>
              </w:rPr>
              <w:t xml:space="preserve">EUR </w:t>
            </w:r>
            <w:r w:rsidRPr="00704502">
              <w:rPr>
                <w:bCs/>
                <w:noProof/>
                <w:sz w:val="18"/>
                <w:szCs w:val="18"/>
              </w:rPr>
              <w:t xml:space="preserve">50,000 take into account </w:t>
            </w:r>
            <w:r w:rsidR="001A70B3" w:rsidRPr="00704502">
              <w:rPr>
                <w:bCs/>
                <w:noProof/>
                <w:sz w:val="18"/>
                <w:szCs w:val="18"/>
              </w:rPr>
              <w:t xml:space="preserve">EUR </w:t>
            </w:r>
            <w:r w:rsidRPr="00704502">
              <w:rPr>
                <w:bCs/>
                <w:noProof/>
                <w:sz w:val="18"/>
                <w:szCs w:val="18"/>
              </w:rPr>
              <w:t>30,000 to 40,000 for technical development and 10,000 to 15,000 EUR staff training and technical visits to/by EUROPOL.</w:t>
            </w:r>
          </w:p>
          <w:p w14:paraId="4C354CE6" w14:textId="77777777" w:rsidR="00386871" w:rsidRPr="00704502" w:rsidRDefault="00386871" w:rsidP="00EC16ED">
            <w:pPr>
              <w:pStyle w:val="Body"/>
              <w:spacing w:after="120"/>
              <w:jc w:val="both"/>
              <w:rPr>
                <w:bCs/>
                <w:noProof/>
                <w:sz w:val="18"/>
                <w:szCs w:val="18"/>
              </w:rPr>
            </w:pPr>
            <w:r w:rsidRPr="00704502">
              <w:rPr>
                <w:bCs/>
                <w:noProof/>
                <w:sz w:val="18"/>
                <w:szCs w:val="18"/>
              </w:rPr>
              <w:t>Europol estimated that, on the side of the Member States, the most expensive cost item relating to SIENA would be its integration with national Case Management Systems.</w:t>
            </w:r>
          </w:p>
          <w:p w14:paraId="33D3F38A" w14:textId="77777777" w:rsidR="00386871" w:rsidRPr="00704502" w:rsidRDefault="00386871" w:rsidP="00EC16ED">
            <w:pPr>
              <w:pStyle w:val="Body"/>
              <w:spacing w:after="120"/>
              <w:jc w:val="both"/>
              <w:rPr>
                <w:bCs/>
                <w:noProof/>
                <w:sz w:val="18"/>
                <w:szCs w:val="18"/>
              </w:rPr>
            </w:pPr>
            <w:r w:rsidRPr="00704502">
              <w:rPr>
                <w:bCs/>
                <w:noProof/>
                <w:sz w:val="18"/>
                <w:szCs w:val="18"/>
              </w:rPr>
              <w:t>For users of the SIENA web application the costs are mainly limited to maintaining the national connection point, whereas the maintenance of rack, server, encryption etc. would be under Europol’s responsibility.</w:t>
            </w:r>
          </w:p>
          <w:p w14:paraId="6532C2C2" w14:textId="77777777" w:rsidR="00386871" w:rsidRPr="00704502" w:rsidRDefault="00386871" w:rsidP="00EC16ED">
            <w:pPr>
              <w:pStyle w:val="Body"/>
              <w:spacing w:after="120"/>
              <w:jc w:val="both"/>
              <w:rPr>
                <w:bCs/>
                <w:noProof/>
                <w:sz w:val="18"/>
                <w:szCs w:val="18"/>
              </w:rPr>
            </w:pPr>
            <w:r w:rsidRPr="00704502">
              <w:rPr>
                <w:bCs/>
                <w:noProof/>
                <w:sz w:val="18"/>
                <w:szCs w:val="18"/>
              </w:rPr>
              <w:t>As the new functionalities would be made available incrementally, the learning curve would – as much as possible be levelled. This means that associated costs to ‘learn’ how to apply SIENA are expected to be marginal.</w:t>
            </w:r>
          </w:p>
          <w:p w14:paraId="67666D35" w14:textId="77777777" w:rsidR="00386871" w:rsidRPr="00704502" w:rsidRDefault="00386871" w:rsidP="00EC16ED">
            <w:pPr>
              <w:pStyle w:val="Body"/>
              <w:spacing w:after="120"/>
              <w:jc w:val="both"/>
              <w:rPr>
                <w:bCs/>
                <w:noProof/>
                <w:sz w:val="18"/>
                <w:szCs w:val="18"/>
              </w:rPr>
            </w:pPr>
            <w:r w:rsidRPr="00704502">
              <w:rPr>
                <w:bCs/>
                <w:noProof/>
                <w:sz w:val="18"/>
                <w:szCs w:val="18"/>
              </w:rPr>
              <w:t>With the launch of SIENA BPL, Member States would be able to take advantage of their secure infrastructure which allows further extensions of SIENA without incurring costs related to technical upgrades and accreditation to EU-RES.</w:t>
            </w:r>
          </w:p>
          <w:p w14:paraId="5F787733" w14:textId="77777777" w:rsidR="00386871" w:rsidRPr="00AC24E2" w:rsidRDefault="00386871" w:rsidP="00EC16ED">
            <w:pPr>
              <w:pStyle w:val="Body"/>
              <w:spacing w:after="120"/>
              <w:jc w:val="both"/>
              <w:rPr>
                <w:noProof/>
              </w:rPr>
            </w:pPr>
            <w:r w:rsidRPr="00704502">
              <w:rPr>
                <w:bCs/>
                <w:noProof/>
                <w:sz w:val="18"/>
                <w:szCs w:val="18"/>
              </w:rPr>
              <w:t>Based on previous experience in supporting Member States with implementation of the web services, Europol estimated their necessary budgetary to be around 1 Mio. Euro. This amount is expected to facilitate the integration of SIENA web services in Member States that do not yet use it, e.g. through technical guidance on SIENA.</w:t>
            </w:r>
          </w:p>
        </w:tc>
      </w:tr>
    </w:tbl>
    <w:p w14:paraId="2B4C55D7" w14:textId="77777777" w:rsidR="00EC16ED" w:rsidRPr="005F29B1" w:rsidRDefault="00EC16ED" w:rsidP="00EC16ED">
      <w:pPr>
        <w:pStyle w:val="Body"/>
        <w:spacing w:after="0"/>
        <w:rPr>
          <w:bCs/>
          <w:noProof/>
          <w:sz w:val="16"/>
          <w:szCs w:val="16"/>
        </w:rPr>
      </w:pPr>
    </w:p>
    <w:p w14:paraId="2A85D3C7" w14:textId="77777777" w:rsidR="00386871" w:rsidRPr="001A70B3" w:rsidRDefault="00386871" w:rsidP="001A70B3">
      <w:pPr>
        <w:pStyle w:val="Body"/>
        <w:spacing w:after="120"/>
        <w:jc w:val="both"/>
        <w:rPr>
          <w:rFonts w:ascii="Times New Roman" w:hAnsi="Times New Roman"/>
          <w:bCs/>
          <w:noProof/>
          <w:sz w:val="24"/>
          <w:szCs w:val="24"/>
        </w:rPr>
      </w:pPr>
      <w:r w:rsidRPr="001A70B3">
        <w:rPr>
          <w:rFonts w:ascii="Times New Roman" w:hAnsi="Times New Roman"/>
          <w:bCs/>
          <w:noProof/>
          <w:sz w:val="24"/>
          <w:szCs w:val="24"/>
        </w:rPr>
        <w:t>However, the majority of participants of breakout session 1 indicated at the 2</w:t>
      </w:r>
      <w:r w:rsidRPr="001A70B3">
        <w:rPr>
          <w:rFonts w:ascii="Times New Roman" w:hAnsi="Times New Roman"/>
          <w:bCs/>
          <w:noProof/>
          <w:sz w:val="24"/>
          <w:szCs w:val="24"/>
          <w:vertAlign w:val="superscript"/>
        </w:rPr>
        <w:t>nd</w:t>
      </w:r>
      <w:r w:rsidRPr="001A70B3">
        <w:rPr>
          <w:rFonts w:ascii="Times New Roman" w:hAnsi="Times New Roman"/>
          <w:bCs/>
          <w:noProof/>
          <w:sz w:val="24"/>
          <w:szCs w:val="24"/>
        </w:rPr>
        <w:t xml:space="preserve"> technical workshop that working time could be reduced to a moderate extent only. It was explained, though, that this reduction of working time related to the access to and exchange of information overall. The working time spent on tasks of rather administrative nature, however, can be expected to decrease to a large extent. As a consequence, law enforcement officials are expected to be able to spend an even larger share of their working time on actually contributing to ‘solving’ cases rather than managing them.</w:t>
      </w:r>
    </w:p>
    <w:p w14:paraId="6B1A3562" w14:textId="77777777" w:rsidR="00386871" w:rsidRPr="005D5CFD" w:rsidRDefault="00386871" w:rsidP="001A70B3">
      <w:pPr>
        <w:pStyle w:val="Body"/>
        <w:spacing w:after="120"/>
        <w:jc w:val="both"/>
        <w:rPr>
          <w:rFonts w:ascii="Times New Roman" w:hAnsi="Times New Roman"/>
          <w:bCs/>
          <w:noProof/>
          <w:sz w:val="24"/>
          <w:szCs w:val="24"/>
        </w:rPr>
      </w:pPr>
      <w:r w:rsidRPr="001A70B3">
        <w:rPr>
          <w:rFonts w:ascii="Times New Roman" w:hAnsi="Times New Roman"/>
          <w:bCs/>
          <w:noProof/>
          <w:sz w:val="24"/>
          <w:szCs w:val="24"/>
        </w:rPr>
        <w:t>Overall, the positive impacts of the measures on the efficiency of law enforcement cooperation are expected to be balanced from an efficiency perspective – at least to some extent – by the investments and operational costs the measures foreseen under this policy option may necessitate. More specifically, this refers to the following types of costs:</w:t>
      </w:r>
    </w:p>
    <w:p w14:paraId="677EE45D" w14:textId="77777777" w:rsidR="00386871" w:rsidRPr="005D5CFD" w:rsidRDefault="00386871" w:rsidP="005D5CFD">
      <w:pPr>
        <w:pStyle w:val="Body"/>
        <w:keepNext/>
        <w:numPr>
          <w:ilvl w:val="0"/>
          <w:numId w:val="8"/>
        </w:numPr>
        <w:spacing w:before="120" w:after="0"/>
        <w:ind w:left="714" w:hanging="357"/>
        <w:jc w:val="both"/>
        <w:rPr>
          <w:rFonts w:ascii="Times New Roman" w:hAnsi="Times New Roman"/>
          <w:bCs/>
          <w:noProof/>
          <w:sz w:val="24"/>
          <w:szCs w:val="24"/>
        </w:rPr>
      </w:pPr>
      <w:r w:rsidRPr="005D5CFD">
        <w:rPr>
          <w:rFonts w:ascii="Times New Roman" w:hAnsi="Times New Roman"/>
          <w:bCs/>
          <w:noProof/>
          <w:sz w:val="24"/>
          <w:szCs w:val="24"/>
        </w:rPr>
        <w:t>Investments in IT-infrastructure (both hard- and software), as well as its continuous maintenance (see textbox above);</w:t>
      </w:r>
    </w:p>
    <w:p w14:paraId="0A0BB60E" w14:textId="77777777" w:rsidR="00386871" w:rsidRPr="005D5CFD" w:rsidRDefault="00386871" w:rsidP="005D5CFD">
      <w:pPr>
        <w:pStyle w:val="Body"/>
        <w:numPr>
          <w:ilvl w:val="0"/>
          <w:numId w:val="8"/>
        </w:numPr>
        <w:spacing w:after="0"/>
        <w:ind w:left="714" w:hanging="357"/>
        <w:jc w:val="both"/>
        <w:rPr>
          <w:rFonts w:ascii="Times New Roman" w:hAnsi="Times New Roman"/>
          <w:bCs/>
          <w:noProof/>
          <w:sz w:val="24"/>
          <w:szCs w:val="24"/>
        </w:rPr>
      </w:pPr>
      <w:r w:rsidRPr="005D5CFD">
        <w:rPr>
          <w:rFonts w:ascii="Times New Roman" w:hAnsi="Times New Roman"/>
          <w:bCs/>
          <w:noProof/>
          <w:sz w:val="24"/>
          <w:szCs w:val="24"/>
        </w:rPr>
        <w:t>Staff costs relating to an overall increased workload due more effective law enforcement cooperation (i.e. judicial authorities being available within SPOCs 24/7, more cases being handled, albeit in a more efficient manner); and</w:t>
      </w:r>
    </w:p>
    <w:p w14:paraId="7E53EAA2" w14:textId="77777777" w:rsidR="00386871" w:rsidRPr="005D5CFD" w:rsidRDefault="00386871" w:rsidP="005D5CFD">
      <w:pPr>
        <w:pStyle w:val="Body"/>
        <w:numPr>
          <w:ilvl w:val="0"/>
          <w:numId w:val="8"/>
        </w:numPr>
        <w:spacing w:after="120"/>
        <w:ind w:left="714" w:hanging="357"/>
        <w:jc w:val="both"/>
        <w:rPr>
          <w:rFonts w:ascii="Times New Roman" w:hAnsi="Times New Roman"/>
          <w:bCs/>
          <w:noProof/>
          <w:sz w:val="24"/>
          <w:szCs w:val="24"/>
        </w:rPr>
      </w:pPr>
      <w:r w:rsidRPr="005D5CFD">
        <w:rPr>
          <w:rFonts w:ascii="Times New Roman" w:hAnsi="Times New Roman"/>
          <w:bCs/>
          <w:noProof/>
          <w:sz w:val="24"/>
          <w:szCs w:val="24"/>
        </w:rPr>
        <w:t>Time spent to train officials in relation to new legislative requirements, processes, IT tools, as well as language training.</w:t>
      </w:r>
    </w:p>
    <w:p w14:paraId="745D47DA" w14:textId="77777777" w:rsidR="00386871" w:rsidRPr="005D5CFD" w:rsidRDefault="00386871" w:rsidP="005D5CFD">
      <w:pPr>
        <w:pStyle w:val="Body"/>
        <w:spacing w:after="120"/>
        <w:jc w:val="both"/>
        <w:rPr>
          <w:rFonts w:ascii="Times New Roman" w:hAnsi="Times New Roman"/>
          <w:bCs/>
          <w:noProof/>
          <w:sz w:val="24"/>
          <w:szCs w:val="24"/>
        </w:rPr>
      </w:pPr>
      <w:r w:rsidRPr="005D5CFD">
        <w:rPr>
          <w:rFonts w:ascii="Times New Roman" w:hAnsi="Times New Roman"/>
          <w:bCs/>
          <w:noProof/>
          <w:sz w:val="24"/>
          <w:szCs w:val="24"/>
        </w:rPr>
        <w:t xml:space="preserve">Moreover, additional infrastructure costs are expected to be incurred stemming e.g. from the increased use of electricity, the use of office space (e.g. rent, heating, depreciation of physical assets). Comprehensive quantitative evidence of the level of these costs is, however, not available. </w:t>
      </w:r>
    </w:p>
    <w:p w14:paraId="399A71E7" w14:textId="77777777" w:rsidR="00386871" w:rsidRPr="005D5CFD" w:rsidRDefault="00386871" w:rsidP="005D5CFD">
      <w:pPr>
        <w:pStyle w:val="Body"/>
        <w:spacing w:after="120"/>
        <w:jc w:val="both"/>
        <w:rPr>
          <w:rFonts w:ascii="Times New Roman" w:hAnsi="Times New Roman"/>
          <w:bCs/>
          <w:noProof/>
          <w:sz w:val="24"/>
          <w:szCs w:val="24"/>
        </w:rPr>
      </w:pPr>
      <w:r w:rsidRPr="005D5CFD">
        <w:rPr>
          <w:rFonts w:ascii="Times New Roman" w:hAnsi="Times New Roman"/>
          <w:bCs/>
          <w:noProof/>
          <w:sz w:val="24"/>
          <w:szCs w:val="24"/>
        </w:rPr>
        <w:t>With specific regard to necessary investments in IT-infrastructure and maintenance in the area of cross-border law enforcement cooperation, no evidence is available. However, the European Commission published a report in 2018 in relation to the re-use of public sector information which references estimates for necessary technical and administrative investment costs for a national IT-development and roll-out project relating to the re-use of data</w:t>
      </w:r>
      <w:r w:rsidRPr="005D5CFD">
        <w:rPr>
          <w:rStyle w:val="FootnoteReference"/>
          <w:rFonts w:ascii="Times New Roman" w:hAnsi="Times New Roman"/>
          <w:bCs/>
          <w:noProof/>
          <w:sz w:val="24"/>
          <w:szCs w:val="24"/>
        </w:rPr>
        <w:footnoteReference w:id="158"/>
      </w:r>
      <w:r w:rsidR="005D5CFD">
        <w:rPr>
          <w:rFonts w:ascii="Times New Roman" w:hAnsi="Times New Roman"/>
          <w:bCs/>
          <w:noProof/>
          <w:sz w:val="24"/>
          <w:szCs w:val="24"/>
        </w:rPr>
        <w:t>.</w:t>
      </w:r>
      <w:r w:rsidRPr="005D5CFD">
        <w:rPr>
          <w:rFonts w:ascii="Times New Roman" w:hAnsi="Times New Roman"/>
          <w:bCs/>
          <w:noProof/>
          <w:sz w:val="24"/>
          <w:szCs w:val="24"/>
        </w:rPr>
        <w:t xml:space="preserve"> The data stems from Poland and is provided in the following table.</w:t>
      </w:r>
    </w:p>
    <w:p w14:paraId="1520DF65" w14:textId="77777777" w:rsidR="00386871" w:rsidRPr="005B3636" w:rsidRDefault="00386871" w:rsidP="005D5CFD">
      <w:pPr>
        <w:pStyle w:val="Caption"/>
        <w:keepNext/>
        <w:jc w:val="center"/>
        <w:rPr>
          <w:rFonts w:ascii="Times New Roman" w:hAnsi="Times New Roman"/>
          <w:noProof/>
          <w:sz w:val="24"/>
          <w:szCs w:val="24"/>
          <w:lang w:val="en-GB"/>
        </w:rPr>
      </w:pPr>
      <w:bookmarkStart w:id="153" w:name="_Toc74237816"/>
      <w:bookmarkStart w:id="154" w:name="_Toc75781580"/>
      <w:r w:rsidRPr="005B3636">
        <w:rPr>
          <w:rFonts w:ascii="Times New Roman" w:hAnsi="Times New Roman"/>
          <w:noProof/>
          <w:sz w:val="24"/>
          <w:szCs w:val="24"/>
          <w:lang w:val="en-GB"/>
        </w:rPr>
        <w:t>Illustrative example of IT-project costs</w:t>
      </w:r>
      <w:bookmarkEnd w:id="153"/>
      <w:bookmarkEnd w:id="154"/>
    </w:p>
    <w:tbl>
      <w:tblPr>
        <w:tblW w:w="9634" w:type="dxa"/>
        <w:tblLook w:val="04A0" w:firstRow="1" w:lastRow="0" w:firstColumn="1" w:lastColumn="0" w:noHBand="0" w:noVBand="1"/>
      </w:tblPr>
      <w:tblGrid>
        <w:gridCol w:w="7792"/>
        <w:gridCol w:w="1842"/>
      </w:tblGrid>
      <w:tr w:rsidR="00386871" w:rsidRPr="00AC24E2" w14:paraId="6AD87632" w14:textId="77777777" w:rsidTr="00386871">
        <w:trPr>
          <w:trHeight w:val="255"/>
          <w:tblHeader/>
        </w:trPr>
        <w:tc>
          <w:tcPr>
            <w:tcW w:w="779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926D978" w14:textId="77777777" w:rsidR="00386871" w:rsidRPr="00AC24E2" w:rsidRDefault="00386871" w:rsidP="00386871">
            <w:pPr>
              <w:spacing w:before="60" w:after="60"/>
              <w:rPr>
                <w:rFonts w:ascii="Verdana" w:hAnsi="Verdana" w:cs="Arial"/>
                <w:b/>
                <w:bCs/>
                <w:noProof/>
                <w:color w:val="FFFFFF" w:themeColor="background1"/>
                <w:sz w:val="18"/>
                <w:szCs w:val="18"/>
                <w:lang w:val="en-GB" w:eastAsia="en-GB"/>
              </w:rPr>
            </w:pPr>
            <w:r w:rsidRPr="00AC24E2">
              <w:rPr>
                <w:rFonts w:ascii="Verdana" w:hAnsi="Verdana" w:cs="Arial"/>
                <w:b/>
                <w:bCs/>
                <w:noProof/>
                <w:color w:val="FFFFFF" w:themeColor="background1"/>
                <w:sz w:val="18"/>
                <w:szCs w:val="18"/>
                <w:lang w:val="en-GB" w:eastAsia="en-GB"/>
              </w:rPr>
              <w:t>Cost item</w:t>
            </w:r>
          </w:p>
        </w:tc>
        <w:tc>
          <w:tcPr>
            <w:tcW w:w="1842" w:type="dxa"/>
            <w:tcBorders>
              <w:top w:val="single" w:sz="4" w:space="0" w:color="auto"/>
              <w:left w:val="nil"/>
              <w:bottom w:val="single" w:sz="4" w:space="0" w:color="auto"/>
              <w:right w:val="single" w:sz="4" w:space="0" w:color="auto"/>
            </w:tcBorders>
            <w:shd w:val="clear" w:color="auto" w:fill="000000" w:themeFill="text1"/>
            <w:vAlign w:val="center"/>
            <w:hideMark/>
          </w:tcPr>
          <w:p w14:paraId="527197C6" w14:textId="77777777" w:rsidR="00386871" w:rsidRPr="00AC24E2" w:rsidRDefault="00386871" w:rsidP="00386871">
            <w:pPr>
              <w:spacing w:before="60" w:after="60"/>
              <w:rPr>
                <w:rFonts w:ascii="Verdana" w:hAnsi="Verdana" w:cs="Arial"/>
                <w:b/>
                <w:bCs/>
                <w:noProof/>
                <w:color w:val="FFFFFF" w:themeColor="background1"/>
                <w:sz w:val="18"/>
                <w:szCs w:val="18"/>
                <w:lang w:val="en-GB" w:eastAsia="en-GB"/>
              </w:rPr>
            </w:pPr>
            <w:r w:rsidRPr="00AC24E2">
              <w:rPr>
                <w:rFonts w:ascii="Verdana" w:hAnsi="Verdana" w:cs="Arial"/>
                <w:b/>
                <w:bCs/>
                <w:noProof/>
                <w:color w:val="FFFFFF" w:themeColor="background1"/>
                <w:sz w:val="18"/>
                <w:szCs w:val="18"/>
                <w:lang w:val="en-GB" w:eastAsia="en-GB"/>
              </w:rPr>
              <w:t>Budget (EURm)</w:t>
            </w:r>
          </w:p>
        </w:tc>
      </w:tr>
      <w:tr w:rsidR="00386871" w:rsidRPr="00AC24E2" w14:paraId="25A1A171"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0D3B5241"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IT equipment, programs and licenses, computers and servers</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37CF4548"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1.17 </w:t>
            </w:r>
          </w:p>
        </w:tc>
      </w:tr>
      <w:tr w:rsidR="00386871" w:rsidRPr="00AC24E2" w14:paraId="2D1C37A9"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44BB2E10"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Preparation of project, feasibility study</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5BE2F6A0"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0.20 </w:t>
            </w:r>
          </w:p>
        </w:tc>
      </w:tr>
      <w:tr w:rsidR="00386871" w:rsidRPr="00AC24E2" w14:paraId="7BFFFCD5"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2E901893"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IT services, audits and tests, APIs</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690B927F"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2.10 </w:t>
            </w:r>
          </w:p>
        </w:tc>
      </w:tr>
      <w:tr w:rsidR="00386871" w:rsidRPr="00AC24E2" w14:paraId="4FAB84FA"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26936A65"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Legal services, translations, consulting</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006577A4"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0.15 </w:t>
            </w:r>
          </w:p>
        </w:tc>
      </w:tr>
      <w:tr w:rsidR="00386871" w:rsidRPr="00AC24E2" w14:paraId="3E73D4F4"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02193FB8"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Salaries (experts for open standards, trainers, portal design, partners)</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1DAE2FFE"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2.19 </w:t>
            </w:r>
          </w:p>
        </w:tc>
      </w:tr>
      <w:tr w:rsidR="00386871" w:rsidRPr="00AC24E2" w14:paraId="7DBFE4EA"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7CBD6F86"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Other salary related costs</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0A6C748C"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0.05 </w:t>
            </w:r>
          </w:p>
        </w:tc>
      </w:tr>
      <w:tr w:rsidR="00386871" w:rsidRPr="00AC24E2" w14:paraId="3E14F94F"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45BDDED7"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Training</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201AC56F"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0.27 </w:t>
            </w:r>
          </w:p>
        </w:tc>
      </w:tr>
      <w:tr w:rsidR="00386871" w:rsidRPr="00AC24E2" w14:paraId="667E47AF"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45AD1833"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Training material</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1C8647D4"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0.03 </w:t>
            </w:r>
          </w:p>
        </w:tc>
      </w:tr>
      <w:tr w:rsidR="00386871" w:rsidRPr="00AC24E2" w14:paraId="3CEA886B"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15910335" w14:textId="77777777" w:rsidR="00386871" w:rsidRPr="00AC24E2" w:rsidRDefault="00386871" w:rsidP="00386871">
            <w:pPr>
              <w:spacing w:before="60" w:after="60"/>
              <w:rPr>
                <w:rFonts w:ascii="Verdana" w:hAnsi="Verdana"/>
                <w:bCs/>
                <w:noProof/>
                <w:sz w:val="18"/>
                <w:szCs w:val="18"/>
                <w:lang w:val="en-GB"/>
              </w:rPr>
            </w:pPr>
            <w:r w:rsidRPr="00AC24E2">
              <w:rPr>
                <w:rFonts w:ascii="Verdana" w:hAnsi="Verdana"/>
                <w:bCs/>
                <w:noProof/>
                <w:sz w:val="18"/>
                <w:szCs w:val="18"/>
                <w:lang w:val="en-GB"/>
              </w:rPr>
              <w:t>Information and promotion</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7734BAAD" w14:textId="77777777" w:rsidR="00386871" w:rsidRPr="00AC24E2" w:rsidRDefault="00386871" w:rsidP="00386871">
            <w:pPr>
              <w:spacing w:before="60" w:after="60"/>
              <w:jc w:val="center"/>
              <w:rPr>
                <w:rFonts w:ascii="Verdana" w:hAnsi="Verdana"/>
                <w:bCs/>
                <w:noProof/>
                <w:sz w:val="18"/>
                <w:szCs w:val="18"/>
                <w:lang w:val="en-GB"/>
              </w:rPr>
            </w:pPr>
            <w:r w:rsidRPr="00AC24E2">
              <w:rPr>
                <w:rFonts w:ascii="Verdana" w:hAnsi="Verdana"/>
                <w:bCs/>
                <w:noProof/>
                <w:sz w:val="18"/>
                <w:szCs w:val="18"/>
                <w:lang w:val="en-GB"/>
              </w:rPr>
              <w:t xml:space="preserve">0.15 </w:t>
            </w:r>
          </w:p>
        </w:tc>
      </w:tr>
      <w:tr w:rsidR="00386871" w:rsidRPr="00AC24E2" w14:paraId="29FE0834" w14:textId="77777777" w:rsidTr="00386871">
        <w:trPr>
          <w:trHeight w:val="77"/>
        </w:trPr>
        <w:tc>
          <w:tcPr>
            <w:tcW w:w="7792" w:type="dxa"/>
            <w:tcBorders>
              <w:top w:val="single" w:sz="4" w:space="0" w:color="auto"/>
              <w:left w:val="single" w:sz="4" w:space="0" w:color="auto"/>
              <w:bottom w:val="single" w:sz="4" w:space="0" w:color="auto"/>
              <w:right w:val="single" w:sz="4" w:space="0" w:color="auto"/>
            </w:tcBorders>
            <w:shd w:val="clear" w:color="auto" w:fill="F2F2F2"/>
            <w:vAlign w:val="center"/>
          </w:tcPr>
          <w:p w14:paraId="0C80373B" w14:textId="77777777" w:rsidR="00386871" w:rsidRPr="00AC24E2" w:rsidRDefault="00386871" w:rsidP="00386871">
            <w:pPr>
              <w:spacing w:before="60" w:after="60"/>
              <w:rPr>
                <w:rFonts w:ascii="Verdana" w:hAnsi="Verdana"/>
                <w:b/>
                <w:noProof/>
                <w:sz w:val="18"/>
                <w:szCs w:val="18"/>
                <w:lang w:val="en-GB"/>
              </w:rPr>
            </w:pPr>
            <w:r w:rsidRPr="00AC24E2">
              <w:rPr>
                <w:rFonts w:ascii="Verdana" w:hAnsi="Verdana"/>
                <w:b/>
                <w:noProof/>
                <w:sz w:val="18"/>
                <w:szCs w:val="18"/>
                <w:lang w:val="en-GB"/>
              </w:rPr>
              <w:t>Total</w:t>
            </w:r>
          </w:p>
        </w:tc>
        <w:tc>
          <w:tcPr>
            <w:tcW w:w="1842" w:type="dxa"/>
            <w:tcBorders>
              <w:top w:val="single" w:sz="4" w:space="0" w:color="auto"/>
              <w:left w:val="nil"/>
              <w:bottom w:val="single" w:sz="4" w:space="0" w:color="auto"/>
              <w:right w:val="single" w:sz="4" w:space="0" w:color="auto"/>
            </w:tcBorders>
            <w:shd w:val="clear" w:color="auto" w:fill="F2F2F2"/>
            <w:vAlign w:val="center"/>
          </w:tcPr>
          <w:p w14:paraId="2DD39B6A" w14:textId="77777777" w:rsidR="00386871" w:rsidRPr="00AC24E2" w:rsidRDefault="00386871" w:rsidP="00386871">
            <w:pPr>
              <w:spacing w:before="60" w:after="60"/>
              <w:jc w:val="center"/>
              <w:rPr>
                <w:rFonts w:ascii="Verdana" w:hAnsi="Verdana"/>
                <w:b/>
                <w:noProof/>
                <w:sz w:val="18"/>
                <w:szCs w:val="18"/>
                <w:lang w:val="en-GB"/>
              </w:rPr>
            </w:pPr>
            <w:r w:rsidRPr="00AC24E2">
              <w:rPr>
                <w:rFonts w:ascii="Verdana" w:hAnsi="Verdana"/>
                <w:b/>
                <w:noProof/>
                <w:sz w:val="18"/>
                <w:szCs w:val="18"/>
                <w:lang w:val="en-GB"/>
              </w:rPr>
              <w:t xml:space="preserve">6.28 </w:t>
            </w:r>
          </w:p>
        </w:tc>
      </w:tr>
    </w:tbl>
    <w:p w14:paraId="118D6C70" w14:textId="77777777" w:rsidR="00386871" w:rsidRPr="00AC24E2" w:rsidRDefault="00386871" w:rsidP="00386871">
      <w:pPr>
        <w:pStyle w:val="Body"/>
        <w:jc w:val="center"/>
        <w:rPr>
          <w:rStyle w:val="SubtleEmphasis"/>
          <w:noProof/>
          <w:sz w:val="16"/>
        </w:rPr>
      </w:pPr>
      <w:r w:rsidRPr="00AC24E2">
        <w:rPr>
          <w:rStyle w:val="SubtleEmphasis"/>
          <w:noProof/>
          <w:sz w:val="16"/>
        </w:rPr>
        <w:t>Source: European Commission (2018)</w:t>
      </w:r>
    </w:p>
    <w:p w14:paraId="7985CB57" w14:textId="77777777" w:rsidR="00386871" w:rsidRPr="006A09B8" w:rsidRDefault="00386871" w:rsidP="003032CF">
      <w:pPr>
        <w:pStyle w:val="Body"/>
        <w:spacing w:after="120"/>
        <w:jc w:val="both"/>
        <w:rPr>
          <w:rFonts w:ascii="Times New Roman" w:hAnsi="Times New Roman"/>
          <w:bCs/>
          <w:noProof/>
          <w:sz w:val="24"/>
          <w:szCs w:val="24"/>
        </w:rPr>
      </w:pPr>
      <w:r w:rsidRPr="006A09B8">
        <w:rPr>
          <w:rFonts w:ascii="Times New Roman" w:hAnsi="Times New Roman"/>
          <w:bCs/>
          <w:noProof/>
          <w:sz w:val="24"/>
          <w:szCs w:val="24"/>
        </w:rPr>
        <w:t xml:space="preserve">The illustrative example provided in the table above should be treated very carefully: It does not relate to IT developments in the area of cross-border law enforcement, but merely gives an idea of the level of costs for an IT project. For comparative purposes: The 2020 German federal budget contained an item called “Police IT Fund” in relation to which </w:t>
      </w:r>
      <w:r w:rsidR="005D5CFD">
        <w:rPr>
          <w:rFonts w:ascii="Times New Roman" w:hAnsi="Times New Roman"/>
          <w:bCs/>
          <w:noProof/>
          <w:sz w:val="24"/>
          <w:szCs w:val="24"/>
        </w:rPr>
        <w:t xml:space="preserve">EUR </w:t>
      </w:r>
      <w:r w:rsidRPr="006A09B8">
        <w:rPr>
          <w:rFonts w:ascii="Times New Roman" w:hAnsi="Times New Roman"/>
          <w:bCs/>
          <w:noProof/>
          <w:sz w:val="24"/>
          <w:szCs w:val="24"/>
        </w:rPr>
        <w:t>4.38 million were allocated.</w:t>
      </w:r>
      <w:r w:rsidRPr="006A09B8">
        <w:rPr>
          <w:rStyle w:val="FootnoteReference"/>
          <w:rFonts w:ascii="Times New Roman" w:hAnsi="Times New Roman"/>
          <w:bCs/>
          <w:noProof/>
          <w:sz w:val="24"/>
          <w:szCs w:val="24"/>
        </w:rPr>
        <w:footnoteReference w:id="159"/>
      </w:r>
      <w:r w:rsidRPr="006A09B8">
        <w:rPr>
          <w:rFonts w:ascii="Times New Roman" w:hAnsi="Times New Roman"/>
          <w:bCs/>
          <w:noProof/>
          <w:sz w:val="24"/>
          <w:szCs w:val="24"/>
        </w:rPr>
        <w:t xml:space="preserve"> In addition, there is IT-related budget allocated in each of the 16 federal states. In Bavaria, for instance, around </w:t>
      </w:r>
      <w:r w:rsidR="005D5CFD">
        <w:rPr>
          <w:rFonts w:ascii="Times New Roman" w:hAnsi="Times New Roman"/>
          <w:bCs/>
          <w:noProof/>
          <w:sz w:val="24"/>
          <w:szCs w:val="24"/>
        </w:rPr>
        <w:t xml:space="preserve">EUR </w:t>
      </w:r>
      <w:r w:rsidRPr="006A09B8">
        <w:rPr>
          <w:rFonts w:ascii="Times New Roman" w:hAnsi="Times New Roman"/>
          <w:bCs/>
          <w:noProof/>
          <w:sz w:val="24"/>
          <w:szCs w:val="24"/>
        </w:rPr>
        <w:t>2.15 million were devoted to the procurement and rental of hard- and software in 2020</w:t>
      </w:r>
      <w:r w:rsidRPr="005D5CFD">
        <w:rPr>
          <w:rStyle w:val="FootnoteReference"/>
          <w:rFonts w:ascii="Times New Roman" w:hAnsi="Times New Roman"/>
          <w:bCs/>
          <w:noProof/>
          <w:sz w:val="24"/>
          <w:szCs w:val="24"/>
        </w:rPr>
        <w:footnoteReference w:id="160"/>
      </w:r>
      <w:r w:rsidR="005D5CFD">
        <w:rPr>
          <w:rFonts w:ascii="Times New Roman" w:hAnsi="Times New Roman"/>
          <w:bCs/>
          <w:noProof/>
          <w:sz w:val="24"/>
          <w:szCs w:val="24"/>
        </w:rPr>
        <w:t>.</w:t>
      </w:r>
      <w:r w:rsidRPr="006A09B8">
        <w:rPr>
          <w:rFonts w:ascii="Times New Roman" w:hAnsi="Times New Roman"/>
          <w:bCs/>
          <w:noProof/>
          <w:sz w:val="24"/>
          <w:szCs w:val="24"/>
        </w:rPr>
        <w:t xml:space="preserve"> A very rough estimate of the overall IT-budget allocated to the German police forces (both federal and state levels) could, therefore, be between </w:t>
      </w:r>
      <w:r w:rsidR="005D5CFD">
        <w:rPr>
          <w:rFonts w:ascii="Times New Roman" w:hAnsi="Times New Roman"/>
          <w:bCs/>
          <w:noProof/>
          <w:sz w:val="24"/>
          <w:szCs w:val="24"/>
        </w:rPr>
        <w:t xml:space="preserve">EUR </w:t>
      </w:r>
      <w:r w:rsidRPr="006A09B8">
        <w:rPr>
          <w:rFonts w:ascii="Times New Roman" w:hAnsi="Times New Roman"/>
          <w:bCs/>
          <w:noProof/>
          <w:sz w:val="24"/>
          <w:szCs w:val="24"/>
        </w:rPr>
        <w:t>28 and 39 million</w:t>
      </w:r>
      <w:r w:rsidRPr="006A09B8">
        <w:rPr>
          <w:rStyle w:val="FootnoteReference"/>
          <w:rFonts w:ascii="Times New Roman" w:hAnsi="Times New Roman"/>
          <w:bCs/>
          <w:noProof/>
          <w:sz w:val="24"/>
          <w:szCs w:val="24"/>
        </w:rPr>
        <w:footnoteReference w:id="161"/>
      </w:r>
      <w:r w:rsidR="005D5CFD">
        <w:rPr>
          <w:rFonts w:ascii="Times New Roman" w:hAnsi="Times New Roman"/>
          <w:bCs/>
          <w:noProof/>
          <w:sz w:val="24"/>
          <w:szCs w:val="24"/>
        </w:rPr>
        <w:t>.</w:t>
      </w:r>
      <w:r w:rsidRPr="006A09B8">
        <w:rPr>
          <w:rFonts w:ascii="Times New Roman" w:hAnsi="Times New Roman"/>
          <w:bCs/>
          <w:noProof/>
          <w:sz w:val="24"/>
          <w:szCs w:val="24"/>
        </w:rPr>
        <w:t xml:space="preserve"> It could be assumed that around 20% of that budget is spent on IT that is also used in some shape or form in relation to cross-border law enforcement cooperation. This equals an amount of</w:t>
      </w:r>
      <w:r w:rsidR="005D5CFD">
        <w:rPr>
          <w:rFonts w:ascii="Times New Roman" w:hAnsi="Times New Roman"/>
          <w:bCs/>
          <w:noProof/>
          <w:sz w:val="24"/>
          <w:szCs w:val="24"/>
        </w:rPr>
        <w:t xml:space="preserve"> EUR</w:t>
      </w:r>
      <w:r w:rsidRPr="006A09B8">
        <w:rPr>
          <w:rFonts w:ascii="Times New Roman" w:hAnsi="Times New Roman"/>
          <w:bCs/>
          <w:noProof/>
          <w:sz w:val="24"/>
          <w:szCs w:val="24"/>
        </w:rPr>
        <w:t xml:space="preserve"> 5,6 to 7.8 million – which is roughly in line with the estimate above from Poland.</w:t>
      </w:r>
    </w:p>
    <w:p w14:paraId="2B3CC162" w14:textId="77777777" w:rsidR="00386871" w:rsidRPr="006A09B8" w:rsidRDefault="00386871" w:rsidP="006A09B8">
      <w:pPr>
        <w:pStyle w:val="Body"/>
        <w:spacing w:after="120"/>
        <w:jc w:val="both"/>
        <w:rPr>
          <w:rFonts w:ascii="Times New Roman" w:hAnsi="Times New Roman"/>
          <w:iCs/>
          <w:noProof/>
          <w:sz w:val="24"/>
          <w:szCs w:val="24"/>
        </w:rPr>
      </w:pPr>
      <w:r w:rsidRPr="006A09B8">
        <w:rPr>
          <w:rFonts w:ascii="Times New Roman" w:hAnsi="Times New Roman"/>
          <w:iCs/>
          <w:noProof/>
          <w:sz w:val="24"/>
          <w:szCs w:val="24"/>
        </w:rPr>
        <w:t>Member States are expected to incur costs related to the common minimum set of data that has to be made available by all Member States for exchange. These costs relate to both the implementation of the necessary IT systems, as well as the collection of statistics. The magnitude of costs per Member State depends on the extent to which the current systems are already aligned with the requirements foreseen under this policy option. The costs are, however, expected to be covered within the IT-related costs identified above.</w:t>
      </w:r>
    </w:p>
    <w:p w14:paraId="54D39415" w14:textId="77777777" w:rsidR="00386871" w:rsidRPr="006A09B8" w:rsidRDefault="00386871" w:rsidP="006A09B8">
      <w:pPr>
        <w:pStyle w:val="Body"/>
        <w:spacing w:after="120"/>
        <w:jc w:val="both"/>
        <w:rPr>
          <w:rFonts w:ascii="Times New Roman" w:hAnsi="Times New Roman"/>
          <w:bCs/>
          <w:noProof/>
          <w:sz w:val="24"/>
          <w:szCs w:val="24"/>
        </w:rPr>
      </w:pPr>
      <w:r w:rsidRPr="006A09B8">
        <w:rPr>
          <w:rFonts w:ascii="Times New Roman" w:hAnsi="Times New Roman"/>
          <w:bCs/>
          <w:noProof/>
          <w:sz w:val="24"/>
          <w:szCs w:val="24"/>
        </w:rPr>
        <w:t xml:space="preserve">In particular </w:t>
      </w:r>
      <w:r w:rsidRPr="006A09B8">
        <w:rPr>
          <w:rFonts w:ascii="Times New Roman" w:hAnsi="Times New Roman"/>
          <w:b/>
          <w:noProof/>
          <w:sz w:val="24"/>
          <w:szCs w:val="24"/>
        </w:rPr>
        <w:t>streamlining awareness and knowledge across law enforcement officials</w:t>
      </w:r>
      <w:r w:rsidRPr="006A09B8">
        <w:rPr>
          <w:rFonts w:ascii="Times New Roman" w:hAnsi="Times New Roman"/>
          <w:bCs/>
          <w:noProof/>
          <w:sz w:val="24"/>
          <w:szCs w:val="24"/>
        </w:rPr>
        <w:t xml:space="preserve"> may be a time-consuming, and thus budget-heavy exercise. It has repeatedly been pointed out by stakeholders at both the EU and national levels throughout this study that the knowledge and operational skills among officials in relation to cross-border law enforcement cooperation in the EU is insufficient to fulfil the tasks at hand in the most effective and efficient manner.</w:t>
      </w:r>
    </w:p>
    <w:p w14:paraId="53E4CE68" w14:textId="77777777" w:rsidR="00386871" w:rsidRPr="006A09B8" w:rsidRDefault="00386871" w:rsidP="006A09B8">
      <w:pPr>
        <w:pStyle w:val="Body"/>
        <w:spacing w:after="120"/>
        <w:jc w:val="both"/>
        <w:rPr>
          <w:rFonts w:ascii="Times New Roman" w:hAnsi="Times New Roman"/>
          <w:bCs/>
          <w:noProof/>
          <w:sz w:val="24"/>
          <w:szCs w:val="24"/>
        </w:rPr>
      </w:pPr>
      <w:r w:rsidRPr="006A09B8">
        <w:rPr>
          <w:rFonts w:ascii="Times New Roman" w:hAnsi="Times New Roman"/>
          <w:bCs/>
          <w:noProof/>
          <w:sz w:val="24"/>
          <w:szCs w:val="24"/>
        </w:rPr>
        <w:t>Although CEPOL has been providing training over the past couple of years to an increasingly large number of officials (close to 40,000 in 2020), including in the area of law enforcement cooperation and information exchange, the share of officials that has already been (or much rather continuously is) trained in this regard is considered to be comparatively low given the large amount of officials potentially involved in cross-border law enforcement operations. It is expected that only between 1% and 3% of all officials have been trained with regard to cross-border matters so far.</w:t>
      </w:r>
    </w:p>
    <w:p w14:paraId="0BCF5163" w14:textId="77777777" w:rsidR="00386871" w:rsidRPr="006A09B8" w:rsidRDefault="00386871" w:rsidP="006A09B8">
      <w:pPr>
        <w:pStyle w:val="Body"/>
        <w:spacing w:after="120"/>
        <w:jc w:val="both"/>
        <w:rPr>
          <w:rFonts w:ascii="Times New Roman" w:hAnsi="Times New Roman"/>
          <w:bCs/>
          <w:noProof/>
          <w:sz w:val="24"/>
          <w:szCs w:val="24"/>
        </w:rPr>
      </w:pPr>
      <w:r w:rsidRPr="006A09B8">
        <w:rPr>
          <w:rFonts w:ascii="Times New Roman" w:hAnsi="Times New Roman"/>
          <w:bCs/>
          <w:noProof/>
          <w:sz w:val="24"/>
          <w:szCs w:val="24"/>
        </w:rPr>
        <w:t>As part of an interview, CEPOL indicated that additional budget has been requested for the coming programming period in relation to the d</w:t>
      </w:r>
      <w:r w:rsidRPr="006A09B8">
        <w:rPr>
          <w:rFonts w:ascii="Times New Roman" w:hAnsi="Times New Roman"/>
          <w:noProof/>
          <w:sz w:val="24"/>
          <w:szCs w:val="24"/>
        </w:rPr>
        <w:t>elivery of relevant further volume of cybercrime related services, as well as further services on Artificial Intelligence (AI) and big data analysis.</w:t>
      </w:r>
    </w:p>
    <w:p w14:paraId="2B720222" w14:textId="77777777" w:rsidR="00386871" w:rsidRPr="006A09B8" w:rsidRDefault="00386871" w:rsidP="005F29B1">
      <w:pPr>
        <w:pStyle w:val="Body"/>
        <w:numPr>
          <w:ilvl w:val="0"/>
          <w:numId w:val="8"/>
        </w:numPr>
        <w:spacing w:before="120" w:after="120"/>
        <w:ind w:left="714" w:hanging="357"/>
        <w:jc w:val="both"/>
        <w:rPr>
          <w:rFonts w:ascii="Times New Roman" w:hAnsi="Times New Roman"/>
          <w:noProof/>
          <w:sz w:val="24"/>
          <w:szCs w:val="24"/>
        </w:rPr>
      </w:pPr>
      <w:r w:rsidRPr="006A09B8">
        <w:rPr>
          <w:rFonts w:ascii="Times New Roman" w:hAnsi="Times New Roman"/>
          <w:bCs/>
          <w:noProof/>
          <w:sz w:val="24"/>
          <w:szCs w:val="24"/>
        </w:rPr>
        <w:t>With regard to the former</w:t>
      </w:r>
      <w:r w:rsidRPr="006A09B8">
        <w:rPr>
          <w:rFonts w:ascii="Times New Roman" w:hAnsi="Times New Roman"/>
          <w:noProof/>
          <w:sz w:val="24"/>
          <w:szCs w:val="24"/>
        </w:rPr>
        <w:t xml:space="preserve">, CEPOL </w:t>
      </w:r>
      <w:r w:rsidRPr="006A09B8">
        <w:rPr>
          <w:rFonts w:ascii="Times New Roman" w:hAnsi="Times New Roman"/>
          <w:bCs/>
          <w:noProof/>
          <w:sz w:val="24"/>
          <w:szCs w:val="24"/>
        </w:rPr>
        <w:t xml:space="preserve">for 2022 </w:t>
      </w:r>
      <w:r w:rsidRPr="006A09B8">
        <w:rPr>
          <w:rFonts w:ascii="Times New Roman" w:hAnsi="Times New Roman"/>
          <w:noProof/>
          <w:sz w:val="24"/>
          <w:szCs w:val="24"/>
        </w:rPr>
        <w:t xml:space="preserve">expects an increase in the number of annual onsite of 270 </w:t>
      </w:r>
      <w:r w:rsidRPr="006A09B8">
        <w:rPr>
          <w:rFonts w:ascii="Times New Roman" w:hAnsi="Times New Roman"/>
          <w:bCs/>
          <w:noProof/>
          <w:sz w:val="24"/>
          <w:szCs w:val="24"/>
        </w:rPr>
        <w:t xml:space="preserve">plus 1,500 additional </w:t>
      </w:r>
      <w:r w:rsidRPr="006A09B8">
        <w:rPr>
          <w:rFonts w:ascii="Times New Roman" w:hAnsi="Times New Roman"/>
          <w:noProof/>
          <w:sz w:val="24"/>
          <w:szCs w:val="24"/>
        </w:rPr>
        <w:t xml:space="preserve">participants </w:t>
      </w:r>
      <w:r w:rsidRPr="006A09B8">
        <w:rPr>
          <w:rFonts w:ascii="Times New Roman" w:hAnsi="Times New Roman"/>
          <w:bCs/>
          <w:noProof/>
          <w:sz w:val="24"/>
          <w:szCs w:val="24"/>
        </w:rPr>
        <w:t xml:space="preserve">online compared to </w:t>
      </w:r>
      <w:r w:rsidRPr="006A09B8">
        <w:rPr>
          <w:rFonts w:ascii="Times New Roman" w:hAnsi="Times New Roman"/>
          <w:noProof/>
          <w:sz w:val="24"/>
          <w:szCs w:val="24"/>
        </w:rPr>
        <w:t>2021.</w:t>
      </w:r>
      <w:r w:rsidRPr="006A09B8">
        <w:rPr>
          <w:rFonts w:ascii="Times New Roman" w:hAnsi="Times New Roman"/>
          <w:bCs/>
          <w:noProof/>
          <w:sz w:val="24"/>
          <w:szCs w:val="24"/>
        </w:rPr>
        <w:t xml:space="preserve"> This</w:t>
      </w:r>
      <w:r w:rsidRPr="006A09B8">
        <w:rPr>
          <w:rFonts w:ascii="Times New Roman" w:hAnsi="Times New Roman"/>
          <w:noProof/>
          <w:sz w:val="24"/>
          <w:szCs w:val="24"/>
        </w:rPr>
        <w:t xml:space="preserve"> would require – on top of the planned 2021 resources - an additional budget of </w:t>
      </w:r>
      <w:r w:rsidRPr="006A09B8">
        <w:rPr>
          <w:rFonts w:ascii="Times New Roman" w:hAnsi="Times New Roman"/>
          <w:bCs/>
          <w:noProof/>
          <w:sz w:val="24"/>
          <w:szCs w:val="24"/>
        </w:rPr>
        <w:t>900,000 EUR and an additional</w:t>
      </w:r>
      <w:r w:rsidRPr="006A09B8">
        <w:rPr>
          <w:rFonts w:ascii="Times New Roman" w:hAnsi="Times New Roman"/>
          <w:noProof/>
          <w:sz w:val="24"/>
          <w:szCs w:val="24"/>
        </w:rPr>
        <w:t xml:space="preserve"> 5 </w:t>
      </w:r>
      <w:r w:rsidRPr="006A09B8">
        <w:rPr>
          <w:rFonts w:ascii="Times New Roman" w:hAnsi="Times New Roman"/>
          <w:bCs/>
          <w:noProof/>
          <w:sz w:val="24"/>
          <w:szCs w:val="24"/>
        </w:rPr>
        <w:t>Fulltime Equivalents (</w:t>
      </w:r>
      <w:r w:rsidRPr="006A09B8">
        <w:rPr>
          <w:rFonts w:ascii="Times New Roman" w:hAnsi="Times New Roman"/>
          <w:noProof/>
          <w:sz w:val="24"/>
          <w:szCs w:val="24"/>
        </w:rPr>
        <w:t>FTEs</w:t>
      </w:r>
      <w:r w:rsidRPr="006A09B8">
        <w:rPr>
          <w:rFonts w:ascii="Times New Roman" w:hAnsi="Times New Roman"/>
          <w:bCs/>
          <w:noProof/>
          <w:sz w:val="24"/>
          <w:szCs w:val="24"/>
        </w:rPr>
        <w:t xml:space="preserve">) – more specifically </w:t>
      </w:r>
      <w:r w:rsidRPr="006A09B8">
        <w:rPr>
          <w:rFonts w:ascii="Times New Roman" w:hAnsi="Times New Roman"/>
          <w:noProof/>
          <w:sz w:val="24"/>
          <w:szCs w:val="24"/>
        </w:rPr>
        <w:t xml:space="preserve">2 FTEs training </w:t>
      </w:r>
      <w:r w:rsidRPr="006A09B8">
        <w:rPr>
          <w:rFonts w:ascii="Times New Roman" w:hAnsi="Times New Roman"/>
          <w:bCs/>
          <w:noProof/>
          <w:sz w:val="24"/>
          <w:szCs w:val="24"/>
        </w:rPr>
        <w:t>officials,</w:t>
      </w:r>
      <w:r w:rsidRPr="006A09B8">
        <w:rPr>
          <w:rFonts w:ascii="Times New Roman" w:hAnsi="Times New Roman"/>
          <w:noProof/>
          <w:sz w:val="24"/>
          <w:szCs w:val="24"/>
        </w:rPr>
        <w:t xml:space="preserve"> 1 Analyst</w:t>
      </w:r>
      <w:r w:rsidRPr="006A09B8">
        <w:rPr>
          <w:rFonts w:ascii="Times New Roman" w:hAnsi="Times New Roman"/>
          <w:bCs/>
          <w:noProof/>
          <w:sz w:val="24"/>
          <w:szCs w:val="24"/>
        </w:rPr>
        <w:t>, 1 eLearning</w:t>
      </w:r>
      <w:r w:rsidRPr="006A09B8">
        <w:rPr>
          <w:rFonts w:ascii="Times New Roman" w:hAnsi="Times New Roman"/>
          <w:noProof/>
          <w:sz w:val="24"/>
          <w:szCs w:val="24"/>
        </w:rPr>
        <w:t xml:space="preserve"> </w:t>
      </w:r>
      <w:r w:rsidRPr="006A09B8">
        <w:rPr>
          <w:rFonts w:ascii="Times New Roman" w:hAnsi="Times New Roman"/>
          <w:bCs/>
          <w:noProof/>
          <w:sz w:val="24"/>
          <w:szCs w:val="24"/>
        </w:rPr>
        <w:t>official, and 1 ICT official).</w:t>
      </w:r>
    </w:p>
    <w:p w14:paraId="4FC88A8C" w14:textId="77777777" w:rsidR="00386871" w:rsidRPr="005D5CFD" w:rsidRDefault="00386871" w:rsidP="005F29B1">
      <w:pPr>
        <w:pStyle w:val="Body"/>
        <w:numPr>
          <w:ilvl w:val="0"/>
          <w:numId w:val="8"/>
        </w:numPr>
        <w:spacing w:before="120" w:after="120"/>
        <w:ind w:left="714" w:hanging="357"/>
        <w:jc w:val="both"/>
        <w:rPr>
          <w:rFonts w:ascii="Times New Roman" w:hAnsi="Times New Roman"/>
          <w:noProof/>
          <w:sz w:val="24"/>
          <w:szCs w:val="24"/>
        </w:rPr>
      </w:pPr>
      <w:r w:rsidRPr="005D5CFD">
        <w:rPr>
          <w:rFonts w:ascii="Times New Roman" w:hAnsi="Times New Roman"/>
          <w:bCs/>
          <w:noProof/>
          <w:sz w:val="24"/>
          <w:szCs w:val="24"/>
        </w:rPr>
        <w:t>As concerns the latter, CEPOL estimated that this would require, as of 2023</w:t>
      </w:r>
      <w:r w:rsidRPr="005D5CFD">
        <w:rPr>
          <w:rFonts w:ascii="Times New Roman" w:hAnsi="Times New Roman"/>
          <w:noProof/>
          <w:sz w:val="24"/>
          <w:szCs w:val="24"/>
        </w:rPr>
        <w:t xml:space="preserve">, additional budget around 750,000 EUR plus 4 FTEs – </w:t>
      </w:r>
      <w:r w:rsidRPr="005D5CFD">
        <w:rPr>
          <w:rFonts w:ascii="Times New Roman" w:hAnsi="Times New Roman"/>
          <w:bCs/>
          <w:noProof/>
          <w:sz w:val="24"/>
          <w:szCs w:val="24"/>
        </w:rPr>
        <w:t xml:space="preserve">more specifically 2 FTEs training </w:t>
      </w:r>
      <w:r w:rsidRPr="005D5CFD">
        <w:rPr>
          <w:rFonts w:ascii="Times New Roman" w:hAnsi="Times New Roman"/>
          <w:noProof/>
          <w:sz w:val="24"/>
          <w:szCs w:val="24"/>
        </w:rPr>
        <w:t>officials</w:t>
      </w:r>
      <w:r w:rsidRPr="005D5CFD">
        <w:rPr>
          <w:rFonts w:ascii="Times New Roman" w:hAnsi="Times New Roman"/>
          <w:bCs/>
          <w:noProof/>
          <w:sz w:val="24"/>
          <w:szCs w:val="24"/>
        </w:rPr>
        <w:t xml:space="preserve">, 1 Analyst, 1 eLearning </w:t>
      </w:r>
      <w:r w:rsidRPr="005D5CFD">
        <w:rPr>
          <w:rFonts w:ascii="Times New Roman" w:hAnsi="Times New Roman"/>
          <w:noProof/>
          <w:sz w:val="24"/>
          <w:szCs w:val="24"/>
        </w:rPr>
        <w:t>official</w:t>
      </w:r>
      <w:r w:rsidRPr="005D5CFD">
        <w:rPr>
          <w:rFonts w:ascii="Times New Roman" w:hAnsi="Times New Roman"/>
          <w:bCs/>
          <w:noProof/>
          <w:sz w:val="24"/>
          <w:szCs w:val="24"/>
        </w:rPr>
        <w:t>, and 1 ICT official).</w:t>
      </w:r>
    </w:p>
    <w:p w14:paraId="5B77FF8A" w14:textId="77777777" w:rsidR="00386871" w:rsidRPr="005D5CFD" w:rsidRDefault="00386871" w:rsidP="005D5CFD">
      <w:pPr>
        <w:pStyle w:val="Body"/>
        <w:spacing w:after="120"/>
        <w:jc w:val="both"/>
        <w:rPr>
          <w:rFonts w:ascii="Times New Roman" w:hAnsi="Times New Roman"/>
          <w:iCs/>
          <w:noProof/>
          <w:sz w:val="24"/>
          <w:szCs w:val="24"/>
        </w:rPr>
      </w:pPr>
      <w:r w:rsidRPr="005D5CFD">
        <w:rPr>
          <w:rFonts w:ascii="Times New Roman" w:hAnsi="Times New Roman"/>
          <w:bCs/>
          <w:noProof/>
          <w:sz w:val="24"/>
          <w:szCs w:val="24"/>
        </w:rPr>
        <w:t>In addition to the efforts of CEPOL, Member States themselves are already taking initiative with regard to training – both in relation to information exchange and operational cooperation. For instance, it was reported during the 2</w:t>
      </w:r>
      <w:r w:rsidRPr="005D5CFD">
        <w:rPr>
          <w:rFonts w:ascii="Times New Roman" w:hAnsi="Times New Roman"/>
          <w:bCs/>
          <w:noProof/>
          <w:sz w:val="24"/>
          <w:szCs w:val="24"/>
          <w:vertAlign w:val="superscript"/>
        </w:rPr>
        <w:t>nd</w:t>
      </w:r>
      <w:r w:rsidRPr="005D5CFD">
        <w:rPr>
          <w:rFonts w:ascii="Times New Roman" w:hAnsi="Times New Roman"/>
          <w:bCs/>
          <w:noProof/>
          <w:sz w:val="24"/>
          <w:szCs w:val="24"/>
        </w:rPr>
        <w:t xml:space="preserve"> technical workshop in May 2021 that Belgium and France have an agreement in place about the mutual training of 7,000 officials to improve law enforcement cooperation with particular regard to road and train transport, as well as large events. In addition to the costs related to this training, it was explained that budget is used to provide content via a platform, as well as </w:t>
      </w:r>
      <w:r w:rsidRPr="005D5CFD">
        <w:rPr>
          <w:rFonts w:ascii="Times New Roman" w:hAnsi="Times New Roman"/>
          <w:iCs/>
          <w:noProof/>
          <w:sz w:val="24"/>
          <w:szCs w:val="24"/>
        </w:rPr>
        <w:t xml:space="preserve">software for phones and tablets. The French representative mentioned that their budget for a training app is around </w:t>
      </w:r>
      <w:r w:rsidR="005D5CFD">
        <w:rPr>
          <w:rFonts w:ascii="Times New Roman" w:hAnsi="Times New Roman"/>
          <w:iCs/>
          <w:noProof/>
          <w:sz w:val="24"/>
          <w:szCs w:val="24"/>
        </w:rPr>
        <w:t xml:space="preserve">EUR </w:t>
      </w:r>
      <w:r w:rsidRPr="005D5CFD">
        <w:rPr>
          <w:rFonts w:ascii="Times New Roman" w:hAnsi="Times New Roman"/>
          <w:iCs/>
          <w:noProof/>
          <w:sz w:val="24"/>
          <w:szCs w:val="24"/>
        </w:rPr>
        <w:t>100,000.</w:t>
      </w:r>
    </w:p>
    <w:p w14:paraId="25933371" w14:textId="77777777" w:rsidR="00386871" w:rsidRPr="005D5CFD" w:rsidRDefault="00386871" w:rsidP="005D5CFD">
      <w:pPr>
        <w:pStyle w:val="Body"/>
        <w:spacing w:after="120"/>
        <w:jc w:val="both"/>
        <w:rPr>
          <w:rFonts w:ascii="Times New Roman" w:hAnsi="Times New Roman"/>
          <w:iCs/>
          <w:noProof/>
          <w:sz w:val="24"/>
          <w:szCs w:val="24"/>
        </w:rPr>
      </w:pPr>
      <w:r w:rsidRPr="005D5CFD">
        <w:rPr>
          <w:rFonts w:ascii="Times New Roman" w:hAnsi="Times New Roman"/>
          <w:iCs/>
          <w:noProof/>
          <w:sz w:val="24"/>
          <w:szCs w:val="24"/>
        </w:rPr>
        <w:t>While these examples only serve illustrative purposes and cannot be aggregated to the EU level since the impacts on the Member States are likely to vary vastly due to existing structures and systems, this gives an idea of the level of investments needed.</w:t>
      </w:r>
    </w:p>
    <w:p w14:paraId="1B293585" w14:textId="77777777" w:rsidR="00386871" w:rsidRPr="005D5CFD" w:rsidRDefault="00386871" w:rsidP="005D5CFD">
      <w:pPr>
        <w:pStyle w:val="Body"/>
        <w:spacing w:after="120"/>
        <w:jc w:val="both"/>
        <w:rPr>
          <w:rFonts w:ascii="Times New Roman" w:hAnsi="Times New Roman"/>
          <w:iCs/>
          <w:noProof/>
          <w:sz w:val="24"/>
          <w:szCs w:val="24"/>
        </w:rPr>
      </w:pPr>
      <w:r w:rsidRPr="005D5CFD">
        <w:rPr>
          <w:rFonts w:ascii="Times New Roman" w:hAnsi="Times New Roman"/>
          <w:iCs/>
          <w:noProof/>
          <w:sz w:val="24"/>
          <w:szCs w:val="24"/>
        </w:rPr>
        <w:t>There are various additional non-legislative measures at EU level foreseen under this policy option that necessitate costs. In relation to these, the table below provides potential high-level estimates. These estimates need to be treated very carefully. They are based on expert judgment and the experience of the study team. Nevertheless, the estimates represent the best data available.</w:t>
      </w:r>
    </w:p>
    <w:p w14:paraId="16F6DD07" w14:textId="77777777" w:rsidR="00386871" w:rsidRPr="005B3636" w:rsidRDefault="00386871" w:rsidP="00EC16ED">
      <w:pPr>
        <w:pStyle w:val="Caption"/>
        <w:keepNext/>
        <w:jc w:val="center"/>
        <w:rPr>
          <w:rFonts w:ascii="Times New Roman" w:hAnsi="Times New Roman"/>
          <w:noProof/>
          <w:sz w:val="24"/>
          <w:szCs w:val="24"/>
          <w:lang w:val="en-GB"/>
        </w:rPr>
      </w:pPr>
      <w:bookmarkStart w:id="155" w:name="_Toc74237817"/>
      <w:bookmarkStart w:id="156" w:name="_Toc75781581"/>
      <w:r w:rsidRPr="005B3636">
        <w:rPr>
          <w:rFonts w:ascii="Times New Roman" w:hAnsi="Times New Roman"/>
          <w:noProof/>
          <w:sz w:val="24"/>
          <w:szCs w:val="24"/>
          <w:lang w:val="en-GB"/>
        </w:rPr>
        <w:t>Estimates for addition costs at EU-level related to information exchange</w:t>
      </w:r>
      <w:bookmarkEnd w:id="155"/>
      <w:bookmarkEnd w:id="156"/>
    </w:p>
    <w:tbl>
      <w:tblPr>
        <w:tblStyle w:val="Style1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386871" w:rsidRPr="00AC24E2" w14:paraId="1D8B21F4" w14:textId="77777777" w:rsidTr="00386871">
        <w:trPr>
          <w:tblHeader/>
        </w:trPr>
        <w:tc>
          <w:tcPr>
            <w:tcW w:w="7513" w:type="dxa"/>
            <w:shd w:val="clear" w:color="auto" w:fill="000000" w:themeFill="text1"/>
            <w:vAlign w:val="center"/>
          </w:tcPr>
          <w:p w14:paraId="178A0161" w14:textId="77777777" w:rsidR="00386871" w:rsidRPr="00AC24E2" w:rsidRDefault="00386871" w:rsidP="00386871">
            <w:pPr>
              <w:pStyle w:val="Body"/>
              <w:spacing w:before="60" w:after="60"/>
              <w:rPr>
                <w:b/>
                <w:noProof/>
                <w:color w:val="FFFFFF" w:themeColor="background1"/>
                <w:sz w:val="18"/>
                <w:szCs w:val="18"/>
              </w:rPr>
            </w:pPr>
            <w:r w:rsidRPr="00AC24E2">
              <w:rPr>
                <w:b/>
                <w:noProof/>
                <w:color w:val="FFFFFF" w:themeColor="background1"/>
                <w:sz w:val="18"/>
                <w:szCs w:val="18"/>
              </w:rPr>
              <w:t>Measure</w:t>
            </w:r>
          </w:p>
        </w:tc>
        <w:tc>
          <w:tcPr>
            <w:tcW w:w="2126" w:type="dxa"/>
            <w:shd w:val="clear" w:color="auto" w:fill="000000" w:themeFill="text1"/>
          </w:tcPr>
          <w:p w14:paraId="2463A3AE" w14:textId="77777777" w:rsidR="00386871" w:rsidRPr="00AC24E2" w:rsidRDefault="00386871" w:rsidP="00386871">
            <w:pPr>
              <w:pStyle w:val="Body"/>
              <w:spacing w:before="60" w:after="60"/>
              <w:rPr>
                <w:b/>
                <w:noProof/>
                <w:color w:val="FFFFFF" w:themeColor="background1"/>
                <w:sz w:val="18"/>
                <w:szCs w:val="18"/>
              </w:rPr>
            </w:pPr>
            <w:r w:rsidRPr="00AC24E2">
              <w:rPr>
                <w:b/>
                <w:noProof/>
                <w:color w:val="FFFFFF" w:themeColor="background1"/>
                <w:sz w:val="18"/>
                <w:szCs w:val="18"/>
              </w:rPr>
              <w:t>Cost estimate in Euro</w:t>
            </w:r>
          </w:p>
        </w:tc>
      </w:tr>
      <w:tr w:rsidR="00386871" w:rsidRPr="00AC24E2" w14:paraId="146D5241" w14:textId="77777777" w:rsidTr="00386871">
        <w:trPr>
          <w:cantSplit/>
          <w:trHeight w:val="114"/>
        </w:trPr>
        <w:tc>
          <w:tcPr>
            <w:tcW w:w="7513" w:type="dxa"/>
            <w:shd w:val="clear" w:color="auto" w:fill="F2F2F2"/>
          </w:tcPr>
          <w:p w14:paraId="7DA25C03" w14:textId="77777777" w:rsidR="00386871" w:rsidRPr="00AC24E2" w:rsidRDefault="00386871" w:rsidP="00386871">
            <w:pPr>
              <w:pStyle w:val="Body"/>
              <w:spacing w:before="60" w:after="60"/>
              <w:rPr>
                <w:bCs/>
                <w:i/>
                <w:iCs/>
                <w:noProof/>
                <w:sz w:val="18"/>
                <w:szCs w:val="18"/>
              </w:rPr>
            </w:pPr>
            <w:r w:rsidRPr="00AC24E2">
              <w:rPr>
                <w:bCs/>
                <w:noProof/>
                <w:sz w:val="18"/>
                <w:szCs w:val="18"/>
              </w:rPr>
              <w:t xml:space="preserve">Provision of a matrix concerning which information channel should be used in what cases and provision of information concerning what data are available in the Member States (beyond the minimum required set). </w:t>
            </w:r>
          </w:p>
        </w:tc>
        <w:tc>
          <w:tcPr>
            <w:tcW w:w="2126" w:type="dxa"/>
            <w:shd w:val="clear" w:color="auto" w:fill="F2F2F2"/>
          </w:tcPr>
          <w:p w14:paraId="58B0DF24" w14:textId="77777777" w:rsidR="00386871" w:rsidRPr="00AC24E2" w:rsidRDefault="00386871" w:rsidP="00386871">
            <w:pPr>
              <w:pStyle w:val="Body"/>
              <w:spacing w:before="60" w:after="60"/>
              <w:rPr>
                <w:noProof/>
                <w:sz w:val="18"/>
                <w:szCs w:val="18"/>
              </w:rPr>
            </w:pPr>
            <w:r w:rsidRPr="00AC24E2">
              <w:rPr>
                <w:noProof/>
                <w:sz w:val="18"/>
                <w:szCs w:val="18"/>
              </w:rPr>
              <w:t>50,000 – 75,000</w:t>
            </w:r>
          </w:p>
        </w:tc>
      </w:tr>
      <w:tr w:rsidR="00386871" w:rsidRPr="00AC24E2" w14:paraId="3F7C6965" w14:textId="77777777" w:rsidTr="00386871">
        <w:trPr>
          <w:cantSplit/>
          <w:trHeight w:val="114"/>
        </w:trPr>
        <w:tc>
          <w:tcPr>
            <w:tcW w:w="7513" w:type="dxa"/>
            <w:shd w:val="clear" w:color="auto" w:fill="F2F2F2"/>
          </w:tcPr>
          <w:p w14:paraId="40F949DA" w14:textId="77777777" w:rsidR="00386871" w:rsidRPr="00AC24E2" w:rsidRDefault="00386871" w:rsidP="00386871">
            <w:pPr>
              <w:pStyle w:val="Body"/>
              <w:spacing w:before="60" w:after="60"/>
              <w:rPr>
                <w:bCs/>
                <w:i/>
                <w:iCs/>
                <w:noProof/>
                <w:sz w:val="18"/>
                <w:szCs w:val="18"/>
              </w:rPr>
            </w:pPr>
            <w:r w:rsidRPr="00AC24E2">
              <w:rPr>
                <w:bCs/>
                <w:noProof/>
                <w:sz w:val="18"/>
                <w:szCs w:val="18"/>
              </w:rPr>
              <w:t>Internal Security Fund (ISF) support would be foreseen for the SIENA roll-out.</w:t>
            </w:r>
          </w:p>
        </w:tc>
        <w:tc>
          <w:tcPr>
            <w:tcW w:w="2126" w:type="dxa"/>
            <w:shd w:val="clear" w:color="auto" w:fill="F2F2F2"/>
          </w:tcPr>
          <w:p w14:paraId="3692F98D" w14:textId="77777777" w:rsidR="00386871" w:rsidRPr="00AC24E2" w:rsidRDefault="00386871" w:rsidP="00386871">
            <w:pPr>
              <w:pStyle w:val="Body"/>
              <w:spacing w:before="60" w:after="60"/>
              <w:rPr>
                <w:noProof/>
                <w:sz w:val="18"/>
                <w:szCs w:val="18"/>
              </w:rPr>
            </w:pPr>
            <w:r w:rsidRPr="00AC24E2">
              <w:rPr>
                <w:noProof/>
                <w:sz w:val="18"/>
                <w:szCs w:val="18"/>
              </w:rPr>
              <w:t>5.0 - 7.5 million</w:t>
            </w:r>
          </w:p>
        </w:tc>
      </w:tr>
      <w:tr w:rsidR="00386871" w:rsidRPr="00AC24E2" w14:paraId="42D009DE" w14:textId="77777777" w:rsidTr="00386871">
        <w:trPr>
          <w:cantSplit/>
          <w:trHeight w:val="114"/>
        </w:trPr>
        <w:tc>
          <w:tcPr>
            <w:tcW w:w="7513" w:type="dxa"/>
            <w:shd w:val="clear" w:color="auto" w:fill="F2F2F2"/>
          </w:tcPr>
          <w:p w14:paraId="22E412FF" w14:textId="77777777" w:rsidR="00386871" w:rsidRPr="00AC24E2" w:rsidRDefault="00386871" w:rsidP="00386871">
            <w:pPr>
              <w:pStyle w:val="Body"/>
              <w:spacing w:before="60" w:after="60"/>
              <w:rPr>
                <w:bCs/>
                <w:i/>
                <w:iCs/>
                <w:noProof/>
                <w:sz w:val="18"/>
                <w:szCs w:val="18"/>
              </w:rPr>
            </w:pPr>
            <w:r w:rsidRPr="00AC24E2">
              <w:rPr>
                <w:bCs/>
                <w:noProof/>
                <w:sz w:val="18"/>
                <w:szCs w:val="18"/>
              </w:rPr>
              <w:t xml:space="preserve">Feasibility study on how to improve the secure digital and radio communication between the Member States. </w:t>
            </w:r>
          </w:p>
        </w:tc>
        <w:tc>
          <w:tcPr>
            <w:tcW w:w="2126" w:type="dxa"/>
            <w:shd w:val="clear" w:color="auto" w:fill="F2F2F2"/>
          </w:tcPr>
          <w:p w14:paraId="22B9892B" w14:textId="77777777" w:rsidR="00386871" w:rsidRPr="00AC24E2" w:rsidRDefault="00386871" w:rsidP="00386871">
            <w:pPr>
              <w:pStyle w:val="Body"/>
              <w:spacing w:before="60" w:after="60"/>
              <w:rPr>
                <w:noProof/>
                <w:sz w:val="18"/>
                <w:szCs w:val="18"/>
              </w:rPr>
            </w:pPr>
            <w:r w:rsidRPr="00AC24E2">
              <w:rPr>
                <w:noProof/>
                <w:sz w:val="18"/>
                <w:szCs w:val="18"/>
              </w:rPr>
              <w:t>300,000 – 500,000</w:t>
            </w:r>
          </w:p>
        </w:tc>
      </w:tr>
      <w:tr w:rsidR="00386871" w:rsidRPr="00AC24E2" w14:paraId="28202C10" w14:textId="77777777" w:rsidTr="00386871">
        <w:trPr>
          <w:cantSplit/>
          <w:trHeight w:val="114"/>
        </w:trPr>
        <w:tc>
          <w:tcPr>
            <w:tcW w:w="7513" w:type="dxa"/>
            <w:shd w:val="clear" w:color="auto" w:fill="F2F2F2"/>
          </w:tcPr>
          <w:p w14:paraId="42175BEB" w14:textId="77777777" w:rsidR="00386871" w:rsidRPr="00AC24E2" w:rsidRDefault="00386871" w:rsidP="00386871">
            <w:pPr>
              <w:pStyle w:val="Body"/>
              <w:spacing w:before="60" w:after="60"/>
              <w:rPr>
                <w:bCs/>
                <w:i/>
                <w:iCs/>
                <w:noProof/>
                <w:sz w:val="18"/>
                <w:szCs w:val="18"/>
              </w:rPr>
            </w:pPr>
            <w:r w:rsidRPr="00AC24E2">
              <w:rPr>
                <w:bCs/>
                <w:noProof/>
                <w:sz w:val="18"/>
                <w:szCs w:val="18"/>
              </w:rPr>
              <w:t>Financial support to the work of the EU innovation hub and of the RECG (Radio-communication Expert Group – Sub-group of the LEWP).</w:t>
            </w:r>
          </w:p>
        </w:tc>
        <w:tc>
          <w:tcPr>
            <w:tcW w:w="2126" w:type="dxa"/>
            <w:shd w:val="clear" w:color="auto" w:fill="F2F2F2"/>
          </w:tcPr>
          <w:p w14:paraId="152E3126" w14:textId="77777777" w:rsidR="00386871" w:rsidRPr="00AC24E2" w:rsidRDefault="00386871" w:rsidP="00386871">
            <w:pPr>
              <w:pStyle w:val="Body"/>
              <w:spacing w:before="60" w:after="60"/>
              <w:rPr>
                <w:noProof/>
                <w:sz w:val="18"/>
                <w:szCs w:val="18"/>
              </w:rPr>
            </w:pPr>
            <w:r w:rsidRPr="00AC24E2">
              <w:rPr>
                <w:noProof/>
                <w:sz w:val="18"/>
                <w:szCs w:val="18"/>
              </w:rPr>
              <w:t>750,000 –</w:t>
            </w:r>
            <w:r w:rsidRPr="00AC24E2">
              <w:rPr>
                <w:noProof/>
                <w:sz w:val="18"/>
                <w:szCs w:val="18"/>
              </w:rPr>
              <w:br/>
              <w:t>1.0 million</w:t>
            </w:r>
          </w:p>
        </w:tc>
      </w:tr>
      <w:tr w:rsidR="00386871" w:rsidRPr="00AC24E2" w14:paraId="05B07655" w14:textId="77777777" w:rsidTr="00386871">
        <w:trPr>
          <w:cantSplit/>
          <w:trHeight w:val="114"/>
        </w:trPr>
        <w:tc>
          <w:tcPr>
            <w:tcW w:w="7513" w:type="dxa"/>
            <w:shd w:val="clear" w:color="auto" w:fill="F2F2F2"/>
          </w:tcPr>
          <w:p w14:paraId="7547308F" w14:textId="77777777" w:rsidR="00386871" w:rsidRPr="00AC24E2" w:rsidRDefault="00386871" w:rsidP="00386871">
            <w:pPr>
              <w:pStyle w:val="Body"/>
              <w:spacing w:before="60" w:after="60"/>
              <w:rPr>
                <w:bCs/>
                <w:i/>
                <w:iCs/>
                <w:noProof/>
                <w:sz w:val="18"/>
                <w:szCs w:val="18"/>
              </w:rPr>
            </w:pPr>
            <w:r w:rsidRPr="00AC24E2">
              <w:rPr>
                <w:bCs/>
                <w:noProof/>
                <w:sz w:val="18"/>
                <w:szCs w:val="18"/>
              </w:rPr>
              <w:t>Establishment of an awareness raising and training campaign within the EU law enforcement community.</w:t>
            </w:r>
          </w:p>
        </w:tc>
        <w:tc>
          <w:tcPr>
            <w:tcW w:w="2126" w:type="dxa"/>
            <w:shd w:val="clear" w:color="auto" w:fill="F2F2F2"/>
          </w:tcPr>
          <w:p w14:paraId="471EDA7B" w14:textId="77777777" w:rsidR="00386871" w:rsidRPr="00AC24E2" w:rsidRDefault="00386871" w:rsidP="00386871">
            <w:pPr>
              <w:pStyle w:val="Body"/>
              <w:spacing w:before="60" w:after="60"/>
              <w:rPr>
                <w:noProof/>
                <w:sz w:val="18"/>
                <w:szCs w:val="18"/>
              </w:rPr>
            </w:pPr>
            <w:r w:rsidRPr="00AC24E2">
              <w:rPr>
                <w:noProof/>
                <w:sz w:val="18"/>
                <w:szCs w:val="18"/>
              </w:rPr>
              <w:t>1.5 – 2.0 million</w:t>
            </w:r>
          </w:p>
        </w:tc>
      </w:tr>
      <w:tr w:rsidR="00386871" w:rsidRPr="00AC24E2" w14:paraId="5E18C4DC" w14:textId="77777777" w:rsidTr="00386871">
        <w:trPr>
          <w:cantSplit/>
          <w:trHeight w:val="114"/>
        </w:trPr>
        <w:tc>
          <w:tcPr>
            <w:tcW w:w="7513" w:type="dxa"/>
            <w:shd w:val="clear" w:color="auto" w:fill="F2F2F2"/>
          </w:tcPr>
          <w:p w14:paraId="5DB83F98" w14:textId="77777777" w:rsidR="00386871" w:rsidRPr="00AC24E2" w:rsidRDefault="00386871" w:rsidP="00386871">
            <w:pPr>
              <w:pStyle w:val="Body"/>
              <w:spacing w:before="60" w:after="60"/>
              <w:rPr>
                <w:bCs/>
                <w:i/>
                <w:iCs/>
                <w:noProof/>
                <w:sz w:val="18"/>
                <w:szCs w:val="18"/>
              </w:rPr>
            </w:pPr>
            <w:r w:rsidRPr="00AC24E2">
              <w:rPr>
                <w:bCs/>
                <w:noProof/>
                <w:sz w:val="18"/>
                <w:szCs w:val="18"/>
              </w:rPr>
              <w:t>CEPOL to provide training material to law enforcement agencies, e.g. on how to use EU databases efficiently.</w:t>
            </w:r>
          </w:p>
        </w:tc>
        <w:tc>
          <w:tcPr>
            <w:tcW w:w="2126" w:type="dxa"/>
            <w:shd w:val="clear" w:color="auto" w:fill="F2F2F2"/>
          </w:tcPr>
          <w:p w14:paraId="006C8436" w14:textId="77777777" w:rsidR="00386871" w:rsidRPr="00AC24E2" w:rsidRDefault="00386871" w:rsidP="00386871">
            <w:pPr>
              <w:pStyle w:val="Body"/>
              <w:spacing w:before="60" w:after="60"/>
              <w:rPr>
                <w:noProof/>
                <w:sz w:val="18"/>
                <w:szCs w:val="18"/>
              </w:rPr>
            </w:pPr>
            <w:r w:rsidRPr="00AC24E2">
              <w:rPr>
                <w:noProof/>
                <w:sz w:val="18"/>
                <w:szCs w:val="18"/>
              </w:rPr>
              <w:t xml:space="preserve">750,000 – </w:t>
            </w:r>
            <w:r w:rsidRPr="00AC24E2">
              <w:rPr>
                <w:noProof/>
                <w:sz w:val="18"/>
                <w:szCs w:val="18"/>
              </w:rPr>
              <w:br/>
              <w:t>1 million</w:t>
            </w:r>
          </w:p>
        </w:tc>
      </w:tr>
      <w:tr w:rsidR="00386871" w:rsidRPr="00AC24E2" w14:paraId="2267A2F9" w14:textId="77777777" w:rsidTr="00386871">
        <w:trPr>
          <w:cantSplit/>
          <w:trHeight w:val="114"/>
        </w:trPr>
        <w:tc>
          <w:tcPr>
            <w:tcW w:w="7513" w:type="dxa"/>
            <w:shd w:val="clear" w:color="auto" w:fill="F2F2F2"/>
          </w:tcPr>
          <w:p w14:paraId="7745236E" w14:textId="77777777" w:rsidR="00386871" w:rsidRPr="00AC24E2" w:rsidRDefault="00386871" w:rsidP="00386871">
            <w:pPr>
              <w:pStyle w:val="Body"/>
              <w:spacing w:before="60" w:after="60"/>
              <w:rPr>
                <w:bCs/>
                <w:i/>
                <w:iCs/>
                <w:noProof/>
                <w:sz w:val="18"/>
                <w:szCs w:val="18"/>
              </w:rPr>
            </w:pPr>
            <w:r w:rsidRPr="00AC24E2">
              <w:rPr>
                <w:bCs/>
                <w:noProof/>
                <w:sz w:val="18"/>
                <w:szCs w:val="18"/>
              </w:rPr>
              <w:t>CEPOL to provide voluntary induction training on cross-border law enforcement.</w:t>
            </w:r>
          </w:p>
        </w:tc>
        <w:tc>
          <w:tcPr>
            <w:tcW w:w="2126" w:type="dxa"/>
            <w:shd w:val="clear" w:color="auto" w:fill="F2F2F2"/>
          </w:tcPr>
          <w:p w14:paraId="326D33C4" w14:textId="77777777" w:rsidR="00386871" w:rsidRPr="00AC24E2" w:rsidRDefault="00386871" w:rsidP="00386871">
            <w:pPr>
              <w:pStyle w:val="Body"/>
              <w:spacing w:before="60" w:after="60"/>
              <w:rPr>
                <w:noProof/>
                <w:sz w:val="18"/>
                <w:szCs w:val="18"/>
              </w:rPr>
            </w:pPr>
            <w:r w:rsidRPr="00AC24E2">
              <w:rPr>
                <w:noProof/>
                <w:sz w:val="18"/>
                <w:szCs w:val="18"/>
              </w:rPr>
              <w:t>200,000 – 400,000</w:t>
            </w:r>
            <w:r w:rsidRPr="00AC24E2">
              <w:rPr>
                <w:noProof/>
                <w:sz w:val="18"/>
                <w:szCs w:val="18"/>
              </w:rPr>
              <w:br/>
              <w:t>annually</w:t>
            </w:r>
          </w:p>
        </w:tc>
      </w:tr>
      <w:tr w:rsidR="00386871" w:rsidRPr="00AC24E2" w14:paraId="5DA40537" w14:textId="77777777" w:rsidTr="00386871">
        <w:trPr>
          <w:cantSplit/>
          <w:trHeight w:val="114"/>
        </w:trPr>
        <w:tc>
          <w:tcPr>
            <w:tcW w:w="7513" w:type="dxa"/>
            <w:shd w:val="clear" w:color="auto" w:fill="F2F2F2"/>
          </w:tcPr>
          <w:p w14:paraId="7CE3E9D8" w14:textId="77777777" w:rsidR="00386871" w:rsidRPr="00AC24E2" w:rsidRDefault="00386871" w:rsidP="00386871">
            <w:pPr>
              <w:pStyle w:val="Body"/>
              <w:spacing w:before="60" w:after="60"/>
              <w:rPr>
                <w:bCs/>
                <w:i/>
                <w:iCs/>
                <w:noProof/>
                <w:sz w:val="18"/>
                <w:szCs w:val="18"/>
              </w:rPr>
            </w:pPr>
            <w:r w:rsidRPr="00AC24E2">
              <w:rPr>
                <w:bCs/>
                <w:noProof/>
                <w:sz w:val="18"/>
                <w:szCs w:val="18"/>
              </w:rPr>
              <w:t xml:space="preserve">Expansion of the existing CEPOL practice to provide online courses on an ad-hoc basis on new EU level developments. </w:t>
            </w:r>
          </w:p>
        </w:tc>
        <w:tc>
          <w:tcPr>
            <w:tcW w:w="2126" w:type="dxa"/>
            <w:shd w:val="clear" w:color="auto" w:fill="F2F2F2"/>
          </w:tcPr>
          <w:p w14:paraId="4E8EF6EF" w14:textId="77777777" w:rsidR="00386871" w:rsidRPr="00AC24E2" w:rsidRDefault="00386871" w:rsidP="00386871">
            <w:pPr>
              <w:pStyle w:val="Body"/>
              <w:spacing w:before="60" w:after="60"/>
              <w:rPr>
                <w:noProof/>
                <w:sz w:val="18"/>
                <w:szCs w:val="18"/>
              </w:rPr>
            </w:pPr>
            <w:r w:rsidRPr="00AC24E2">
              <w:rPr>
                <w:noProof/>
                <w:sz w:val="18"/>
                <w:szCs w:val="18"/>
              </w:rPr>
              <w:t>650,000 – 900,000</w:t>
            </w:r>
          </w:p>
        </w:tc>
      </w:tr>
      <w:tr w:rsidR="00386871" w:rsidRPr="00AC24E2" w14:paraId="3C17F476" w14:textId="77777777" w:rsidTr="00386871">
        <w:trPr>
          <w:cantSplit/>
          <w:trHeight w:val="114"/>
        </w:trPr>
        <w:tc>
          <w:tcPr>
            <w:tcW w:w="7513" w:type="dxa"/>
            <w:shd w:val="clear" w:color="auto" w:fill="F2F2F2"/>
          </w:tcPr>
          <w:p w14:paraId="7868F960" w14:textId="77777777" w:rsidR="00386871" w:rsidRPr="00AC24E2" w:rsidRDefault="00386871" w:rsidP="00386871">
            <w:pPr>
              <w:pStyle w:val="Body"/>
              <w:spacing w:before="60" w:after="60"/>
              <w:rPr>
                <w:bCs/>
                <w:i/>
                <w:iCs/>
                <w:noProof/>
                <w:sz w:val="18"/>
                <w:szCs w:val="18"/>
              </w:rPr>
            </w:pPr>
            <w:r w:rsidRPr="00AC24E2">
              <w:rPr>
                <w:bCs/>
                <w:noProof/>
                <w:sz w:val="18"/>
                <w:szCs w:val="18"/>
              </w:rPr>
              <w:t>Performance of a regular review of the training content provided by CEPOL and updating of material</w:t>
            </w:r>
          </w:p>
        </w:tc>
        <w:tc>
          <w:tcPr>
            <w:tcW w:w="2126" w:type="dxa"/>
            <w:shd w:val="clear" w:color="auto" w:fill="F2F2F2"/>
          </w:tcPr>
          <w:p w14:paraId="6E33D561" w14:textId="77777777" w:rsidR="00386871" w:rsidRPr="00AC24E2" w:rsidRDefault="00386871" w:rsidP="00386871">
            <w:pPr>
              <w:pStyle w:val="Body"/>
              <w:spacing w:before="60" w:after="60"/>
              <w:rPr>
                <w:noProof/>
                <w:sz w:val="18"/>
                <w:szCs w:val="18"/>
              </w:rPr>
            </w:pPr>
            <w:r w:rsidRPr="00AC24E2">
              <w:rPr>
                <w:noProof/>
                <w:sz w:val="18"/>
                <w:szCs w:val="18"/>
              </w:rPr>
              <w:t>50,000 – 100,000</w:t>
            </w:r>
          </w:p>
          <w:p w14:paraId="558DCDAB" w14:textId="77777777" w:rsidR="00386871" w:rsidRPr="00AC24E2" w:rsidRDefault="00386871" w:rsidP="00386871">
            <w:pPr>
              <w:pStyle w:val="Body"/>
              <w:spacing w:before="60" w:after="60"/>
              <w:rPr>
                <w:noProof/>
                <w:sz w:val="18"/>
                <w:szCs w:val="18"/>
              </w:rPr>
            </w:pPr>
            <w:r w:rsidRPr="00AC24E2">
              <w:rPr>
                <w:noProof/>
                <w:sz w:val="18"/>
                <w:szCs w:val="18"/>
              </w:rPr>
              <w:t>annually</w:t>
            </w:r>
          </w:p>
        </w:tc>
      </w:tr>
    </w:tbl>
    <w:p w14:paraId="7E0A1673" w14:textId="560BECF7" w:rsidR="00EC16ED" w:rsidRDefault="00386871" w:rsidP="003032CF">
      <w:pPr>
        <w:pStyle w:val="Body"/>
        <w:spacing w:after="120"/>
        <w:jc w:val="center"/>
        <w:rPr>
          <w:i/>
          <w:noProof/>
          <w:color w:val="7F7F7F" w:themeColor="text1" w:themeTint="80"/>
          <w:sz w:val="16"/>
          <w:szCs w:val="16"/>
        </w:rPr>
      </w:pPr>
      <w:r w:rsidRPr="00AC24E2">
        <w:rPr>
          <w:i/>
          <w:noProof/>
          <w:color w:val="7F7F7F" w:themeColor="text1" w:themeTint="80"/>
          <w:sz w:val="16"/>
          <w:szCs w:val="16"/>
        </w:rPr>
        <w:t xml:space="preserve">Source: </w:t>
      </w:r>
      <w:r w:rsidR="000F0DE5" w:rsidRPr="00CB565C">
        <w:rPr>
          <w:i/>
          <w:noProof/>
          <w:color w:val="7F7F7F" w:themeColor="text1" w:themeTint="80"/>
          <w:sz w:val="18"/>
          <w:szCs w:val="18"/>
        </w:rPr>
        <w:t>EY/RAND Europe Study’s</w:t>
      </w:r>
      <w:r w:rsidR="000F0DE5" w:rsidRPr="00CB565C">
        <w:rPr>
          <w:i/>
          <w:noProof/>
          <w:color w:val="7F7F7F" w:themeColor="text1" w:themeTint="80"/>
          <w:szCs w:val="16"/>
        </w:rPr>
        <w:t xml:space="preserve"> </w:t>
      </w:r>
      <w:r w:rsidR="000F0DE5" w:rsidRPr="00CB565C">
        <w:rPr>
          <w:i/>
          <w:noProof/>
          <w:color w:val="7F7F7F" w:themeColor="text1" w:themeTint="80"/>
          <w:sz w:val="18"/>
          <w:szCs w:val="16"/>
        </w:rPr>
        <w:t xml:space="preserve">elaboration </w:t>
      </w:r>
    </w:p>
    <w:p w14:paraId="640C33D5" w14:textId="77777777" w:rsidR="00D83E1E" w:rsidRPr="003032CF" w:rsidRDefault="00D83E1E" w:rsidP="003032CF">
      <w:pPr>
        <w:pStyle w:val="Body"/>
        <w:spacing w:after="120"/>
        <w:jc w:val="both"/>
        <w:rPr>
          <w:rFonts w:ascii="Times New Roman" w:hAnsi="Times New Roman"/>
          <w:bCs/>
          <w:i/>
          <w:noProof/>
          <w:sz w:val="24"/>
          <w:szCs w:val="24"/>
        </w:rPr>
      </w:pPr>
      <w:r w:rsidRPr="003032CF">
        <w:rPr>
          <w:rFonts w:ascii="Times New Roman" w:hAnsi="Times New Roman"/>
          <w:bCs/>
          <w:i/>
          <w:noProof/>
          <w:sz w:val="24"/>
          <w:szCs w:val="24"/>
        </w:rPr>
        <w:t>Benefits of the preferred policy option</w:t>
      </w:r>
    </w:p>
    <w:p w14:paraId="432D6E89" w14:textId="77777777" w:rsidR="00D83E1E" w:rsidRDefault="00D83E1E" w:rsidP="00D83E1E">
      <w:pPr>
        <w:pStyle w:val="Text2"/>
        <w:spacing w:after="120"/>
        <w:ind w:left="0"/>
        <w:rPr>
          <w:noProof/>
          <w:szCs w:val="24"/>
        </w:rPr>
      </w:pPr>
      <w:r>
        <w:rPr>
          <w:noProof/>
          <w:szCs w:val="24"/>
        </w:rPr>
        <w:t>W</w:t>
      </w:r>
      <w:r w:rsidRPr="0039131B">
        <w:rPr>
          <w:noProof/>
          <w:szCs w:val="24"/>
        </w:rPr>
        <w:t xml:space="preserve">hile the costs </w:t>
      </w:r>
      <w:r w:rsidRPr="008266B5">
        <w:rPr>
          <w:noProof/>
          <w:szCs w:val="24"/>
        </w:rPr>
        <w:t>of the pr</w:t>
      </w:r>
      <w:r>
        <w:rPr>
          <w:noProof/>
          <w:szCs w:val="24"/>
        </w:rPr>
        <w:t xml:space="preserve">eferred </w:t>
      </w:r>
      <w:r w:rsidRPr="008266B5">
        <w:rPr>
          <w:noProof/>
          <w:szCs w:val="24"/>
        </w:rPr>
        <w:t xml:space="preserve">policy option </w:t>
      </w:r>
      <w:r w:rsidRPr="0039131B">
        <w:rPr>
          <w:noProof/>
          <w:szCs w:val="24"/>
        </w:rPr>
        <w:t xml:space="preserve">can be </w:t>
      </w:r>
      <w:r>
        <w:rPr>
          <w:noProof/>
          <w:szCs w:val="24"/>
        </w:rPr>
        <w:t xml:space="preserve">roughly </w:t>
      </w:r>
      <w:r w:rsidRPr="0039131B">
        <w:rPr>
          <w:noProof/>
          <w:szCs w:val="24"/>
        </w:rPr>
        <w:t>estimated, a quantification of the</w:t>
      </w:r>
      <w:r>
        <w:rPr>
          <w:noProof/>
          <w:szCs w:val="24"/>
        </w:rPr>
        <w:t>ir</w:t>
      </w:r>
      <w:r w:rsidRPr="0039131B">
        <w:rPr>
          <w:noProof/>
          <w:szCs w:val="24"/>
        </w:rPr>
        <w:t xml:space="preserve"> benefits is more difficult to achieve. For instance, the benefit of gaining two weeks</w:t>
      </w:r>
      <w:r>
        <w:rPr>
          <w:noProof/>
          <w:szCs w:val="24"/>
        </w:rPr>
        <w:t>'</w:t>
      </w:r>
      <w:r w:rsidRPr="0039131B">
        <w:rPr>
          <w:noProof/>
          <w:szCs w:val="24"/>
        </w:rPr>
        <w:t xml:space="preserve"> time in obtaining an information from another Member State that will help solve a crime</w:t>
      </w:r>
      <w:r>
        <w:rPr>
          <w:noProof/>
          <w:szCs w:val="24"/>
        </w:rPr>
        <w:t xml:space="preserve"> </w:t>
      </w:r>
      <w:r w:rsidRPr="0039131B">
        <w:rPr>
          <w:noProof/>
          <w:szCs w:val="24"/>
        </w:rPr>
        <w:t>is difficult to quantify in monetary terms.</w:t>
      </w:r>
    </w:p>
    <w:p w14:paraId="40F656C9" w14:textId="77777777" w:rsidR="00D83E1E" w:rsidRPr="003032CF" w:rsidRDefault="00D83E1E" w:rsidP="003032CF">
      <w:pPr>
        <w:pStyle w:val="Body"/>
        <w:spacing w:after="120"/>
        <w:jc w:val="both"/>
        <w:rPr>
          <w:rFonts w:ascii="Times New Roman" w:hAnsi="Times New Roman"/>
          <w:bCs/>
          <w:noProof/>
          <w:sz w:val="24"/>
          <w:szCs w:val="24"/>
        </w:rPr>
      </w:pPr>
      <w:r w:rsidRPr="003032CF">
        <w:rPr>
          <w:rFonts w:ascii="Times New Roman" w:hAnsi="Times New Roman"/>
          <w:bCs/>
          <w:noProof/>
          <w:sz w:val="24"/>
          <w:szCs w:val="24"/>
        </w:rPr>
        <w:t>Establishing a common minimum set of data that has to be made available for exchange, as well as establishing SIENA as the privileged channel of communication and defining common requirements for functionalities of the CMS is expected to have a very positive impact on the overall efficiency of the access to and exchange of information. It can be expected that the exchange of information will become swifter, less time consuming, and overall less burdensome in view of the information that can reasonably be expected from counterparts in other countries. This has also been confirmed in various interviews with national stakeholders</w:t>
      </w:r>
      <w:r w:rsidRPr="003032CF">
        <w:rPr>
          <w:rStyle w:val="FootnoteReference"/>
          <w:rFonts w:ascii="Times New Roman" w:hAnsi="Times New Roman"/>
          <w:bCs/>
          <w:noProof/>
          <w:sz w:val="24"/>
          <w:szCs w:val="24"/>
        </w:rPr>
        <w:footnoteReference w:id="162"/>
      </w:r>
      <w:r w:rsidR="003032CF">
        <w:rPr>
          <w:rFonts w:ascii="Times New Roman" w:hAnsi="Times New Roman"/>
          <w:bCs/>
          <w:noProof/>
          <w:sz w:val="24"/>
          <w:szCs w:val="24"/>
        </w:rPr>
        <w:t>.</w:t>
      </w:r>
      <w:r w:rsidRPr="003032CF">
        <w:rPr>
          <w:rFonts w:ascii="Times New Roman" w:hAnsi="Times New Roman"/>
          <w:bCs/>
          <w:noProof/>
          <w:sz w:val="24"/>
          <w:szCs w:val="24"/>
        </w:rPr>
        <w:t xml:space="preserve"> </w:t>
      </w:r>
    </w:p>
    <w:tbl>
      <w:tblPr>
        <w:tblStyle w:val="CV11"/>
        <w:tblpPr w:leftFromText="180" w:rightFromText="180" w:vertAnchor="text" w:horzAnchor="margin" w:tblpXSpec="center" w:tblpY="200"/>
        <w:tblW w:w="1042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03"/>
        <w:gridCol w:w="1134"/>
        <w:gridCol w:w="1446"/>
        <w:gridCol w:w="1418"/>
        <w:gridCol w:w="1417"/>
        <w:gridCol w:w="1134"/>
        <w:gridCol w:w="1276"/>
      </w:tblGrid>
      <w:tr w:rsidR="00EB363A" w:rsidRPr="00B10009" w14:paraId="70BB5F6A" w14:textId="77777777" w:rsidTr="00EB363A">
        <w:tc>
          <w:tcPr>
            <w:tcW w:w="10428" w:type="dxa"/>
            <w:gridSpan w:val="7"/>
            <w:shd w:val="clear" w:color="auto" w:fill="D5DCE4" w:themeFill="text2" w:themeFillTint="33"/>
            <w:tcMar>
              <w:top w:w="57" w:type="dxa"/>
              <w:left w:w="57" w:type="dxa"/>
              <w:bottom w:w="57" w:type="dxa"/>
              <w:right w:w="57" w:type="dxa"/>
            </w:tcMar>
          </w:tcPr>
          <w:p w14:paraId="624AF58F" w14:textId="77777777" w:rsidR="00EB363A" w:rsidRPr="00C97880" w:rsidRDefault="00EB363A" w:rsidP="00EB363A">
            <w:pPr>
              <w:tabs>
                <w:tab w:val="num" w:pos="425"/>
              </w:tabs>
              <w:spacing w:after="100" w:line="240" w:lineRule="auto"/>
              <w:rPr>
                <w:rFonts w:ascii="Verdana" w:hAnsi="Verdana"/>
                <w:b/>
                <w:i/>
                <w:noProof/>
                <w:sz w:val="16"/>
                <w:szCs w:val="16"/>
              </w:rPr>
            </w:pPr>
            <w:r>
              <w:rPr>
                <w:rFonts w:ascii="Verdana" w:hAnsi="Verdana"/>
                <w:b/>
                <w:i/>
                <w:noProof/>
                <w:sz w:val="16"/>
                <w:szCs w:val="16"/>
              </w:rPr>
              <w:t>Indicative o</w:t>
            </w:r>
            <w:r w:rsidRPr="00C97880">
              <w:rPr>
                <w:rFonts w:ascii="Verdana" w:hAnsi="Verdana"/>
                <w:b/>
                <w:i/>
                <w:noProof/>
                <w:sz w:val="16"/>
                <w:szCs w:val="16"/>
              </w:rPr>
              <w:t xml:space="preserve">verview of </w:t>
            </w:r>
            <w:r>
              <w:rPr>
                <w:rFonts w:ascii="Verdana" w:hAnsi="Verdana"/>
                <w:b/>
                <w:i/>
                <w:noProof/>
                <w:sz w:val="16"/>
                <w:szCs w:val="16"/>
              </w:rPr>
              <w:t xml:space="preserve">possible </w:t>
            </w:r>
            <w:r w:rsidRPr="00C97880">
              <w:rPr>
                <w:rFonts w:ascii="Verdana" w:hAnsi="Verdana"/>
                <w:b/>
                <w:i/>
                <w:noProof/>
                <w:sz w:val="16"/>
                <w:szCs w:val="16"/>
              </w:rPr>
              <w:t>costs – Preferred option</w:t>
            </w:r>
          </w:p>
        </w:tc>
      </w:tr>
      <w:tr w:rsidR="00EB363A" w:rsidRPr="00B10009" w14:paraId="70275D7F" w14:textId="77777777" w:rsidTr="00EB363A">
        <w:tc>
          <w:tcPr>
            <w:tcW w:w="2603" w:type="dxa"/>
            <w:vMerge w:val="restart"/>
            <w:tcBorders>
              <w:top w:val="double" w:sz="4" w:space="0" w:color="auto"/>
              <w:right w:val="double" w:sz="4" w:space="0" w:color="auto"/>
              <w:tl2br w:val="double" w:sz="4" w:space="0" w:color="auto"/>
            </w:tcBorders>
            <w:tcMar>
              <w:top w:w="57" w:type="dxa"/>
              <w:left w:w="57" w:type="dxa"/>
              <w:bottom w:w="57" w:type="dxa"/>
              <w:right w:w="57" w:type="dxa"/>
            </w:tcMar>
          </w:tcPr>
          <w:p w14:paraId="5F4857FF" w14:textId="77777777" w:rsidR="00EB363A" w:rsidRPr="00653A48" w:rsidRDefault="00EB363A" w:rsidP="00EB363A">
            <w:pPr>
              <w:tabs>
                <w:tab w:val="num" w:pos="425"/>
              </w:tabs>
              <w:spacing w:after="100" w:line="240" w:lineRule="auto"/>
              <w:rPr>
                <w:noProof/>
                <w:sz w:val="24"/>
              </w:rPr>
            </w:pPr>
          </w:p>
        </w:tc>
        <w:tc>
          <w:tcPr>
            <w:tcW w:w="2580" w:type="dxa"/>
            <w:gridSpan w:val="2"/>
            <w:tcBorders>
              <w:left w:val="double" w:sz="4" w:space="0" w:color="auto"/>
            </w:tcBorders>
            <w:tcMar>
              <w:top w:w="57" w:type="dxa"/>
              <w:left w:w="57" w:type="dxa"/>
              <w:bottom w:w="57" w:type="dxa"/>
              <w:right w:w="57" w:type="dxa"/>
            </w:tcMar>
          </w:tcPr>
          <w:p w14:paraId="7564C074"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 xml:space="preserve">Citizens/Consumers </w:t>
            </w:r>
          </w:p>
        </w:tc>
        <w:tc>
          <w:tcPr>
            <w:tcW w:w="2835" w:type="dxa"/>
            <w:gridSpan w:val="2"/>
            <w:tcMar>
              <w:top w:w="57" w:type="dxa"/>
              <w:left w:w="57" w:type="dxa"/>
              <w:bottom w:w="57" w:type="dxa"/>
              <w:right w:w="57" w:type="dxa"/>
            </w:tcMar>
          </w:tcPr>
          <w:p w14:paraId="353814C8"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Member State Administrations</w:t>
            </w:r>
          </w:p>
        </w:tc>
        <w:tc>
          <w:tcPr>
            <w:tcW w:w="2410" w:type="dxa"/>
            <w:gridSpan w:val="2"/>
            <w:tcMar>
              <w:top w:w="57" w:type="dxa"/>
              <w:left w:w="57" w:type="dxa"/>
              <w:bottom w:w="57" w:type="dxa"/>
              <w:right w:w="57" w:type="dxa"/>
            </w:tcMar>
          </w:tcPr>
          <w:p w14:paraId="43821333"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Union Agencies</w:t>
            </w:r>
          </w:p>
        </w:tc>
      </w:tr>
      <w:tr w:rsidR="00EB363A" w:rsidRPr="00B10009" w14:paraId="2D8E27B5" w14:textId="77777777" w:rsidTr="00EB363A">
        <w:tc>
          <w:tcPr>
            <w:tcW w:w="2603" w:type="dxa"/>
            <w:vMerge/>
            <w:tcBorders>
              <w:bottom w:val="double" w:sz="4" w:space="0" w:color="auto"/>
              <w:right w:val="double" w:sz="4" w:space="0" w:color="auto"/>
              <w:tl2br w:val="double" w:sz="4" w:space="0" w:color="auto"/>
            </w:tcBorders>
            <w:tcMar>
              <w:top w:w="57" w:type="dxa"/>
              <w:left w:w="57" w:type="dxa"/>
              <w:bottom w:w="57" w:type="dxa"/>
              <w:right w:w="57" w:type="dxa"/>
            </w:tcMar>
          </w:tcPr>
          <w:p w14:paraId="313AC667" w14:textId="77777777" w:rsidR="00EB363A" w:rsidRPr="00653A48" w:rsidRDefault="00EB363A" w:rsidP="00EB363A">
            <w:pPr>
              <w:tabs>
                <w:tab w:val="num" w:pos="425"/>
              </w:tabs>
              <w:spacing w:after="100" w:line="240" w:lineRule="auto"/>
              <w:jc w:val="center"/>
              <w:rPr>
                <w:noProof/>
                <w:sz w:val="24"/>
              </w:rPr>
            </w:pPr>
          </w:p>
        </w:tc>
        <w:tc>
          <w:tcPr>
            <w:tcW w:w="1134" w:type="dxa"/>
            <w:tcBorders>
              <w:left w:val="double" w:sz="4" w:space="0" w:color="auto"/>
              <w:bottom w:val="double" w:sz="4" w:space="0" w:color="auto"/>
            </w:tcBorders>
            <w:tcMar>
              <w:top w:w="57" w:type="dxa"/>
              <w:left w:w="57" w:type="dxa"/>
              <w:bottom w:w="57" w:type="dxa"/>
              <w:right w:w="57" w:type="dxa"/>
            </w:tcMar>
          </w:tcPr>
          <w:p w14:paraId="36DA1B3C"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One-off</w:t>
            </w:r>
          </w:p>
        </w:tc>
        <w:tc>
          <w:tcPr>
            <w:tcW w:w="1446" w:type="dxa"/>
            <w:tcBorders>
              <w:bottom w:val="double" w:sz="4" w:space="0" w:color="auto"/>
            </w:tcBorders>
            <w:tcMar>
              <w:top w:w="57" w:type="dxa"/>
              <w:left w:w="57" w:type="dxa"/>
              <w:bottom w:w="57" w:type="dxa"/>
              <w:right w:w="57" w:type="dxa"/>
            </w:tcMar>
          </w:tcPr>
          <w:p w14:paraId="6853A104"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Recurrent</w:t>
            </w:r>
          </w:p>
        </w:tc>
        <w:tc>
          <w:tcPr>
            <w:tcW w:w="1418" w:type="dxa"/>
            <w:tcBorders>
              <w:bottom w:val="double" w:sz="4" w:space="0" w:color="auto"/>
            </w:tcBorders>
            <w:tcMar>
              <w:top w:w="57" w:type="dxa"/>
              <w:left w:w="57" w:type="dxa"/>
              <w:bottom w:w="57" w:type="dxa"/>
              <w:right w:w="57" w:type="dxa"/>
            </w:tcMar>
          </w:tcPr>
          <w:p w14:paraId="6B54F695"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One-off</w:t>
            </w:r>
          </w:p>
        </w:tc>
        <w:tc>
          <w:tcPr>
            <w:tcW w:w="1417" w:type="dxa"/>
            <w:tcBorders>
              <w:bottom w:val="double" w:sz="4" w:space="0" w:color="auto"/>
            </w:tcBorders>
            <w:tcMar>
              <w:top w:w="57" w:type="dxa"/>
              <w:left w:w="57" w:type="dxa"/>
              <w:bottom w:w="57" w:type="dxa"/>
              <w:right w:w="57" w:type="dxa"/>
            </w:tcMar>
          </w:tcPr>
          <w:p w14:paraId="3584B40E"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Recurrent</w:t>
            </w:r>
          </w:p>
        </w:tc>
        <w:tc>
          <w:tcPr>
            <w:tcW w:w="1134" w:type="dxa"/>
            <w:tcBorders>
              <w:bottom w:val="double" w:sz="4" w:space="0" w:color="auto"/>
            </w:tcBorders>
            <w:tcMar>
              <w:top w:w="57" w:type="dxa"/>
              <w:left w:w="57" w:type="dxa"/>
              <w:bottom w:w="57" w:type="dxa"/>
              <w:right w:w="57" w:type="dxa"/>
            </w:tcMar>
          </w:tcPr>
          <w:p w14:paraId="3EFC55BA"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One-off</w:t>
            </w:r>
          </w:p>
        </w:tc>
        <w:tc>
          <w:tcPr>
            <w:tcW w:w="1276" w:type="dxa"/>
            <w:tcBorders>
              <w:bottom w:val="double" w:sz="4" w:space="0" w:color="auto"/>
            </w:tcBorders>
            <w:tcMar>
              <w:top w:w="57" w:type="dxa"/>
              <w:left w:w="57" w:type="dxa"/>
              <w:bottom w:w="57" w:type="dxa"/>
              <w:right w:w="57" w:type="dxa"/>
            </w:tcMar>
          </w:tcPr>
          <w:p w14:paraId="717195D6"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Recurrent</w:t>
            </w:r>
          </w:p>
        </w:tc>
      </w:tr>
      <w:tr w:rsidR="00EB363A" w:rsidRPr="00B10009" w14:paraId="35660B27" w14:textId="77777777" w:rsidTr="00EB363A">
        <w:trPr>
          <w:trHeight w:val="307"/>
        </w:trPr>
        <w:tc>
          <w:tcPr>
            <w:tcW w:w="10428" w:type="dxa"/>
            <w:gridSpan w:val="7"/>
            <w:shd w:val="clear" w:color="auto" w:fill="E7E6E6" w:themeFill="background2"/>
            <w:tcMar>
              <w:top w:w="57" w:type="dxa"/>
              <w:left w:w="57" w:type="dxa"/>
              <w:bottom w:w="57" w:type="dxa"/>
              <w:right w:w="57" w:type="dxa"/>
            </w:tcMar>
            <w:vAlign w:val="center"/>
          </w:tcPr>
          <w:p w14:paraId="4196130F" w14:textId="77777777" w:rsidR="00EB363A" w:rsidRPr="00C97880" w:rsidRDefault="00EB363A" w:rsidP="00EB363A">
            <w:pPr>
              <w:tabs>
                <w:tab w:val="num" w:pos="425"/>
              </w:tabs>
              <w:spacing w:after="100" w:line="240" w:lineRule="auto"/>
              <w:rPr>
                <w:rFonts w:ascii="Verdana" w:hAnsi="Verdana"/>
                <w:b/>
                <w:i/>
                <w:noProof/>
                <w:sz w:val="16"/>
                <w:szCs w:val="16"/>
              </w:rPr>
            </w:pPr>
            <w:r w:rsidRPr="00C97880">
              <w:rPr>
                <w:rFonts w:ascii="Verdana" w:hAnsi="Verdana"/>
                <w:b/>
                <w:i/>
                <w:noProof/>
                <w:sz w:val="16"/>
                <w:szCs w:val="16"/>
              </w:rPr>
              <w:t>Direct costs</w:t>
            </w:r>
          </w:p>
        </w:tc>
      </w:tr>
      <w:tr w:rsidR="00EB363A" w:rsidRPr="00B10009" w14:paraId="554539BE" w14:textId="77777777" w:rsidTr="00EB363A">
        <w:trPr>
          <w:trHeight w:val="307"/>
        </w:trPr>
        <w:tc>
          <w:tcPr>
            <w:tcW w:w="2603" w:type="dxa"/>
            <w:tcBorders>
              <w:right w:val="double" w:sz="4" w:space="0" w:color="auto"/>
            </w:tcBorders>
            <w:tcMar>
              <w:top w:w="57" w:type="dxa"/>
              <w:left w:w="57" w:type="dxa"/>
              <w:bottom w:w="57" w:type="dxa"/>
              <w:right w:w="57" w:type="dxa"/>
            </w:tcMar>
            <w:vAlign w:val="center"/>
          </w:tcPr>
          <w:p w14:paraId="26C6B5CE" w14:textId="77777777" w:rsidR="00EB363A" w:rsidRPr="00C97880" w:rsidRDefault="00EB363A" w:rsidP="00EB363A">
            <w:pPr>
              <w:tabs>
                <w:tab w:val="num" w:pos="425"/>
              </w:tabs>
              <w:spacing w:after="100" w:line="240" w:lineRule="auto"/>
              <w:rPr>
                <w:rFonts w:ascii="Verdana" w:hAnsi="Verdana"/>
                <w:noProof/>
                <w:sz w:val="16"/>
                <w:szCs w:val="16"/>
              </w:rPr>
            </w:pPr>
            <w:r>
              <w:rPr>
                <w:rFonts w:ascii="Verdana" w:hAnsi="Verdana"/>
                <w:noProof/>
                <w:sz w:val="16"/>
                <w:szCs w:val="16"/>
              </w:rPr>
              <w:t>Case Management Systems in SPOCs</w:t>
            </w:r>
          </w:p>
        </w:tc>
        <w:tc>
          <w:tcPr>
            <w:tcW w:w="1134" w:type="dxa"/>
            <w:tcBorders>
              <w:left w:val="double" w:sz="4" w:space="0" w:color="auto"/>
            </w:tcBorders>
            <w:tcMar>
              <w:top w:w="57" w:type="dxa"/>
              <w:left w:w="57" w:type="dxa"/>
              <w:bottom w:w="57" w:type="dxa"/>
              <w:right w:w="57" w:type="dxa"/>
            </w:tcMar>
          </w:tcPr>
          <w:p w14:paraId="3039631F"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46" w:type="dxa"/>
            <w:tcMar>
              <w:top w:w="57" w:type="dxa"/>
              <w:left w:w="57" w:type="dxa"/>
              <w:bottom w:w="57" w:type="dxa"/>
              <w:right w:w="57" w:type="dxa"/>
            </w:tcMar>
          </w:tcPr>
          <w:p w14:paraId="249C7A73"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18" w:type="dxa"/>
            <w:tcMar>
              <w:top w:w="57" w:type="dxa"/>
              <w:left w:w="57" w:type="dxa"/>
              <w:bottom w:w="57" w:type="dxa"/>
              <w:right w:w="57" w:type="dxa"/>
            </w:tcMar>
          </w:tcPr>
          <w:p w14:paraId="22124D9E"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Pr>
                <w:rFonts w:ascii="Verdana" w:hAnsi="Verdana"/>
                <w:noProof/>
                <w:sz w:val="16"/>
                <w:szCs w:val="16"/>
              </w:rPr>
              <w:t xml:space="preserve">EUR </w:t>
            </w:r>
            <w:r w:rsidRPr="001816BC">
              <w:rPr>
                <w:rFonts w:ascii="Verdana" w:hAnsi="Verdana"/>
                <w:noProof/>
                <w:sz w:val="16"/>
                <w:szCs w:val="16"/>
              </w:rPr>
              <w:t>1.5m</w:t>
            </w:r>
            <w:r w:rsidRPr="001816BC">
              <w:rPr>
                <w:rStyle w:val="FootnoteReference"/>
                <w:rFonts w:ascii="Verdana" w:hAnsi="Verdana"/>
                <w:noProof/>
                <w:sz w:val="16"/>
                <w:szCs w:val="16"/>
              </w:rPr>
              <w:footnoteReference w:id="163"/>
            </w:r>
          </w:p>
        </w:tc>
        <w:tc>
          <w:tcPr>
            <w:tcW w:w="1417" w:type="dxa"/>
            <w:tcMar>
              <w:top w:w="57" w:type="dxa"/>
              <w:left w:w="57" w:type="dxa"/>
              <w:bottom w:w="57" w:type="dxa"/>
              <w:right w:w="57" w:type="dxa"/>
            </w:tcMar>
          </w:tcPr>
          <w:p w14:paraId="183805DF" w14:textId="77777777" w:rsidR="00EB363A" w:rsidRPr="001816BC" w:rsidRDefault="00EB363A" w:rsidP="00EB363A">
            <w:pPr>
              <w:tabs>
                <w:tab w:val="num" w:pos="425"/>
              </w:tabs>
              <w:spacing w:after="100" w:line="240" w:lineRule="auto"/>
              <w:jc w:val="center"/>
              <w:rPr>
                <w:rFonts w:ascii="Verdana" w:hAnsi="Verdana"/>
                <w:noProof/>
                <w:sz w:val="16"/>
                <w:szCs w:val="16"/>
              </w:rPr>
            </w:pPr>
            <w:r w:rsidRPr="001816BC">
              <w:rPr>
                <w:rFonts w:ascii="Verdana" w:hAnsi="Verdana"/>
                <w:noProof/>
                <w:sz w:val="16"/>
                <w:szCs w:val="16"/>
              </w:rPr>
              <w:t>unknown</w:t>
            </w:r>
          </w:p>
        </w:tc>
        <w:tc>
          <w:tcPr>
            <w:tcW w:w="1134" w:type="dxa"/>
            <w:tcMar>
              <w:top w:w="57" w:type="dxa"/>
              <w:left w:w="57" w:type="dxa"/>
              <w:bottom w:w="57" w:type="dxa"/>
              <w:right w:w="57" w:type="dxa"/>
            </w:tcMar>
          </w:tcPr>
          <w:p w14:paraId="3845FB54"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400B95">
              <w:rPr>
                <w:rFonts w:ascii="Verdana" w:hAnsi="Verdana"/>
                <w:noProof/>
                <w:sz w:val="16"/>
                <w:szCs w:val="16"/>
              </w:rPr>
              <w:t>0</w:t>
            </w:r>
          </w:p>
        </w:tc>
        <w:tc>
          <w:tcPr>
            <w:tcW w:w="1276" w:type="dxa"/>
            <w:tcMar>
              <w:top w:w="57" w:type="dxa"/>
              <w:left w:w="57" w:type="dxa"/>
              <w:bottom w:w="57" w:type="dxa"/>
              <w:right w:w="57" w:type="dxa"/>
            </w:tcMar>
          </w:tcPr>
          <w:p w14:paraId="6FC78BA5"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400B95">
              <w:rPr>
                <w:rFonts w:ascii="Verdana" w:hAnsi="Verdana"/>
                <w:noProof/>
                <w:sz w:val="16"/>
                <w:szCs w:val="16"/>
              </w:rPr>
              <w:t>0</w:t>
            </w:r>
          </w:p>
        </w:tc>
      </w:tr>
      <w:tr w:rsidR="00EB363A" w:rsidRPr="00B10009" w14:paraId="32B7CD8C" w14:textId="77777777" w:rsidTr="00EB363A">
        <w:tc>
          <w:tcPr>
            <w:tcW w:w="2603" w:type="dxa"/>
            <w:tcBorders>
              <w:top w:val="double" w:sz="4" w:space="0" w:color="auto"/>
              <w:right w:val="double" w:sz="4" w:space="0" w:color="auto"/>
            </w:tcBorders>
            <w:tcMar>
              <w:top w:w="57" w:type="dxa"/>
              <w:left w:w="57" w:type="dxa"/>
              <w:bottom w:w="57" w:type="dxa"/>
              <w:right w:w="57" w:type="dxa"/>
            </w:tcMar>
          </w:tcPr>
          <w:p w14:paraId="5BC51127" w14:textId="77777777" w:rsidR="00EB363A" w:rsidRPr="00C97880" w:rsidRDefault="00EB363A" w:rsidP="00EB363A">
            <w:pPr>
              <w:tabs>
                <w:tab w:val="num" w:pos="425"/>
              </w:tabs>
              <w:spacing w:after="100" w:line="240" w:lineRule="auto"/>
              <w:rPr>
                <w:rFonts w:ascii="Verdana" w:hAnsi="Verdana"/>
                <w:noProof/>
                <w:sz w:val="16"/>
                <w:szCs w:val="16"/>
              </w:rPr>
            </w:pPr>
            <w:r>
              <w:rPr>
                <w:rFonts w:ascii="Verdana" w:hAnsi="Verdana"/>
                <w:noProof/>
                <w:sz w:val="16"/>
                <w:szCs w:val="16"/>
              </w:rPr>
              <w:t xml:space="preserve">Case Management Systems in PCCCs and equivalent bodies </w:t>
            </w:r>
          </w:p>
        </w:tc>
        <w:tc>
          <w:tcPr>
            <w:tcW w:w="1134" w:type="dxa"/>
            <w:tcBorders>
              <w:top w:val="double" w:sz="4" w:space="0" w:color="auto"/>
              <w:left w:val="double" w:sz="4" w:space="0" w:color="auto"/>
            </w:tcBorders>
            <w:tcMar>
              <w:top w:w="57" w:type="dxa"/>
              <w:left w:w="57" w:type="dxa"/>
              <w:bottom w:w="57" w:type="dxa"/>
              <w:right w:w="57" w:type="dxa"/>
            </w:tcMar>
          </w:tcPr>
          <w:p w14:paraId="322FEAEC"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46" w:type="dxa"/>
            <w:tcBorders>
              <w:top w:val="double" w:sz="4" w:space="0" w:color="auto"/>
            </w:tcBorders>
            <w:tcMar>
              <w:top w:w="57" w:type="dxa"/>
              <w:left w:w="57" w:type="dxa"/>
              <w:bottom w:w="57" w:type="dxa"/>
              <w:right w:w="57" w:type="dxa"/>
            </w:tcMar>
          </w:tcPr>
          <w:p w14:paraId="73542CD5"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18" w:type="dxa"/>
            <w:tcBorders>
              <w:top w:val="double" w:sz="4" w:space="0" w:color="auto"/>
            </w:tcBorders>
            <w:tcMar>
              <w:top w:w="57" w:type="dxa"/>
              <w:left w:w="57" w:type="dxa"/>
              <w:bottom w:w="57" w:type="dxa"/>
              <w:right w:w="57" w:type="dxa"/>
            </w:tcMar>
          </w:tcPr>
          <w:p w14:paraId="7F48E40E"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Pr>
                <w:rFonts w:ascii="Verdana" w:hAnsi="Verdana"/>
                <w:noProof/>
                <w:sz w:val="16"/>
                <w:szCs w:val="16"/>
              </w:rPr>
              <w:t>EUR 6.75m</w:t>
            </w:r>
            <w:r>
              <w:rPr>
                <w:rStyle w:val="FootnoteReference"/>
                <w:rFonts w:ascii="Verdana" w:hAnsi="Verdana"/>
                <w:noProof/>
                <w:sz w:val="16"/>
                <w:szCs w:val="16"/>
              </w:rPr>
              <w:footnoteReference w:id="164"/>
            </w:r>
          </w:p>
        </w:tc>
        <w:tc>
          <w:tcPr>
            <w:tcW w:w="1417" w:type="dxa"/>
            <w:tcBorders>
              <w:top w:val="double" w:sz="4" w:space="0" w:color="auto"/>
            </w:tcBorders>
            <w:tcMar>
              <w:top w:w="57" w:type="dxa"/>
              <w:left w:w="57" w:type="dxa"/>
              <w:bottom w:w="57" w:type="dxa"/>
              <w:right w:w="57" w:type="dxa"/>
            </w:tcMar>
          </w:tcPr>
          <w:p w14:paraId="0B48F114" w14:textId="77777777" w:rsidR="00EB363A" w:rsidRPr="001816BC" w:rsidRDefault="00EB363A" w:rsidP="00EB363A">
            <w:pPr>
              <w:tabs>
                <w:tab w:val="num" w:pos="425"/>
              </w:tabs>
              <w:spacing w:after="100" w:line="240" w:lineRule="auto"/>
              <w:jc w:val="center"/>
              <w:rPr>
                <w:rFonts w:ascii="Verdana" w:hAnsi="Verdana"/>
                <w:noProof/>
                <w:sz w:val="16"/>
                <w:szCs w:val="16"/>
              </w:rPr>
            </w:pPr>
            <w:r w:rsidRPr="001816BC">
              <w:rPr>
                <w:rFonts w:ascii="Verdana" w:hAnsi="Verdana"/>
                <w:noProof/>
                <w:sz w:val="16"/>
                <w:szCs w:val="16"/>
              </w:rPr>
              <w:t xml:space="preserve">unknown </w:t>
            </w:r>
          </w:p>
        </w:tc>
        <w:tc>
          <w:tcPr>
            <w:tcW w:w="1134" w:type="dxa"/>
            <w:tcBorders>
              <w:top w:val="double" w:sz="4" w:space="0" w:color="auto"/>
            </w:tcBorders>
            <w:tcMar>
              <w:top w:w="57" w:type="dxa"/>
              <w:left w:w="57" w:type="dxa"/>
              <w:bottom w:w="57" w:type="dxa"/>
              <w:right w:w="57" w:type="dxa"/>
            </w:tcMar>
          </w:tcPr>
          <w:p w14:paraId="08554FDB"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1816BC">
              <w:rPr>
                <w:rFonts w:ascii="Verdana" w:hAnsi="Verdana"/>
                <w:noProof/>
                <w:sz w:val="16"/>
                <w:szCs w:val="16"/>
              </w:rPr>
              <w:t xml:space="preserve">0 </w:t>
            </w:r>
          </w:p>
        </w:tc>
        <w:tc>
          <w:tcPr>
            <w:tcW w:w="1276" w:type="dxa"/>
            <w:tcBorders>
              <w:top w:val="double" w:sz="4" w:space="0" w:color="auto"/>
            </w:tcBorders>
            <w:tcMar>
              <w:top w:w="57" w:type="dxa"/>
              <w:left w:w="57" w:type="dxa"/>
              <w:bottom w:w="57" w:type="dxa"/>
              <w:right w:w="57" w:type="dxa"/>
            </w:tcMar>
          </w:tcPr>
          <w:p w14:paraId="4BE531E4"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Pr>
                <w:rFonts w:ascii="Verdana" w:hAnsi="Verdana"/>
                <w:noProof/>
                <w:sz w:val="16"/>
                <w:szCs w:val="16"/>
              </w:rPr>
              <w:t xml:space="preserve">0 </w:t>
            </w:r>
          </w:p>
        </w:tc>
      </w:tr>
      <w:tr w:rsidR="00EB363A" w:rsidRPr="00B10009" w14:paraId="002391EF" w14:textId="77777777" w:rsidTr="00EB363A">
        <w:tc>
          <w:tcPr>
            <w:tcW w:w="2603" w:type="dxa"/>
            <w:tcBorders>
              <w:right w:val="double" w:sz="4" w:space="0" w:color="auto"/>
            </w:tcBorders>
            <w:tcMar>
              <w:top w:w="57" w:type="dxa"/>
              <w:left w:w="57" w:type="dxa"/>
              <w:bottom w:w="57" w:type="dxa"/>
              <w:right w:w="57" w:type="dxa"/>
            </w:tcMar>
          </w:tcPr>
          <w:p w14:paraId="505545E8" w14:textId="77777777" w:rsidR="00EB363A" w:rsidRPr="00380EEA" w:rsidRDefault="00EB363A" w:rsidP="00EB363A">
            <w:pPr>
              <w:tabs>
                <w:tab w:val="num" w:pos="425"/>
              </w:tabs>
              <w:spacing w:after="100" w:line="240" w:lineRule="auto"/>
              <w:rPr>
                <w:rFonts w:ascii="Verdana" w:hAnsi="Verdana"/>
                <w:noProof/>
                <w:sz w:val="16"/>
                <w:szCs w:val="16"/>
                <w:lang w:val="it-IT"/>
              </w:rPr>
            </w:pPr>
            <w:r w:rsidRPr="00380EEA">
              <w:rPr>
                <w:rFonts w:ascii="Verdana" w:hAnsi="Verdana"/>
                <w:noProof/>
                <w:sz w:val="16"/>
                <w:szCs w:val="16"/>
                <w:lang w:val="it-IT"/>
              </w:rPr>
              <w:t>SIENA integration in SPOCs CMSs</w:t>
            </w:r>
          </w:p>
        </w:tc>
        <w:tc>
          <w:tcPr>
            <w:tcW w:w="1134" w:type="dxa"/>
            <w:tcBorders>
              <w:top w:val="double" w:sz="4" w:space="0" w:color="auto"/>
              <w:left w:val="double" w:sz="4" w:space="0" w:color="auto"/>
            </w:tcBorders>
            <w:tcMar>
              <w:top w:w="57" w:type="dxa"/>
              <w:left w:w="57" w:type="dxa"/>
              <w:bottom w:w="57" w:type="dxa"/>
              <w:right w:w="57" w:type="dxa"/>
            </w:tcMar>
          </w:tcPr>
          <w:p w14:paraId="7267AB25"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46" w:type="dxa"/>
            <w:tcBorders>
              <w:top w:val="double" w:sz="4" w:space="0" w:color="auto"/>
            </w:tcBorders>
            <w:tcMar>
              <w:top w:w="57" w:type="dxa"/>
              <w:left w:w="57" w:type="dxa"/>
              <w:bottom w:w="57" w:type="dxa"/>
              <w:right w:w="57" w:type="dxa"/>
            </w:tcMar>
          </w:tcPr>
          <w:p w14:paraId="0E1DB0CB"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18" w:type="dxa"/>
            <w:tcBorders>
              <w:top w:val="double" w:sz="4" w:space="0" w:color="auto"/>
            </w:tcBorders>
            <w:tcMar>
              <w:top w:w="57" w:type="dxa"/>
              <w:left w:w="57" w:type="dxa"/>
              <w:bottom w:w="57" w:type="dxa"/>
              <w:right w:w="57" w:type="dxa"/>
            </w:tcMar>
          </w:tcPr>
          <w:p w14:paraId="24140316"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Pr>
                <w:rFonts w:ascii="Verdana" w:hAnsi="Verdana"/>
                <w:noProof/>
                <w:sz w:val="16"/>
                <w:szCs w:val="16"/>
              </w:rPr>
              <w:t xml:space="preserve">EUR </w:t>
            </w:r>
            <w:r w:rsidRPr="001816BC">
              <w:rPr>
                <w:rFonts w:ascii="Verdana" w:hAnsi="Verdana"/>
                <w:noProof/>
                <w:sz w:val="16"/>
                <w:szCs w:val="16"/>
              </w:rPr>
              <w:t>1m</w:t>
            </w:r>
            <w:r w:rsidRPr="001816BC">
              <w:rPr>
                <w:rStyle w:val="FootnoteReference"/>
                <w:rFonts w:ascii="Verdana" w:hAnsi="Verdana"/>
                <w:noProof/>
                <w:sz w:val="16"/>
                <w:szCs w:val="16"/>
              </w:rPr>
              <w:footnoteReference w:id="165"/>
            </w:r>
          </w:p>
        </w:tc>
        <w:tc>
          <w:tcPr>
            <w:tcW w:w="1417" w:type="dxa"/>
            <w:tcBorders>
              <w:top w:val="double" w:sz="4" w:space="0" w:color="auto"/>
            </w:tcBorders>
            <w:tcMar>
              <w:top w:w="57" w:type="dxa"/>
              <w:left w:w="57" w:type="dxa"/>
              <w:bottom w:w="57" w:type="dxa"/>
              <w:right w:w="57" w:type="dxa"/>
            </w:tcMar>
          </w:tcPr>
          <w:p w14:paraId="28C99358" w14:textId="77777777" w:rsidR="00EB363A" w:rsidRPr="001816BC" w:rsidRDefault="00EB363A" w:rsidP="00EB363A">
            <w:pPr>
              <w:tabs>
                <w:tab w:val="num" w:pos="425"/>
              </w:tabs>
              <w:spacing w:after="100" w:line="240" w:lineRule="auto"/>
              <w:jc w:val="center"/>
              <w:rPr>
                <w:rFonts w:ascii="Verdana" w:hAnsi="Verdana"/>
                <w:noProof/>
                <w:sz w:val="16"/>
                <w:szCs w:val="16"/>
              </w:rPr>
            </w:pPr>
            <w:r w:rsidRPr="001816BC">
              <w:rPr>
                <w:rFonts w:ascii="Verdana" w:hAnsi="Verdana"/>
                <w:noProof/>
                <w:sz w:val="16"/>
                <w:szCs w:val="16"/>
              </w:rPr>
              <w:t>unknown</w:t>
            </w:r>
          </w:p>
        </w:tc>
        <w:tc>
          <w:tcPr>
            <w:tcW w:w="1134" w:type="dxa"/>
            <w:tcBorders>
              <w:top w:val="double" w:sz="4" w:space="0" w:color="auto"/>
            </w:tcBorders>
            <w:tcMar>
              <w:top w:w="57" w:type="dxa"/>
              <w:left w:w="57" w:type="dxa"/>
              <w:bottom w:w="57" w:type="dxa"/>
              <w:right w:w="57" w:type="dxa"/>
            </w:tcMar>
          </w:tcPr>
          <w:p w14:paraId="58264EDD"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1816BC">
              <w:rPr>
                <w:rFonts w:ascii="Verdana" w:hAnsi="Verdana"/>
                <w:noProof/>
                <w:sz w:val="16"/>
                <w:szCs w:val="16"/>
              </w:rPr>
              <w:t xml:space="preserve">Unknown </w:t>
            </w:r>
          </w:p>
        </w:tc>
        <w:tc>
          <w:tcPr>
            <w:tcW w:w="1276" w:type="dxa"/>
            <w:tcBorders>
              <w:top w:val="double" w:sz="4" w:space="0" w:color="auto"/>
            </w:tcBorders>
            <w:tcMar>
              <w:top w:w="57" w:type="dxa"/>
              <w:left w:w="57" w:type="dxa"/>
              <w:bottom w:w="57" w:type="dxa"/>
              <w:right w:w="57" w:type="dxa"/>
            </w:tcMar>
          </w:tcPr>
          <w:p w14:paraId="50AC6174"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1D598B">
              <w:rPr>
                <w:rFonts w:ascii="Verdana" w:hAnsi="Verdana"/>
                <w:noProof/>
                <w:sz w:val="16"/>
                <w:szCs w:val="16"/>
              </w:rPr>
              <w:t>Unknown</w:t>
            </w:r>
          </w:p>
        </w:tc>
      </w:tr>
      <w:tr w:rsidR="00EB363A" w:rsidRPr="00B10009" w14:paraId="15CA6713" w14:textId="77777777" w:rsidTr="00EB363A">
        <w:tc>
          <w:tcPr>
            <w:tcW w:w="2603" w:type="dxa"/>
            <w:tcBorders>
              <w:right w:val="double" w:sz="4" w:space="0" w:color="auto"/>
            </w:tcBorders>
            <w:tcMar>
              <w:top w:w="57" w:type="dxa"/>
              <w:left w:w="57" w:type="dxa"/>
              <w:bottom w:w="57" w:type="dxa"/>
              <w:right w:w="57" w:type="dxa"/>
            </w:tcMar>
          </w:tcPr>
          <w:p w14:paraId="6FA23BCA" w14:textId="77777777" w:rsidR="00EB363A" w:rsidRPr="00380EEA" w:rsidRDefault="00EB363A" w:rsidP="00EB363A">
            <w:pPr>
              <w:tabs>
                <w:tab w:val="num" w:pos="425"/>
              </w:tabs>
              <w:spacing w:after="100" w:line="240" w:lineRule="auto"/>
              <w:rPr>
                <w:rFonts w:ascii="Verdana" w:hAnsi="Verdana"/>
                <w:noProof/>
                <w:sz w:val="16"/>
                <w:szCs w:val="16"/>
                <w:lang w:val="it-IT"/>
              </w:rPr>
            </w:pPr>
            <w:r w:rsidRPr="00380EEA">
              <w:rPr>
                <w:rFonts w:ascii="Verdana" w:hAnsi="Verdana"/>
                <w:noProof/>
                <w:sz w:val="16"/>
                <w:szCs w:val="16"/>
                <w:lang w:val="it-IT"/>
              </w:rPr>
              <w:t>SIENA integration in PCCCs  CMSs</w:t>
            </w:r>
          </w:p>
        </w:tc>
        <w:tc>
          <w:tcPr>
            <w:tcW w:w="1134" w:type="dxa"/>
            <w:tcBorders>
              <w:top w:val="double" w:sz="4" w:space="0" w:color="auto"/>
              <w:left w:val="double" w:sz="4" w:space="0" w:color="auto"/>
            </w:tcBorders>
            <w:tcMar>
              <w:top w:w="57" w:type="dxa"/>
              <w:left w:w="57" w:type="dxa"/>
              <w:bottom w:w="57" w:type="dxa"/>
              <w:right w:w="57" w:type="dxa"/>
            </w:tcMar>
          </w:tcPr>
          <w:p w14:paraId="3DDC968A"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46" w:type="dxa"/>
            <w:tcBorders>
              <w:top w:val="double" w:sz="4" w:space="0" w:color="auto"/>
            </w:tcBorders>
            <w:tcMar>
              <w:top w:w="57" w:type="dxa"/>
              <w:left w:w="57" w:type="dxa"/>
              <w:bottom w:w="57" w:type="dxa"/>
              <w:right w:w="57" w:type="dxa"/>
            </w:tcMar>
          </w:tcPr>
          <w:p w14:paraId="52881269"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18" w:type="dxa"/>
            <w:tcBorders>
              <w:top w:val="double" w:sz="4" w:space="0" w:color="auto"/>
            </w:tcBorders>
            <w:tcMar>
              <w:top w:w="57" w:type="dxa"/>
              <w:left w:w="57" w:type="dxa"/>
              <w:bottom w:w="57" w:type="dxa"/>
              <w:right w:w="57" w:type="dxa"/>
            </w:tcMar>
          </w:tcPr>
          <w:p w14:paraId="49371DA9"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1816BC">
              <w:rPr>
                <w:rFonts w:ascii="Verdana" w:hAnsi="Verdana"/>
                <w:noProof/>
                <w:sz w:val="16"/>
                <w:szCs w:val="16"/>
              </w:rPr>
              <w:t>EUR 2.</w:t>
            </w:r>
            <w:r>
              <w:rPr>
                <w:rFonts w:ascii="Verdana" w:hAnsi="Verdana"/>
                <w:noProof/>
                <w:sz w:val="16"/>
                <w:szCs w:val="16"/>
              </w:rPr>
              <w:t>25</w:t>
            </w:r>
            <w:r w:rsidRPr="001816BC">
              <w:rPr>
                <w:rFonts w:ascii="Verdana" w:hAnsi="Verdana"/>
                <w:noProof/>
                <w:sz w:val="16"/>
                <w:szCs w:val="16"/>
              </w:rPr>
              <w:t>m</w:t>
            </w:r>
            <w:r>
              <w:rPr>
                <w:rStyle w:val="FootnoteReference"/>
                <w:rFonts w:ascii="Verdana" w:hAnsi="Verdana"/>
                <w:noProof/>
                <w:sz w:val="16"/>
                <w:szCs w:val="16"/>
              </w:rPr>
              <w:footnoteReference w:id="166"/>
            </w:r>
          </w:p>
        </w:tc>
        <w:tc>
          <w:tcPr>
            <w:tcW w:w="1417" w:type="dxa"/>
            <w:tcBorders>
              <w:top w:val="double" w:sz="4" w:space="0" w:color="auto"/>
            </w:tcBorders>
            <w:tcMar>
              <w:top w:w="57" w:type="dxa"/>
              <w:left w:w="57" w:type="dxa"/>
              <w:bottom w:w="57" w:type="dxa"/>
              <w:right w:w="57" w:type="dxa"/>
            </w:tcMar>
          </w:tcPr>
          <w:p w14:paraId="7336E31F" w14:textId="77777777" w:rsidR="00EB363A" w:rsidRPr="001816BC" w:rsidRDefault="00EB363A" w:rsidP="00EB363A">
            <w:pPr>
              <w:tabs>
                <w:tab w:val="num" w:pos="425"/>
              </w:tabs>
              <w:spacing w:after="100" w:line="240" w:lineRule="auto"/>
              <w:jc w:val="center"/>
              <w:rPr>
                <w:rFonts w:ascii="Verdana" w:hAnsi="Verdana"/>
                <w:noProof/>
                <w:sz w:val="16"/>
                <w:szCs w:val="16"/>
              </w:rPr>
            </w:pPr>
            <w:r w:rsidRPr="001816BC">
              <w:rPr>
                <w:rFonts w:ascii="Verdana" w:hAnsi="Verdana"/>
                <w:noProof/>
                <w:sz w:val="16"/>
                <w:szCs w:val="16"/>
              </w:rPr>
              <w:t xml:space="preserve">unknown </w:t>
            </w:r>
          </w:p>
        </w:tc>
        <w:tc>
          <w:tcPr>
            <w:tcW w:w="1134" w:type="dxa"/>
            <w:tcBorders>
              <w:top w:val="double" w:sz="4" w:space="0" w:color="auto"/>
            </w:tcBorders>
            <w:tcMar>
              <w:top w:w="57" w:type="dxa"/>
              <w:left w:w="57" w:type="dxa"/>
              <w:bottom w:w="57" w:type="dxa"/>
              <w:right w:w="57" w:type="dxa"/>
            </w:tcMar>
          </w:tcPr>
          <w:p w14:paraId="1BB4053D"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1816BC">
              <w:rPr>
                <w:rFonts w:ascii="Verdana" w:hAnsi="Verdana"/>
                <w:noProof/>
                <w:sz w:val="16"/>
                <w:szCs w:val="16"/>
              </w:rPr>
              <w:t xml:space="preserve">Unknown </w:t>
            </w:r>
          </w:p>
        </w:tc>
        <w:tc>
          <w:tcPr>
            <w:tcW w:w="1276" w:type="dxa"/>
            <w:tcBorders>
              <w:top w:val="double" w:sz="4" w:space="0" w:color="auto"/>
            </w:tcBorders>
            <w:tcMar>
              <w:top w:w="57" w:type="dxa"/>
              <w:left w:w="57" w:type="dxa"/>
              <w:bottom w:w="57" w:type="dxa"/>
              <w:right w:w="57" w:type="dxa"/>
            </w:tcMar>
          </w:tcPr>
          <w:p w14:paraId="6439BB11"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1D598B">
              <w:rPr>
                <w:rFonts w:ascii="Verdana" w:hAnsi="Verdana"/>
                <w:noProof/>
                <w:sz w:val="16"/>
                <w:szCs w:val="16"/>
              </w:rPr>
              <w:t>Unknown</w:t>
            </w:r>
            <w:r w:rsidRPr="00E559F9">
              <w:rPr>
                <w:rFonts w:ascii="Verdana" w:hAnsi="Verdana"/>
                <w:noProof/>
                <w:sz w:val="16"/>
                <w:szCs w:val="16"/>
                <w:highlight w:val="yellow"/>
              </w:rPr>
              <w:t xml:space="preserve"> </w:t>
            </w:r>
          </w:p>
        </w:tc>
      </w:tr>
      <w:tr w:rsidR="00EB363A" w:rsidRPr="00B10009" w14:paraId="53DDF14A" w14:textId="77777777" w:rsidTr="00EB363A">
        <w:tc>
          <w:tcPr>
            <w:tcW w:w="2603" w:type="dxa"/>
            <w:tcBorders>
              <w:right w:val="double" w:sz="4" w:space="0" w:color="auto"/>
            </w:tcBorders>
            <w:tcMar>
              <w:top w:w="57" w:type="dxa"/>
              <w:left w:w="57" w:type="dxa"/>
              <w:bottom w:w="57" w:type="dxa"/>
              <w:right w:w="57" w:type="dxa"/>
            </w:tcMar>
          </w:tcPr>
          <w:p w14:paraId="10E10CF6" w14:textId="77777777" w:rsidR="00EB363A" w:rsidRPr="00C97880" w:rsidRDefault="00EB363A" w:rsidP="00EB363A">
            <w:pPr>
              <w:tabs>
                <w:tab w:val="num" w:pos="425"/>
              </w:tabs>
              <w:spacing w:after="100" w:line="240" w:lineRule="auto"/>
              <w:rPr>
                <w:rFonts w:ascii="Verdana" w:hAnsi="Verdana"/>
                <w:noProof/>
                <w:sz w:val="16"/>
                <w:szCs w:val="16"/>
              </w:rPr>
            </w:pPr>
            <w:r w:rsidRPr="00C97880">
              <w:rPr>
                <w:rFonts w:ascii="Verdana" w:hAnsi="Verdana"/>
                <w:noProof/>
                <w:sz w:val="16"/>
                <w:szCs w:val="16"/>
              </w:rPr>
              <w:t xml:space="preserve">Europol (including both policy options </w:t>
            </w:r>
            <w:r>
              <w:rPr>
                <w:rFonts w:ascii="Verdana" w:hAnsi="Verdana"/>
                <w:noProof/>
                <w:sz w:val="16"/>
                <w:szCs w:val="16"/>
              </w:rPr>
              <w:t>3.2 &amp;</w:t>
            </w:r>
            <w:r w:rsidR="00D865F6">
              <w:rPr>
                <w:rFonts w:ascii="Verdana" w:hAnsi="Verdana"/>
                <w:noProof/>
                <w:sz w:val="16"/>
                <w:szCs w:val="16"/>
              </w:rPr>
              <w:t xml:space="preserve"> </w:t>
            </w:r>
            <w:r>
              <w:rPr>
                <w:rFonts w:ascii="Verdana" w:hAnsi="Verdana"/>
                <w:noProof/>
                <w:sz w:val="16"/>
                <w:szCs w:val="16"/>
              </w:rPr>
              <w:t>3.3)</w:t>
            </w:r>
            <w:r w:rsidRPr="00C97880">
              <w:rPr>
                <w:rFonts w:ascii="Verdana" w:hAnsi="Verdana"/>
                <w:noProof/>
                <w:sz w:val="16"/>
                <w:szCs w:val="16"/>
              </w:rPr>
              <w:t xml:space="preserve"> </w:t>
            </w:r>
          </w:p>
        </w:tc>
        <w:tc>
          <w:tcPr>
            <w:tcW w:w="1134" w:type="dxa"/>
            <w:tcBorders>
              <w:left w:val="double" w:sz="4" w:space="0" w:color="auto"/>
            </w:tcBorders>
            <w:tcMar>
              <w:top w:w="57" w:type="dxa"/>
              <w:left w:w="57" w:type="dxa"/>
              <w:bottom w:w="57" w:type="dxa"/>
              <w:right w:w="57" w:type="dxa"/>
            </w:tcMar>
          </w:tcPr>
          <w:p w14:paraId="24BAF0AB"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46" w:type="dxa"/>
            <w:tcMar>
              <w:top w:w="57" w:type="dxa"/>
              <w:left w:w="57" w:type="dxa"/>
              <w:bottom w:w="57" w:type="dxa"/>
              <w:right w:w="57" w:type="dxa"/>
            </w:tcMar>
          </w:tcPr>
          <w:p w14:paraId="32AF858C" w14:textId="77777777" w:rsidR="00EB363A" w:rsidRPr="00C97880" w:rsidRDefault="00EB363A" w:rsidP="00EB363A">
            <w:pPr>
              <w:tabs>
                <w:tab w:val="num" w:pos="425"/>
              </w:tabs>
              <w:spacing w:after="100" w:line="240" w:lineRule="auto"/>
              <w:jc w:val="center"/>
              <w:rPr>
                <w:rFonts w:ascii="Verdana" w:hAnsi="Verdana"/>
                <w:noProof/>
                <w:sz w:val="16"/>
                <w:szCs w:val="16"/>
              </w:rPr>
            </w:pPr>
            <w:r w:rsidRPr="00C97880">
              <w:rPr>
                <w:rFonts w:ascii="Verdana" w:hAnsi="Verdana"/>
                <w:noProof/>
                <w:sz w:val="16"/>
                <w:szCs w:val="16"/>
              </w:rPr>
              <w:t>0</w:t>
            </w:r>
          </w:p>
        </w:tc>
        <w:tc>
          <w:tcPr>
            <w:tcW w:w="1418" w:type="dxa"/>
            <w:tcMar>
              <w:top w:w="57" w:type="dxa"/>
              <w:left w:w="57" w:type="dxa"/>
              <w:bottom w:w="57" w:type="dxa"/>
              <w:right w:w="57" w:type="dxa"/>
            </w:tcMar>
          </w:tcPr>
          <w:p w14:paraId="12A312E5"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1816BC">
              <w:rPr>
                <w:rFonts w:ascii="Verdana" w:hAnsi="Verdana"/>
                <w:noProof/>
                <w:sz w:val="16"/>
                <w:szCs w:val="16"/>
              </w:rPr>
              <w:t>0</w:t>
            </w:r>
          </w:p>
        </w:tc>
        <w:tc>
          <w:tcPr>
            <w:tcW w:w="1417" w:type="dxa"/>
            <w:tcMar>
              <w:top w:w="57" w:type="dxa"/>
              <w:left w:w="57" w:type="dxa"/>
              <w:bottom w:w="57" w:type="dxa"/>
              <w:right w:w="57" w:type="dxa"/>
            </w:tcMar>
          </w:tcPr>
          <w:p w14:paraId="1518962A" w14:textId="77777777" w:rsidR="00EB363A" w:rsidRPr="001816BC" w:rsidRDefault="00EB363A" w:rsidP="00EB363A">
            <w:pPr>
              <w:tabs>
                <w:tab w:val="num" w:pos="425"/>
              </w:tabs>
              <w:spacing w:after="100" w:line="240" w:lineRule="auto"/>
              <w:jc w:val="center"/>
              <w:rPr>
                <w:rFonts w:ascii="Verdana" w:hAnsi="Verdana"/>
                <w:noProof/>
                <w:sz w:val="16"/>
                <w:szCs w:val="16"/>
              </w:rPr>
            </w:pPr>
            <w:r>
              <w:rPr>
                <w:rFonts w:ascii="Verdana" w:hAnsi="Verdana"/>
                <w:noProof/>
                <w:sz w:val="16"/>
                <w:szCs w:val="16"/>
              </w:rPr>
              <w:t xml:space="preserve">0 </w:t>
            </w:r>
          </w:p>
        </w:tc>
        <w:tc>
          <w:tcPr>
            <w:tcW w:w="1134" w:type="dxa"/>
            <w:tcMar>
              <w:top w:w="57" w:type="dxa"/>
              <w:left w:w="57" w:type="dxa"/>
              <w:bottom w:w="57" w:type="dxa"/>
              <w:right w:w="57" w:type="dxa"/>
            </w:tcMar>
          </w:tcPr>
          <w:p w14:paraId="6B457ADC" w14:textId="77777777" w:rsidR="00EB363A" w:rsidRPr="00E559F9" w:rsidRDefault="00EB363A" w:rsidP="00EB363A">
            <w:pPr>
              <w:tabs>
                <w:tab w:val="num" w:pos="425"/>
              </w:tabs>
              <w:spacing w:after="100" w:line="240" w:lineRule="auto"/>
              <w:jc w:val="center"/>
              <w:rPr>
                <w:rFonts w:ascii="Verdana" w:hAnsi="Verdana"/>
                <w:noProof/>
                <w:sz w:val="16"/>
                <w:szCs w:val="16"/>
                <w:highlight w:val="yellow"/>
              </w:rPr>
            </w:pPr>
            <w:r w:rsidRPr="001D598B">
              <w:rPr>
                <w:rFonts w:ascii="Verdana" w:hAnsi="Verdana"/>
                <w:noProof/>
                <w:sz w:val="16"/>
                <w:szCs w:val="16"/>
              </w:rPr>
              <w:t>Unknown</w:t>
            </w:r>
            <w:r w:rsidRPr="00E559F9">
              <w:rPr>
                <w:rFonts w:ascii="Verdana" w:hAnsi="Verdana"/>
                <w:noProof/>
                <w:sz w:val="16"/>
                <w:szCs w:val="16"/>
                <w:highlight w:val="yellow"/>
              </w:rPr>
              <w:t xml:space="preserve"> </w:t>
            </w:r>
          </w:p>
        </w:tc>
        <w:tc>
          <w:tcPr>
            <w:tcW w:w="1276" w:type="dxa"/>
            <w:tcMar>
              <w:top w:w="57" w:type="dxa"/>
              <w:left w:w="57" w:type="dxa"/>
              <w:bottom w:w="57" w:type="dxa"/>
              <w:right w:w="57" w:type="dxa"/>
            </w:tcMar>
          </w:tcPr>
          <w:p w14:paraId="63872D33" w14:textId="77777777" w:rsidR="00EB363A" w:rsidRPr="00E559F9" w:rsidRDefault="00EB363A" w:rsidP="00367356">
            <w:pPr>
              <w:tabs>
                <w:tab w:val="num" w:pos="425"/>
              </w:tabs>
              <w:spacing w:after="100" w:line="240" w:lineRule="auto"/>
              <w:jc w:val="center"/>
              <w:rPr>
                <w:rFonts w:ascii="Verdana" w:hAnsi="Verdana"/>
                <w:noProof/>
                <w:sz w:val="16"/>
                <w:szCs w:val="16"/>
                <w:highlight w:val="yellow"/>
              </w:rPr>
            </w:pPr>
            <w:r w:rsidRPr="001D598B">
              <w:rPr>
                <w:rFonts w:ascii="Verdana" w:hAnsi="Verdana"/>
                <w:noProof/>
                <w:sz w:val="16"/>
                <w:szCs w:val="16"/>
              </w:rPr>
              <w:t xml:space="preserve"> </w:t>
            </w:r>
            <w:r>
              <w:rPr>
                <w:rFonts w:ascii="Verdana" w:hAnsi="Verdana"/>
                <w:noProof/>
                <w:sz w:val="16"/>
                <w:szCs w:val="16"/>
              </w:rPr>
              <w:t xml:space="preserve"> </w:t>
            </w:r>
            <w:r w:rsidR="00D865F6">
              <w:rPr>
                <w:rFonts w:ascii="Verdana" w:hAnsi="Verdana"/>
                <w:noProof/>
                <w:sz w:val="16"/>
                <w:szCs w:val="16"/>
              </w:rPr>
              <w:t xml:space="preserve">EUR 1.7m </w:t>
            </w:r>
            <w:r w:rsidR="00D865F6">
              <w:rPr>
                <w:rFonts w:ascii="Verdana" w:hAnsi="Verdana"/>
                <w:noProof/>
                <w:sz w:val="16"/>
                <w:szCs w:val="16"/>
              </w:rPr>
              <w:br/>
              <w:t>a</w:t>
            </w:r>
            <w:r>
              <w:rPr>
                <w:rFonts w:ascii="Verdana" w:hAnsi="Verdana"/>
                <w:noProof/>
                <w:sz w:val="16"/>
                <w:szCs w:val="16"/>
              </w:rPr>
              <w:t>s part of Agency' budget</w:t>
            </w:r>
          </w:p>
        </w:tc>
      </w:tr>
      <w:tr w:rsidR="00EB363A" w:rsidRPr="00B10009" w14:paraId="09831C98" w14:textId="77777777" w:rsidTr="00EB363A">
        <w:tc>
          <w:tcPr>
            <w:tcW w:w="2603" w:type="dxa"/>
            <w:tcBorders>
              <w:right w:val="double" w:sz="4" w:space="0" w:color="auto"/>
            </w:tcBorders>
            <w:shd w:val="clear" w:color="auto" w:fill="E7E6E6" w:themeFill="background2"/>
            <w:tcMar>
              <w:top w:w="57" w:type="dxa"/>
              <w:left w:w="57" w:type="dxa"/>
              <w:bottom w:w="57" w:type="dxa"/>
              <w:right w:w="57" w:type="dxa"/>
            </w:tcMar>
          </w:tcPr>
          <w:p w14:paraId="047E9614" w14:textId="77777777" w:rsidR="00EB363A" w:rsidRPr="00C97880" w:rsidRDefault="00EB363A" w:rsidP="00EB363A">
            <w:pPr>
              <w:tabs>
                <w:tab w:val="num" w:pos="425"/>
              </w:tabs>
              <w:spacing w:after="100" w:line="240" w:lineRule="auto"/>
              <w:rPr>
                <w:rFonts w:ascii="Verdana" w:hAnsi="Verdana"/>
                <w:b/>
                <w:i/>
                <w:noProof/>
                <w:sz w:val="16"/>
                <w:szCs w:val="16"/>
              </w:rPr>
            </w:pPr>
            <w:r w:rsidRPr="00C97880">
              <w:rPr>
                <w:rFonts w:ascii="Verdana" w:hAnsi="Verdana"/>
                <w:b/>
                <w:i/>
                <w:noProof/>
                <w:sz w:val="16"/>
                <w:szCs w:val="16"/>
              </w:rPr>
              <w:t>Total</w:t>
            </w:r>
          </w:p>
        </w:tc>
        <w:tc>
          <w:tcPr>
            <w:tcW w:w="1134" w:type="dxa"/>
            <w:tcBorders>
              <w:left w:val="double" w:sz="4" w:space="0" w:color="auto"/>
            </w:tcBorders>
            <w:shd w:val="clear" w:color="auto" w:fill="E7E6E6" w:themeFill="background2"/>
            <w:tcMar>
              <w:top w:w="57" w:type="dxa"/>
              <w:left w:w="57" w:type="dxa"/>
              <w:bottom w:w="57" w:type="dxa"/>
              <w:right w:w="57" w:type="dxa"/>
            </w:tcMar>
          </w:tcPr>
          <w:p w14:paraId="075029DA" w14:textId="77777777" w:rsidR="00EB363A" w:rsidRPr="00C97880" w:rsidRDefault="00EB363A" w:rsidP="00EB363A">
            <w:pPr>
              <w:tabs>
                <w:tab w:val="num" w:pos="425"/>
              </w:tabs>
              <w:spacing w:after="100" w:line="240" w:lineRule="auto"/>
              <w:jc w:val="center"/>
              <w:rPr>
                <w:rFonts w:ascii="Verdana" w:hAnsi="Verdana"/>
                <w:b/>
                <w:i/>
                <w:noProof/>
                <w:sz w:val="16"/>
                <w:szCs w:val="16"/>
              </w:rPr>
            </w:pPr>
            <w:r w:rsidRPr="00C97880">
              <w:rPr>
                <w:rFonts w:ascii="Verdana" w:hAnsi="Verdana"/>
                <w:b/>
                <w:i/>
                <w:noProof/>
                <w:sz w:val="16"/>
                <w:szCs w:val="16"/>
              </w:rPr>
              <w:t>0</w:t>
            </w:r>
          </w:p>
        </w:tc>
        <w:tc>
          <w:tcPr>
            <w:tcW w:w="1446" w:type="dxa"/>
            <w:shd w:val="clear" w:color="auto" w:fill="E7E6E6" w:themeFill="background2"/>
            <w:tcMar>
              <w:top w:w="57" w:type="dxa"/>
              <w:left w:w="57" w:type="dxa"/>
              <w:bottom w:w="57" w:type="dxa"/>
              <w:right w:w="57" w:type="dxa"/>
            </w:tcMar>
          </w:tcPr>
          <w:p w14:paraId="29624698" w14:textId="77777777" w:rsidR="00EB363A" w:rsidRPr="00C97880" w:rsidRDefault="00EB363A" w:rsidP="00EB363A">
            <w:pPr>
              <w:tabs>
                <w:tab w:val="num" w:pos="425"/>
              </w:tabs>
              <w:spacing w:after="100" w:line="240" w:lineRule="auto"/>
              <w:jc w:val="center"/>
              <w:rPr>
                <w:rFonts w:ascii="Verdana" w:hAnsi="Verdana"/>
                <w:b/>
                <w:i/>
                <w:noProof/>
                <w:sz w:val="16"/>
                <w:szCs w:val="16"/>
              </w:rPr>
            </w:pPr>
            <w:r w:rsidRPr="00C97880">
              <w:rPr>
                <w:rFonts w:ascii="Verdana" w:hAnsi="Verdana"/>
                <w:b/>
                <w:i/>
                <w:noProof/>
                <w:sz w:val="16"/>
                <w:szCs w:val="16"/>
              </w:rPr>
              <w:t>0</w:t>
            </w:r>
          </w:p>
        </w:tc>
        <w:tc>
          <w:tcPr>
            <w:tcW w:w="1418" w:type="dxa"/>
            <w:shd w:val="clear" w:color="auto" w:fill="E7E6E6" w:themeFill="background2"/>
            <w:tcMar>
              <w:top w:w="57" w:type="dxa"/>
              <w:left w:w="57" w:type="dxa"/>
              <w:bottom w:w="57" w:type="dxa"/>
              <w:right w:w="57" w:type="dxa"/>
            </w:tcMar>
          </w:tcPr>
          <w:p w14:paraId="3A3B0A1D" w14:textId="77777777" w:rsidR="00EB363A" w:rsidRPr="00C97880" w:rsidRDefault="00EB363A" w:rsidP="00EB363A">
            <w:pPr>
              <w:tabs>
                <w:tab w:val="num" w:pos="425"/>
              </w:tabs>
              <w:spacing w:after="100" w:line="240" w:lineRule="auto"/>
              <w:jc w:val="center"/>
              <w:rPr>
                <w:rFonts w:ascii="Verdana" w:hAnsi="Verdana"/>
                <w:b/>
                <w:i/>
                <w:noProof/>
                <w:sz w:val="16"/>
                <w:szCs w:val="16"/>
              </w:rPr>
            </w:pPr>
            <w:r>
              <w:rPr>
                <w:rFonts w:ascii="Verdana" w:hAnsi="Verdana"/>
                <w:b/>
                <w:i/>
                <w:noProof/>
                <w:sz w:val="16"/>
                <w:szCs w:val="16"/>
              </w:rPr>
              <w:t>€11</w:t>
            </w:r>
            <w:r w:rsidRPr="00C97880">
              <w:rPr>
                <w:rFonts w:ascii="Verdana" w:hAnsi="Verdana"/>
                <w:b/>
                <w:i/>
                <w:noProof/>
                <w:sz w:val="16"/>
                <w:szCs w:val="16"/>
              </w:rPr>
              <w:t>.</w:t>
            </w:r>
            <w:r>
              <w:rPr>
                <w:rFonts w:ascii="Verdana" w:hAnsi="Verdana"/>
                <w:b/>
                <w:i/>
                <w:noProof/>
                <w:sz w:val="16"/>
                <w:szCs w:val="16"/>
              </w:rPr>
              <w:t>5</w:t>
            </w:r>
            <w:r w:rsidRPr="00C97880">
              <w:rPr>
                <w:rFonts w:ascii="Verdana" w:hAnsi="Verdana"/>
                <w:b/>
                <w:i/>
                <w:noProof/>
                <w:sz w:val="16"/>
                <w:szCs w:val="16"/>
              </w:rPr>
              <w:t>m</w:t>
            </w:r>
          </w:p>
        </w:tc>
        <w:tc>
          <w:tcPr>
            <w:tcW w:w="1417" w:type="dxa"/>
            <w:shd w:val="clear" w:color="auto" w:fill="E7E6E6" w:themeFill="background2"/>
            <w:tcMar>
              <w:top w:w="57" w:type="dxa"/>
              <w:left w:w="57" w:type="dxa"/>
              <w:bottom w:w="57" w:type="dxa"/>
              <w:right w:w="57" w:type="dxa"/>
            </w:tcMar>
          </w:tcPr>
          <w:p w14:paraId="05FFCCA9" w14:textId="77777777" w:rsidR="00EB363A" w:rsidRPr="00993919" w:rsidRDefault="00EB363A" w:rsidP="00EB363A">
            <w:pPr>
              <w:tabs>
                <w:tab w:val="num" w:pos="425"/>
              </w:tabs>
              <w:spacing w:after="100" w:line="240" w:lineRule="auto"/>
              <w:jc w:val="center"/>
              <w:rPr>
                <w:rFonts w:ascii="Verdana" w:hAnsi="Verdana"/>
                <w:b/>
                <w:i/>
                <w:noProof/>
                <w:sz w:val="16"/>
                <w:szCs w:val="16"/>
              </w:rPr>
            </w:pPr>
            <w:r w:rsidRPr="00400B95">
              <w:rPr>
                <w:rFonts w:ascii="Verdana" w:hAnsi="Verdana"/>
                <w:b/>
                <w:i/>
                <w:noProof/>
                <w:sz w:val="16"/>
                <w:szCs w:val="16"/>
              </w:rPr>
              <w:t>unknown</w:t>
            </w:r>
          </w:p>
        </w:tc>
        <w:tc>
          <w:tcPr>
            <w:tcW w:w="1134" w:type="dxa"/>
            <w:shd w:val="clear" w:color="auto" w:fill="E7E6E6" w:themeFill="background2"/>
            <w:tcMar>
              <w:top w:w="57" w:type="dxa"/>
              <w:left w:w="57" w:type="dxa"/>
              <w:bottom w:w="57" w:type="dxa"/>
              <w:right w:w="57" w:type="dxa"/>
            </w:tcMar>
          </w:tcPr>
          <w:p w14:paraId="415B25DE" w14:textId="77777777" w:rsidR="00EB363A" w:rsidRPr="00993919" w:rsidRDefault="00EB363A" w:rsidP="00EB363A">
            <w:pPr>
              <w:tabs>
                <w:tab w:val="num" w:pos="425"/>
              </w:tabs>
              <w:spacing w:after="100" w:line="240" w:lineRule="auto"/>
              <w:jc w:val="center"/>
              <w:rPr>
                <w:rFonts w:ascii="Verdana" w:hAnsi="Verdana"/>
                <w:b/>
                <w:i/>
                <w:noProof/>
                <w:sz w:val="16"/>
                <w:szCs w:val="16"/>
              </w:rPr>
            </w:pPr>
            <w:r w:rsidRPr="00400B95">
              <w:rPr>
                <w:rFonts w:ascii="Verdana" w:hAnsi="Verdana"/>
                <w:b/>
                <w:i/>
                <w:noProof/>
                <w:sz w:val="16"/>
                <w:szCs w:val="16"/>
              </w:rPr>
              <w:t>unknown</w:t>
            </w:r>
          </w:p>
        </w:tc>
        <w:tc>
          <w:tcPr>
            <w:tcW w:w="1276" w:type="dxa"/>
            <w:shd w:val="clear" w:color="auto" w:fill="E7E6E6" w:themeFill="background2"/>
            <w:tcMar>
              <w:top w:w="57" w:type="dxa"/>
              <w:left w:w="57" w:type="dxa"/>
              <w:bottom w:w="57" w:type="dxa"/>
              <w:right w:w="57" w:type="dxa"/>
            </w:tcMar>
          </w:tcPr>
          <w:p w14:paraId="60C89182" w14:textId="77777777" w:rsidR="00EB363A" w:rsidRPr="00993919" w:rsidRDefault="00EB363A" w:rsidP="00EB363A">
            <w:pPr>
              <w:tabs>
                <w:tab w:val="num" w:pos="425"/>
              </w:tabs>
              <w:spacing w:after="100" w:line="240" w:lineRule="auto"/>
              <w:jc w:val="center"/>
              <w:rPr>
                <w:rFonts w:ascii="Verdana" w:hAnsi="Verdana"/>
                <w:b/>
                <w:i/>
                <w:noProof/>
                <w:sz w:val="16"/>
                <w:szCs w:val="16"/>
              </w:rPr>
            </w:pPr>
            <w:r w:rsidRPr="00400B95">
              <w:rPr>
                <w:rFonts w:ascii="Verdana" w:hAnsi="Verdana"/>
                <w:b/>
                <w:i/>
                <w:noProof/>
                <w:sz w:val="16"/>
                <w:szCs w:val="16"/>
              </w:rPr>
              <w:t>unknown</w:t>
            </w:r>
          </w:p>
        </w:tc>
      </w:tr>
      <w:tr w:rsidR="00EB363A" w:rsidRPr="00B10009" w14:paraId="63452684" w14:textId="77777777" w:rsidTr="00EB363A">
        <w:tc>
          <w:tcPr>
            <w:tcW w:w="10428" w:type="dxa"/>
            <w:gridSpan w:val="7"/>
            <w:shd w:val="clear" w:color="auto" w:fill="E7E6E6" w:themeFill="background2"/>
            <w:tcMar>
              <w:top w:w="57" w:type="dxa"/>
              <w:left w:w="57" w:type="dxa"/>
              <w:bottom w:w="57" w:type="dxa"/>
              <w:right w:w="57" w:type="dxa"/>
            </w:tcMar>
          </w:tcPr>
          <w:p w14:paraId="05ECAA12" w14:textId="77777777" w:rsidR="00EB363A" w:rsidRPr="00C97880" w:rsidRDefault="00EB363A" w:rsidP="00EB363A">
            <w:pPr>
              <w:tabs>
                <w:tab w:val="num" w:pos="425"/>
              </w:tabs>
              <w:spacing w:after="100" w:line="240" w:lineRule="auto"/>
              <w:rPr>
                <w:rFonts w:ascii="Verdana" w:hAnsi="Verdana"/>
                <w:b/>
                <w:i/>
                <w:noProof/>
                <w:sz w:val="16"/>
                <w:szCs w:val="16"/>
              </w:rPr>
            </w:pPr>
            <w:r w:rsidRPr="00C97880">
              <w:rPr>
                <w:rFonts w:ascii="Verdana" w:hAnsi="Verdana"/>
                <w:b/>
                <w:i/>
                <w:noProof/>
                <w:sz w:val="16"/>
                <w:szCs w:val="16"/>
              </w:rPr>
              <w:t xml:space="preserve">Indirect </w:t>
            </w:r>
            <w:r w:rsidRPr="00C97880">
              <w:rPr>
                <w:rFonts w:ascii="Verdana" w:hAnsi="Verdana"/>
                <w:b/>
                <w:i/>
                <w:noProof/>
                <w:sz w:val="16"/>
                <w:szCs w:val="16"/>
                <w:shd w:val="clear" w:color="auto" w:fill="E7E6E6" w:themeFill="background2"/>
              </w:rPr>
              <w:t>costs</w:t>
            </w:r>
          </w:p>
        </w:tc>
      </w:tr>
      <w:tr w:rsidR="00EB363A" w:rsidRPr="00B10009" w14:paraId="03BCE526" w14:textId="77777777" w:rsidTr="00EB363A">
        <w:tc>
          <w:tcPr>
            <w:tcW w:w="2603" w:type="dxa"/>
            <w:tcBorders>
              <w:right w:val="double" w:sz="4" w:space="0" w:color="auto"/>
            </w:tcBorders>
            <w:tcMar>
              <w:top w:w="57" w:type="dxa"/>
              <w:left w:w="57" w:type="dxa"/>
              <w:bottom w:w="57" w:type="dxa"/>
              <w:right w:w="57" w:type="dxa"/>
            </w:tcMar>
          </w:tcPr>
          <w:p w14:paraId="6EE375B5" w14:textId="77777777" w:rsidR="00EB363A" w:rsidRPr="00C97880" w:rsidRDefault="00EB363A" w:rsidP="00EB363A">
            <w:pPr>
              <w:tabs>
                <w:tab w:val="num" w:pos="425"/>
              </w:tabs>
              <w:spacing w:after="100" w:line="240" w:lineRule="auto"/>
              <w:rPr>
                <w:rFonts w:ascii="Verdana" w:hAnsi="Verdana"/>
                <w:noProof/>
                <w:sz w:val="16"/>
                <w:szCs w:val="16"/>
              </w:rPr>
            </w:pPr>
            <w:r>
              <w:rPr>
                <w:rFonts w:ascii="Verdana" w:hAnsi="Verdana"/>
                <w:noProof/>
                <w:sz w:val="16"/>
                <w:szCs w:val="16"/>
              </w:rPr>
              <w:t>Training</w:t>
            </w:r>
          </w:p>
        </w:tc>
        <w:tc>
          <w:tcPr>
            <w:tcW w:w="1134" w:type="dxa"/>
            <w:tcBorders>
              <w:left w:val="double" w:sz="4" w:space="0" w:color="auto"/>
            </w:tcBorders>
            <w:tcMar>
              <w:top w:w="57" w:type="dxa"/>
              <w:left w:w="57" w:type="dxa"/>
              <w:bottom w:w="57" w:type="dxa"/>
              <w:right w:w="57" w:type="dxa"/>
            </w:tcMar>
          </w:tcPr>
          <w:p w14:paraId="2727A634" w14:textId="77777777" w:rsidR="00EB363A" w:rsidRPr="00C97880" w:rsidRDefault="00EB363A" w:rsidP="00EB363A">
            <w:pPr>
              <w:tabs>
                <w:tab w:val="num" w:pos="425"/>
              </w:tabs>
              <w:spacing w:after="100" w:line="240" w:lineRule="auto"/>
              <w:jc w:val="center"/>
              <w:rPr>
                <w:rFonts w:ascii="Verdana" w:hAnsi="Verdana"/>
                <w:noProof/>
                <w:sz w:val="16"/>
                <w:szCs w:val="16"/>
              </w:rPr>
            </w:pPr>
            <w:r>
              <w:rPr>
                <w:rFonts w:ascii="Verdana" w:hAnsi="Verdana"/>
                <w:noProof/>
                <w:sz w:val="16"/>
                <w:szCs w:val="16"/>
              </w:rPr>
              <w:t>0</w:t>
            </w:r>
          </w:p>
        </w:tc>
        <w:tc>
          <w:tcPr>
            <w:tcW w:w="1446" w:type="dxa"/>
            <w:tcMar>
              <w:top w:w="57" w:type="dxa"/>
              <w:left w:w="57" w:type="dxa"/>
              <w:bottom w:w="57" w:type="dxa"/>
              <w:right w:w="57" w:type="dxa"/>
            </w:tcMar>
          </w:tcPr>
          <w:p w14:paraId="371FDFB3" w14:textId="77777777" w:rsidR="00EB363A" w:rsidRPr="00C97880" w:rsidRDefault="00EB363A" w:rsidP="00EB363A">
            <w:pPr>
              <w:tabs>
                <w:tab w:val="num" w:pos="425"/>
              </w:tabs>
              <w:spacing w:after="100" w:line="240" w:lineRule="auto"/>
              <w:jc w:val="center"/>
              <w:rPr>
                <w:rFonts w:ascii="Verdana" w:hAnsi="Verdana"/>
                <w:noProof/>
                <w:sz w:val="16"/>
                <w:szCs w:val="16"/>
              </w:rPr>
            </w:pPr>
            <w:r>
              <w:rPr>
                <w:rFonts w:ascii="Verdana" w:hAnsi="Verdana"/>
                <w:noProof/>
                <w:sz w:val="16"/>
                <w:szCs w:val="16"/>
              </w:rPr>
              <w:t>0</w:t>
            </w:r>
          </w:p>
        </w:tc>
        <w:tc>
          <w:tcPr>
            <w:tcW w:w="1418" w:type="dxa"/>
            <w:tcMar>
              <w:top w:w="57" w:type="dxa"/>
              <w:left w:w="57" w:type="dxa"/>
              <w:bottom w:w="57" w:type="dxa"/>
              <w:right w:w="57" w:type="dxa"/>
            </w:tcMar>
          </w:tcPr>
          <w:p w14:paraId="5CD5A274" w14:textId="77777777" w:rsidR="00EB363A" w:rsidRPr="00C97880" w:rsidRDefault="00EB363A" w:rsidP="00EB363A">
            <w:pPr>
              <w:tabs>
                <w:tab w:val="num" w:pos="425"/>
              </w:tabs>
              <w:spacing w:after="100" w:line="240" w:lineRule="auto"/>
              <w:jc w:val="center"/>
              <w:rPr>
                <w:rFonts w:ascii="Verdana" w:hAnsi="Verdana"/>
                <w:noProof/>
                <w:sz w:val="16"/>
                <w:szCs w:val="16"/>
              </w:rPr>
            </w:pPr>
            <w:r>
              <w:rPr>
                <w:rFonts w:ascii="Verdana" w:hAnsi="Verdana"/>
                <w:noProof/>
                <w:sz w:val="16"/>
                <w:szCs w:val="16"/>
              </w:rPr>
              <w:t>0</w:t>
            </w:r>
          </w:p>
        </w:tc>
        <w:tc>
          <w:tcPr>
            <w:tcW w:w="1417" w:type="dxa"/>
            <w:tcMar>
              <w:top w:w="57" w:type="dxa"/>
              <w:left w:w="57" w:type="dxa"/>
              <w:bottom w:w="57" w:type="dxa"/>
              <w:right w:w="57" w:type="dxa"/>
            </w:tcMar>
          </w:tcPr>
          <w:p w14:paraId="0AC62079" w14:textId="77777777" w:rsidR="00EB363A" w:rsidRDefault="00EB363A" w:rsidP="00EB363A">
            <w:pPr>
              <w:tabs>
                <w:tab w:val="num" w:pos="425"/>
              </w:tabs>
              <w:spacing w:after="100" w:line="240" w:lineRule="auto"/>
              <w:jc w:val="center"/>
              <w:rPr>
                <w:rFonts w:ascii="Verdana" w:hAnsi="Verdana"/>
                <w:noProof/>
                <w:sz w:val="16"/>
                <w:szCs w:val="16"/>
              </w:rPr>
            </w:pPr>
            <w:r>
              <w:rPr>
                <w:rFonts w:ascii="Verdana" w:hAnsi="Verdana"/>
                <w:noProof/>
                <w:sz w:val="16"/>
                <w:szCs w:val="16"/>
              </w:rPr>
              <w:t xml:space="preserve">As part of MS training budget + ISF support (via national programmes) </w:t>
            </w:r>
          </w:p>
          <w:p w14:paraId="6DD87DBF" w14:textId="77777777" w:rsidR="00EB363A" w:rsidRPr="00C97880" w:rsidRDefault="00EB363A" w:rsidP="00EB363A">
            <w:pPr>
              <w:tabs>
                <w:tab w:val="num" w:pos="425"/>
              </w:tabs>
              <w:spacing w:after="100" w:line="240" w:lineRule="auto"/>
              <w:jc w:val="center"/>
              <w:rPr>
                <w:rFonts w:ascii="Verdana" w:hAnsi="Verdana"/>
                <w:i/>
                <w:noProof/>
                <w:sz w:val="16"/>
                <w:szCs w:val="16"/>
              </w:rPr>
            </w:pPr>
            <w:r>
              <w:rPr>
                <w:rFonts w:ascii="Verdana" w:hAnsi="Verdana"/>
                <w:i/>
                <w:noProof/>
                <w:sz w:val="16"/>
                <w:szCs w:val="16"/>
              </w:rPr>
              <w:t>[</w:t>
            </w:r>
            <w:r w:rsidRPr="00C97880">
              <w:rPr>
                <w:rFonts w:ascii="Verdana" w:hAnsi="Verdana"/>
                <w:i/>
                <w:noProof/>
                <w:sz w:val="16"/>
                <w:szCs w:val="16"/>
              </w:rPr>
              <w:t>Wide differences between MS needs</w:t>
            </w:r>
            <w:r>
              <w:rPr>
                <w:rFonts w:ascii="Verdana" w:hAnsi="Verdana"/>
                <w:i/>
                <w:noProof/>
                <w:sz w:val="16"/>
                <w:szCs w:val="16"/>
              </w:rPr>
              <w:t>]</w:t>
            </w:r>
          </w:p>
        </w:tc>
        <w:tc>
          <w:tcPr>
            <w:tcW w:w="1134" w:type="dxa"/>
            <w:tcMar>
              <w:top w:w="57" w:type="dxa"/>
              <w:left w:w="57" w:type="dxa"/>
              <w:bottom w:w="57" w:type="dxa"/>
              <w:right w:w="57" w:type="dxa"/>
            </w:tcMar>
          </w:tcPr>
          <w:p w14:paraId="255D06A5" w14:textId="77777777" w:rsidR="00EB363A" w:rsidRPr="00C97880" w:rsidRDefault="00EB363A" w:rsidP="00EB363A">
            <w:pPr>
              <w:tabs>
                <w:tab w:val="num" w:pos="425"/>
              </w:tabs>
              <w:spacing w:after="100" w:line="240" w:lineRule="auto"/>
              <w:jc w:val="center"/>
              <w:rPr>
                <w:rFonts w:ascii="Verdana" w:hAnsi="Verdana"/>
                <w:noProof/>
                <w:sz w:val="16"/>
                <w:szCs w:val="16"/>
              </w:rPr>
            </w:pPr>
            <w:r>
              <w:rPr>
                <w:rFonts w:ascii="Verdana" w:hAnsi="Verdana"/>
                <w:noProof/>
                <w:sz w:val="16"/>
                <w:szCs w:val="16"/>
              </w:rPr>
              <w:t>unknown</w:t>
            </w:r>
          </w:p>
        </w:tc>
        <w:tc>
          <w:tcPr>
            <w:tcW w:w="1276" w:type="dxa"/>
            <w:tcMar>
              <w:top w:w="57" w:type="dxa"/>
              <w:left w:w="57" w:type="dxa"/>
              <w:bottom w:w="57" w:type="dxa"/>
              <w:right w:w="57" w:type="dxa"/>
            </w:tcMar>
          </w:tcPr>
          <w:p w14:paraId="7CD49DF6" w14:textId="77777777" w:rsidR="00EB363A" w:rsidRPr="00C97880" w:rsidRDefault="00EB363A" w:rsidP="00EB363A">
            <w:pPr>
              <w:tabs>
                <w:tab w:val="num" w:pos="425"/>
              </w:tabs>
              <w:spacing w:after="100" w:line="240" w:lineRule="auto"/>
              <w:jc w:val="center"/>
              <w:rPr>
                <w:rFonts w:ascii="Verdana" w:hAnsi="Verdana"/>
                <w:noProof/>
                <w:sz w:val="16"/>
                <w:szCs w:val="16"/>
              </w:rPr>
            </w:pPr>
            <w:r>
              <w:rPr>
                <w:rFonts w:ascii="Verdana" w:hAnsi="Verdana"/>
                <w:noProof/>
                <w:sz w:val="16"/>
                <w:szCs w:val="16"/>
              </w:rPr>
              <w:t>As part of Agency' budget</w:t>
            </w:r>
          </w:p>
        </w:tc>
      </w:tr>
    </w:tbl>
    <w:p w14:paraId="00AFA32C" w14:textId="77777777" w:rsidR="00EB363A" w:rsidRDefault="00EB363A" w:rsidP="00704502">
      <w:pPr>
        <w:spacing w:after="0" w:line="240" w:lineRule="auto"/>
        <w:rPr>
          <w:rFonts w:ascii="Times New Roman" w:hAnsi="Times New Roman"/>
          <w:noProof/>
          <w:sz w:val="24"/>
          <w:szCs w:val="24"/>
        </w:rPr>
      </w:pPr>
    </w:p>
    <w:p w14:paraId="6D138395" w14:textId="77777777" w:rsidR="005B3636" w:rsidRDefault="00EB363A" w:rsidP="00704502">
      <w:pPr>
        <w:spacing w:after="16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This </w:t>
      </w:r>
      <w:r w:rsidR="00D865F6">
        <w:rPr>
          <w:rFonts w:ascii="Times New Roman" w:hAnsi="Times New Roman"/>
          <w:noProof/>
          <w:sz w:val="24"/>
          <w:szCs w:val="24"/>
        </w:rPr>
        <w:t xml:space="preserve">EUR 11.5 million </w:t>
      </w:r>
      <w:r>
        <w:rPr>
          <w:rFonts w:ascii="Times New Roman" w:hAnsi="Times New Roman"/>
          <w:noProof/>
          <w:sz w:val="24"/>
          <w:szCs w:val="24"/>
        </w:rPr>
        <w:t xml:space="preserve">would be considered as a maximum </w:t>
      </w:r>
      <w:r w:rsidRPr="00704502">
        <w:rPr>
          <w:rFonts w:ascii="Times New Roman" w:hAnsi="Times New Roman"/>
          <w:b/>
          <w:noProof/>
          <w:sz w:val="24"/>
          <w:szCs w:val="24"/>
        </w:rPr>
        <w:t>one-off</w:t>
      </w:r>
      <w:r>
        <w:rPr>
          <w:rFonts w:ascii="Times New Roman" w:hAnsi="Times New Roman"/>
          <w:noProof/>
          <w:sz w:val="24"/>
          <w:szCs w:val="24"/>
        </w:rPr>
        <w:t xml:space="preserve"> cost given that a number of PCCCs are already connected to the SPOC CMS. Hence the SIENA integration in the SPOC CMS would de facto cover the SIENA integration in the connected PCCCs.</w:t>
      </w:r>
      <w:r w:rsidR="00D865F6">
        <w:rPr>
          <w:rFonts w:ascii="Times New Roman" w:hAnsi="Times New Roman"/>
          <w:noProof/>
          <w:sz w:val="24"/>
          <w:szCs w:val="24"/>
        </w:rPr>
        <w:t xml:space="preserve"> </w:t>
      </w:r>
      <w:bookmarkEnd w:id="151"/>
      <w:bookmarkEnd w:id="152"/>
    </w:p>
    <w:p w14:paraId="20ABD89A" w14:textId="77777777" w:rsidR="00C76702" w:rsidRPr="00AE777C" w:rsidRDefault="00C76702" w:rsidP="00AE777C">
      <w:pPr>
        <w:pStyle w:val="AnnexHeading1"/>
        <w:rPr>
          <w:noProof/>
        </w:rPr>
      </w:pPr>
      <w:bookmarkStart w:id="157" w:name="_Toc48897658"/>
      <w:bookmarkStart w:id="158" w:name="_Toc74838194"/>
      <w:bookmarkStart w:id="159" w:name="_Toc83801055"/>
      <w:r w:rsidRPr="00AE777C">
        <w:rPr>
          <w:noProof/>
        </w:rPr>
        <w:t xml:space="preserve">Annex </w:t>
      </w:r>
      <w:r w:rsidR="00CA5EE7">
        <w:rPr>
          <w:noProof/>
        </w:rPr>
        <w:t>4</w:t>
      </w:r>
      <w:r w:rsidRPr="00AE777C">
        <w:rPr>
          <w:noProof/>
        </w:rPr>
        <w:t xml:space="preserve">: </w:t>
      </w:r>
      <w:bookmarkEnd w:id="157"/>
      <w:bookmarkEnd w:id="158"/>
      <w:r w:rsidR="00BC02CC" w:rsidRPr="00AE777C">
        <w:rPr>
          <w:noProof/>
        </w:rPr>
        <w:t>Supporting information on the high-level problems</w:t>
      </w:r>
      <w:r w:rsidR="002034CD" w:rsidRPr="00AE777C">
        <w:rPr>
          <w:noProof/>
        </w:rPr>
        <w:t xml:space="preserve"> and their impacts on the core problems</w:t>
      </w:r>
      <w:bookmarkEnd w:id="159"/>
    </w:p>
    <w:p w14:paraId="7BA1597E"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Security and cross-border crime are, by definition, an international issue. Most European countries agree that organised crime is a problem in their country.</w:t>
      </w:r>
      <w:r w:rsidRPr="00103C29">
        <w:rPr>
          <w:rStyle w:val="FootnoteReference"/>
          <w:rFonts w:ascii="Times New Roman" w:hAnsi="Times New Roman"/>
          <w:noProof/>
          <w:sz w:val="24"/>
          <w:szCs w:val="24"/>
        </w:rPr>
        <w:footnoteReference w:id="167"/>
      </w:r>
      <w:r w:rsidRPr="00103C29">
        <w:rPr>
          <w:rFonts w:ascii="Times New Roman" w:hAnsi="Times New Roman"/>
          <w:noProof/>
          <w:sz w:val="24"/>
          <w:szCs w:val="24"/>
        </w:rPr>
        <w:t xml:space="preserve"> </w:t>
      </w:r>
    </w:p>
    <w:p w14:paraId="488E06C5"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As made clear in the 2021-2025 EU Strategy to Tackle organised Crime</w:t>
      </w:r>
      <w:r w:rsidRPr="00103C29">
        <w:rPr>
          <w:rStyle w:val="FootnoteReference"/>
          <w:rFonts w:ascii="Times New Roman" w:hAnsi="Times New Roman"/>
          <w:bCs/>
          <w:iCs/>
          <w:noProof/>
          <w:sz w:val="24"/>
          <w:szCs w:val="24"/>
        </w:rPr>
        <w:footnoteReference w:id="168"/>
      </w:r>
      <w:r w:rsidRPr="00103C29">
        <w:rPr>
          <w:rFonts w:ascii="Times New Roman" w:hAnsi="Times New Roman"/>
          <w:noProof/>
          <w:sz w:val="24"/>
          <w:szCs w:val="24"/>
        </w:rPr>
        <w:t xml:space="preserve"> and the 2020 EU Security Union Strategy</w:t>
      </w:r>
      <w:r w:rsidRPr="00103C29">
        <w:rPr>
          <w:rStyle w:val="FootnoteReference"/>
          <w:rFonts w:ascii="Times New Roman" w:hAnsi="Times New Roman"/>
          <w:bCs/>
          <w:iCs/>
          <w:noProof/>
          <w:sz w:val="24"/>
          <w:szCs w:val="24"/>
        </w:rPr>
        <w:footnoteReference w:id="169"/>
      </w:r>
      <w:r w:rsidRPr="00103C29">
        <w:rPr>
          <w:rFonts w:ascii="Times New Roman" w:hAnsi="Times New Roman"/>
          <w:noProof/>
          <w:sz w:val="24"/>
          <w:szCs w:val="24"/>
        </w:rPr>
        <w:t xml:space="preserve"> organised crime is, and will remain, a significant threat – causing harms to citizens, businesses, society and the economy. While organised crime is not a new threat, it is a persistent and serious threat, and ever evolving to exploit opportunities for profit and evade detection and disruption. </w:t>
      </w:r>
    </w:p>
    <w:p w14:paraId="2380F9BB" w14:textId="77777777" w:rsidR="004D7FEE" w:rsidRPr="00103C29" w:rsidRDefault="004D7FEE" w:rsidP="00F75B2A">
      <w:pPr>
        <w:pStyle w:val="Body"/>
        <w:spacing w:after="120"/>
        <w:jc w:val="both"/>
        <w:rPr>
          <w:rFonts w:ascii="Times New Roman" w:hAnsi="Times New Roman"/>
          <w:noProof/>
          <w:sz w:val="24"/>
          <w:szCs w:val="24"/>
        </w:rPr>
      </w:pPr>
      <w:bookmarkStart w:id="161" w:name="_Toc74241384"/>
      <w:r w:rsidRPr="00103C29">
        <w:rPr>
          <w:rFonts w:ascii="Times New Roman" w:hAnsi="Times New Roman"/>
          <w:noProof/>
          <w:sz w:val="24"/>
          <w:szCs w:val="24"/>
        </w:rPr>
        <w:t>Globalisation, as well as increasing economic and social integration have accelerated the interconnection between domestic illegal markets and increased mobility of criminals across national borders. Some of the initiatives that aimed to promote legal economic exchange, such as deregulation of transportation and trade liberalisation, also benefitted illegal economic exchanges.</w:t>
      </w:r>
      <w:r w:rsidRPr="00103C29">
        <w:rPr>
          <w:rStyle w:val="FootnoteReference"/>
          <w:rFonts w:ascii="Times New Roman" w:hAnsi="Times New Roman"/>
          <w:noProof/>
          <w:sz w:val="24"/>
          <w:szCs w:val="24"/>
        </w:rPr>
        <w:footnoteReference w:id="170"/>
      </w:r>
      <w:r w:rsidRPr="00103C29">
        <w:rPr>
          <w:rFonts w:ascii="Times New Roman" w:hAnsi="Times New Roman"/>
          <w:noProof/>
          <w:sz w:val="24"/>
          <w:szCs w:val="24"/>
        </w:rPr>
        <w:t xml:space="preserve"> The steady increase in cross-border passenger and freight traffic means that only selective border controls are possible.</w:t>
      </w:r>
      <w:r w:rsidRPr="00103C29">
        <w:rPr>
          <w:rStyle w:val="FootnoteReference"/>
          <w:rFonts w:ascii="Times New Roman" w:hAnsi="Times New Roman"/>
          <w:noProof/>
          <w:sz w:val="24"/>
          <w:szCs w:val="24"/>
        </w:rPr>
        <w:footnoteReference w:id="171"/>
      </w:r>
      <w:r w:rsidRPr="00103C29">
        <w:rPr>
          <w:rFonts w:ascii="Times New Roman" w:hAnsi="Times New Roman"/>
          <w:noProof/>
          <w:sz w:val="24"/>
          <w:szCs w:val="24"/>
        </w:rPr>
        <w:t xml:space="preserve"> Within the Schengen area, internal border controls have been dismantled, meaning that travel and communication within the EU has become easier.</w:t>
      </w:r>
      <w:r w:rsidRPr="00103C29">
        <w:rPr>
          <w:rStyle w:val="FootnoteReference"/>
          <w:rFonts w:ascii="Times New Roman" w:hAnsi="Times New Roman"/>
          <w:noProof/>
          <w:sz w:val="24"/>
          <w:szCs w:val="24"/>
        </w:rPr>
        <w:footnoteReference w:id="172"/>
      </w:r>
      <w:r w:rsidRPr="00103C29">
        <w:rPr>
          <w:rFonts w:ascii="Times New Roman" w:hAnsi="Times New Roman"/>
          <w:noProof/>
          <w:sz w:val="24"/>
          <w:szCs w:val="24"/>
        </w:rPr>
        <w:t xml:space="preserve"> Technological advancements have created opportunities for new types of cross-border crime, as well as for modernising traditional forms of crime.</w:t>
      </w:r>
      <w:r w:rsidRPr="00103C29">
        <w:rPr>
          <w:rStyle w:val="FootnoteReference"/>
          <w:rFonts w:ascii="Times New Roman" w:hAnsi="Times New Roman"/>
          <w:noProof/>
          <w:sz w:val="24"/>
          <w:szCs w:val="24"/>
        </w:rPr>
        <w:footnoteReference w:id="173"/>
      </w:r>
      <w:r w:rsidRPr="00103C29">
        <w:rPr>
          <w:rFonts w:ascii="Times New Roman" w:hAnsi="Times New Roman"/>
          <w:noProof/>
          <w:sz w:val="24"/>
          <w:szCs w:val="24"/>
        </w:rPr>
        <w:t xml:space="preserve"> For example, the illicit drugs market has become increasingly global and uses digital technologies, such as selling drugs online.</w:t>
      </w:r>
      <w:r w:rsidRPr="00103C29">
        <w:rPr>
          <w:rStyle w:val="FootnoteReference"/>
          <w:rFonts w:ascii="Times New Roman" w:hAnsi="Times New Roman"/>
          <w:noProof/>
          <w:sz w:val="24"/>
          <w:szCs w:val="24"/>
        </w:rPr>
        <w:footnoteReference w:id="174"/>
      </w:r>
      <w:r w:rsidRPr="00103C29">
        <w:rPr>
          <w:rFonts w:ascii="Times New Roman" w:hAnsi="Times New Roman"/>
          <w:noProof/>
          <w:sz w:val="24"/>
          <w:szCs w:val="24"/>
        </w:rPr>
        <w:t xml:space="preserve"> The advancements and increased use of digital technologies also mean there is no longer a need for a perpetrator to be in the same location as a victim.</w:t>
      </w:r>
      <w:r w:rsidRPr="00103C29">
        <w:rPr>
          <w:rStyle w:val="FootnoteReference"/>
          <w:rFonts w:ascii="Times New Roman" w:hAnsi="Times New Roman"/>
          <w:noProof/>
          <w:sz w:val="24"/>
          <w:szCs w:val="24"/>
        </w:rPr>
        <w:footnoteReference w:id="175"/>
      </w:r>
    </w:p>
    <w:p w14:paraId="1A7FA0A8"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 xml:space="preserve">Additionally, the </w:t>
      </w:r>
      <w:r w:rsidRPr="00103C29">
        <w:rPr>
          <w:rFonts w:ascii="Times New Roman" w:hAnsi="Times New Roman"/>
          <w:bCs/>
          <w:noProof/>
          <w:sz w:val="24"/>
          <w:szCs w:val="24"/>
        </w:rPr>
        <w:t>increased mobility of persons across Europe means that there is a significant movement of EU citizens for the purposes of tourism, and that sports, social and cultural events are attended by persons from across the EU 27 and the Schengen Associated Countries (SAC)</w:t>
      </w:r>
      <w:r w:rsidRPr="00103C29">
        <w:rPr>
          <w:rFonts w:ascii="Times New Roman" w:hAnsi="Times New Roman"/>
          <w:noProof/>
          <w:sz w:val="24"/>
          <w:szCs w:val="24"/>
        </w:rPr>
        <w:t xml:space="preserve">, meaning that effective preventive and responsive actions need to involve cross-border cooperation. The growing intra-EU mobility of people – restrictions due to the COVID-19 pandemic set aside – creates additional challenges for the prevention and fight against all forms of criminal and safety threats. All this has a significant negative impact on the area of freedom, justice and security and calls for a stronger and streamlined cooperation among EU Member States and between their competent law enforcement authorities. </w:t>
      </w:r>
    </w:p>
    <w:p w14:paraId="2D431018"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 xml:space="preserve">The rapidly evolving criminal landscape and the mobility of people suggests that cross-border cooperation between Law enforcement authorities in the EU and the Schengen area will be crucial to tackle </w:t>
      </w:r>
      <w:r w:rsidR="00954B41" w:rsidRPr="00F75B2A">
        <w:rPr>
          <w:rFonts w:ascii="Times New Roman" w:hAnsi="Times New Roman"/>
          <w:noProof/>
          <w:sz w:val="24"/>
          <w:szCs w:val="16"/>
        </w:rPr>
        <w:t>criminal offences</w:t>
      </w:r>
      <w:r w:rsidRPr="00103C29">
        <w:rPr>
          <w:rFonts w:ascii="Times New Roman" w:hAnsi="Times New Roman"/>
          <w:noProof/>
          <w:sz w:val="24"/>
          <w:szCs w:val="24"/>
        </w:rPr>
        <w:t xml:space="preserve">, ensure public order and safety and allow EU citizens to safely enjoy their rights of free movement in the future. </w:t>
      </w:r>
    </w:p>
    <w:p w14:paraId="00CD3201" w14:textId="77777777" w:rsidR="004D7FEE" w:rsidRPr="002320D7" w:rsidRDefault="004D7FEE" w:rsidP="005B3636">
      <w:pPr>
        <w:spacing w:before="240" w:after="120" w:line="240" w:lineRule="auto"/>
        <w:rPr>
          <w:noProof/>
          <w:u w:val="single"/>
          <w:lang w:val="en-GB"/>
        </w:rPr>
      </w:pPr>
      <w:r w:rsidRPr="00103C29">
        <w:rPr>
          <w:rFonts w:ascii="Times New Roman" w:hAnsi="Times New Roman" w:cs="Times New Roman"/>
          <w:b/>
          <w:noProof/>
          <w:sz w:val="24"/>
          <w:lang w:val="en-GB"/>
        </w:rPr>
        <w:t xml:space="preserve">1.  </w:t>
      </w:r>
      <w:r w:rsidRPr="00103C29">
        <w:rPr>
          <w:rFonts w:ascii="Times New Roman" w:hAnsi="Times New Roman" w:cs="Times New Roman"/>
          <w:b/>
          <w:noProof/>
          <w:sz w:val="24"/>
          <w:u w:val="single"/>
          <w:lang w:val="en-GB"/>
        </w:rPr>
        <w:t>The international mobility of criminal networks, the evolution of cross-border serious and organised crime (SOC), and the increasing associated harms</w:t>
      </w:r>
      <w:bookmarkEnd w:id="161"/>
    </w:p>
    <w:p w14:paraId="5B03F633" w14:textId="77777777" w:rsidR="004D7FEE" w:rsidRPr="00103C29" w:rsidRDefault="004D7FEE" w:rsidP="005B3636">
      <w:pPr>
        <w:pStyle w:val="Body"/>
        <w:spacing w:before="240" w:after="120"/>
        <w:jc w:val="both"/>
        <w:rPr>
          <w:rFonts w:ascii="Times New Roman" w:hAnsi="Times New Roman"/>
          <w:noProof/>
          <w:sz w:val="24"/>
          <w:lang w:eastAsia="nl-BE"/>
        </w:rPr>
      </w:pPr>
      <w:r w:rsidRPr="00103C29">
        <w:rPr>
          <w:rFonts w:ascii="Times New Roman" w:hAnsi="Times New Roman"/>
          <w:b/>
          <w:i/>
          <w:noProof/>
          <w:color w:val="44546A" w:themeColor="text2"/>
          <w:sz w:val="24"/>
        </w:rPr>
        <w:t>Mobility of crime</w:t>
      </w:r>
    </w:p>
    <w:p w14:paraId="4208F851" w14:textId="77777777" w:rsidR="004D7FEE" w:rsidRPr="00103C29" w:rsidRDefault="004D7FEE" w:rsidP="00F75B2A">
      <w:pPr>
        <w:pStyle w:val="Body"/>
        <w:spacing w:after="120"/>
        <w:jc w:val="both"/>
        <w:rPr>
          <w:rFonts w:ascii="Times New Roman" w:hAnsi="Times New Roman"/>
          <w:bCs/>
          <w:noProof/>
          <w:sz w:val="24"/>
          <w:lang w:eastAsia="nl-BE"/>
        </w:rPr>
      </w:pPr>
      <w:r w:rsidRPr="00103C29">
        <w:rPr>
          <w:rFonts w:ascii="Times New Roman" w:hAnsi="Times New Roman"/>
          <w:noProof/>
          <w:sz w:val="24"/>
          <w:lang w:eastAsia="nl-BE"/>
        </w:rPr>
        <w:t xml:space="preserve">The 2021 European Union </w:t>
      </w:r>
      <w:r w:rsidRPr="00103C29">
        <w:rPr>
          <w:rFonts w:ascii="Times New Roman" w:hAnsi="Times New Roman"/>
          <w:bCs/>
          <w:noProof/>
          <w:sz w:val="24"/>
          <w:lang w:eastAsia="nl-BE"/>
        </w:rPr>
        <w:t>Serious and organised Crime Threat Assessment (EU SOCTA) makes it clear that international mobility is defining characteristic of criminal networks and provides a detailed overview of the situation</w:t>
      </w:r>
      <w:r w:rsidRPr="00103C29">
        <w:rPr>
          <w:rStyle w:val="FootnoteReference"/>
          <w:rFonts w:ascii="Times New Roman" w:hAnsi="Times New Roman"/>
          <w:bCs/>
          <w:noProof/>
          <w:sz w:val="24"/>
          <w:lang w:eastAsia="nl-BE"/>
        </w:rPr>
        <w:footnoteReference w:id="176"/>
      </w:r>
      <w:r w:rsidRPr="00103C29">
        <w:rPr>
          <w:rFonts w:ascii="Times New Roman" w:hAnsi="Times New Roman"/>
          <w:bCs/>
          <w:noProof/>
          <w:sz w:val="24"/>
          <w:lang w:eastAsia="nl-BE"/>
        </w:rPr>
        <w:t xml:space="preserve">. </w:t>
      </w:r>
    </w:p>
    <w:p w14:paraId="27ED0E1C" w14:textId="77777777" w:rsidR="004D7FEE" w:rsidRPr="00103C29" w:rsidRDefault="004D7FEE" w:rsidP="00F75B2A">
      <w:pPr>
        <w:pStyle w:val="Body"/>
        <w:spacing w:after="120"/>
        <w:jc w:val="both"/>
        <w:rPr>
          <w:rFonts w:ascii="Times New Roman" w:hAnsi="Times New Roman"/>
          <w:noProof/>
          <w:sz w:val="24"/>
          <w:lang w:eastAsia="nl-BE"/>
        </w:rPr>
      </w:pPr>
      <w:r w:rsidRPr="00103C29">
        <w:rPr>
          <w:rFonts w:ascii="Times New Roman" w:hAnsi="Times New Roman"/>
          <w:noProof/>
          <w:sz w:val="24"/>
          <w:lang w:eastAsia="nl-BE"/>
        </w:rPr>
        <w:t xml:space="preserve">Some criminal operations have global reach beyond borders. </w:t>
      </w:r>
    </w:p>
    <w:p w14:paraId="4C431E6A" w14:textId="77777777" w:rsidR="004D7FEE" w:rsidRPr="00103C29" w:rsidRDefault="004D7FEE" w:rsidP="00F75B2A">
      <w:pPr>
        <w:pStyle w:val="Body"/>
        <w:spacing w:after="120"/>
        <w:jc w:val="both"/>
        <w:rPr>
          <w:rFonts w:ascii="Times New Roman" w:hAnsi="Times New Roman"/>
          <w:noProof/>
          <w:sz w:val="24"/>
          <w:lang w:eastAsia="nl-BE"/>
        </w:rPr>
      </w:pPr>
      <w:r w:rsidRPr="00103C29">
        <w:rPr>
          <w:rFonts w:ascii="Times New Roman" w:hAnsi="Times New Roman"/>
          <w:noProof/>
          <w:sz w:val="24"/>
          <w:lang w:eastAsia="nl-BE"/>
        </w:rPr>
        <w:t>For instance, organised property crimes carried out in the EU continue to be perpetrated primarily by mobile organised crime groups (MOCGs). Mobility remains the key characteristic of these MOCGs and is used to avoid detection and minimise the risk of apprehension. MOCGs travel long distances and are typically active in several countries. They are highly flexible in the selection of their targets and will often change their country of activity to evade law enforcement or to respond to changes in the criminal landscape</w:t>
      </w:r>
      <w:r w:rsidRPr="00103C29">
        <w:rPr>
          <w:rStyle w:val="FootnoteReference"/>
          <w:rFonts w:ascii="Times New Roman" w:hAnsi="Times New Roman"/>
          <w:noProof/>
          <w:sz w:val="24"/>
          <w:lang w:eastAsia="nl-BE"/>
        </w:rPr>
        <w:footnoteReference w:id="177"/>
      </w:r>
      <w:r w:rsidRPr="00103C29">
        <w:rPr>
          <w:rFonts w:ascii="Times New Roman" w:hAnsi="Times New Roman"/>
          <w:noProof/>
          <w:sz w:val="24"/>
          <w:lang w:eastAsia="nl-BE"/>
        </w:rPr>
        <w:t>.</w:t>
      </w:r>
    </w:p>
    <w:p w14:paraId="08AF9D7B" w14:textId="77777777" w:rsidR="004D7FEE" w:rsidRPr="00103C29" w:rsidRDefault="004D7FEE" w:rsidP="00F75B2A">
      <w:pPr>
        <w:pStyle w:val="Body"/>
        <w:spacing w:after="120"/>
        <w:jc w:val="both"/>
        <w:rPr>
          <w:rFonts w:ascii="Times New Roman" w:hAnsi="Times New Roman"/>
          <w:noProof/>
          <w:sz w:val="24"/>
          <w:lang w:eastAsia="nl-BE"/>
        </w:rPr>
      </w:pPr>
      <w:r w:rsidRPr="00103C29">
        <w:rPr>
          <w:rFonts w:ascii="Times New Roman" w:hAnsi="Times New Roman"/>
          <w:noProof/>
          <w:sz w:val="24"/>
          <w:lang w:eastAsia="nl-BE"/>
        </w:rPr>
        <w:t>Some locations feature characteristics that benefit serious and organised crime in the EU and beyond. These locations are used to facilitate a single or multiple criminal activities, sometimes simultaneously. Key locations attract criminals due to their geographic position, proximity to or connections with source countries and consumer markets. They may offer efficient transport infrastructures, business and investment opportunities or other advantages to criminals.</w:t>
      </w:r>
    </w:p>
    <w:p w14:paraId="543933ED"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Criminal activities in border regions take advantage of the natural delineations of individual law enforcement jurisdictions, which create options to evade law enforcement and provide proximity to multiple markets. Within the Schengen Area, border travel is unimpeded, allowing free movement of persons across borders. Geopolitical developments determine the relevance of specific regions for the flow of goods and people. Humanitarian emergencies, bilateral agreements and risk-reward considerations determine the attractiveness of a specific border region or section for criminals. </w:t>
      </w:r>
    </w:p>
    <w:p w14:paraId="3189E670"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Urban areas are characterised by a concentration of people and often present a multitude of criminal opportunities. Burglaries are concentrated in urban areas. Pickpockets target victims in crowded places such as concerts, markets, on public transport or at railway stations. Organised robberies typically take place in urban areas and border regions. Victims of trafficking in human beings are typically exploited in urban areas where there is a larger potential client base. Capitals and major cities act as hubs along the main migrant smuggling routes. Here, migrants are temporarily accommodated in safehouses, receive fraudulent documents, plan and initiate secondary movements.</w:t>
      </w:r>
    </w:p>
    <w:p w14:paraId="125A1A47"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Remote areas provide more anonymity conducive to other criminal activities. Illicit tobacco production lines are usually set up in large warehouses in remote industrial areas, close to transportation hubs like motorways, border crossing points or ports. Remote</w:t>
      </w:r>
      <w:r w:rsidRPr="00103C29">
        <w:rPr>
          <w:rFonts w:ascii="Times New Roman" w:eastAsiaTheme="minorHAnsi" w:hAnsi="Times New Roman"/>
          <w:noProof/>
          <w:sz w:val="28"/>
          <w:szCs w:val="22"/>
        </w:rPr>
        <w:t xml:space="preserve"> </w:t>
      </w:r>
      <w:r w:rsidRPr="00103C29">
        <w:rPr>
          <w:rFonts w:ascii="Times New Roman" w:hAnsi="Times New Roman"/>
          <w:noProof/>
          <w:sz w:val="24"/>
        </w:rPr>
        <w:t>areas in the countryside are ideal locations for the dumping of chemical waste from synthetic drug production, toxic waste from fuel laundering and other waste products. Thefts of construction and agricultural machinery are more likely to occur in rural areas. Archaeological sites and places of religious worship situated in remote areas are targeted for theft and looting. Trafficking of human beings for labour exploitation often takes place in rural areas home to agricultural production.</w:t>
      </w:r>
    </w:p>
    <w:p w14:paraId="25AEC320"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Airports are key transit points for goods and people, both licit and otherwise. Criminals make frequent use of the EU’s main airports as well as smaller regional airports operating low-cost airlines. In addition, small airfields offer convenient access to the EU and specific regions. Trafficking activities by air have been disrupted during the COVID-19 pandemic. However, expansion plans for many major airports signal a further growth in passenger flows after the end of the pandemic.</w:t>
      </w:r>
    </w:p>
    <w:p w14:paraId="3C807858" w14:textId="77777777" w:rsidR="004D7FEE" w:rsidRPr="00103C29" w:rsidRDefault="004D7FEE" w:rsidP="00F75B2A">
      <w:pPr>
        <w:pStyle w:val="Body"/>
        <w:spacing w:after="120"/>
        <w:jc w:val="both"/>
        <w:rPr>
          <w:rFonts w:ascii="Times New Roman" w:hAnsi="Times New Roman"/>
          <w:noProof/>
          <w:sz w:val="24"/>
          <w:lang w:eastAsia="nl-BE"/>
        </w:rPr>
      </w:pPr>
      <w:r w:rsidRPr="00103C29">
        <w:rPr>
          <w:rFonts w:ascii="Times New Roman" w:hAnsi="Times New Roman"/>
          <w:noProof/>
          <w:sz w:val="24"/>
          <w:lang w:eastAsia="nl-BE"/>
        </w:rPr>
        <w:t>A dense network of well-maintained motorways facilitates the free movement of goods and services within the EU. It is also a major crime enabler allowing criminals to travel and move goods quickly and anonymously. Travel by road is the most accessible way of travelling within the EU. Transport means on the road include lorries, vans, buses, cars, caravans, or taxis. Some vehicles are equipped with sophisticated concealment methods to hide drugs and other contraband or persons. Motorway infrastructure is used for smuggling raw material to production facilities and for distributing illicit goods produced in the EU or arriving at entry points.</w:t>
      </w:r>
    </w:p>
    <w:p w14:paraId="27959A04"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A dense network of well-maintained motorways facilitates the free movement of goods and services within the EU. It is also a major crime enabler allowing criminals to travel and move goods quickly and anonymously. Travel by road is the most accessible way of travelling within the EU. Transport means on the road include lorries, vans, buses, cars, caravans, or taxis. Some vehicles are equipped with sophisticated concealment methods to hide drugs and other contraband or persons. Motorway infrastructure is used for smuggling raw material to production facilities and for distributing illicit goods produced in the EU or arriving at entry points.</w:t>
      </w:r>
    </w:p>
    <w:p w14:paraId="31426152"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Other illegal goods such as illicit waste, synthetic drugs produced in the EU, and stolen vehicles or parts are shipped throughout the world departing from EU ports.</w:t>
      </w:r>
    </w:p>
    <w:p w14:paraId="5A9C66C5"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Accelerated by the COVID-19 pandemic, the shipping of orders placed online fulfilled by post and parcel services continues to expand in volume every year. Postal and parcel services are abused for the distribution of illicit goods such as drugs (cannabis, cocaine, synthetic drugs including new psychoactive substances), counterfeit currency, stolen and fraudulent documents and many other illegal commodities. </w:t>
      </w:r>
    </w:p>
    <w:p w14:paraId="3D1F878E"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Clandestine locations such as private or rented apartments are used as pop-up brothels where victims are sexually exploited, including children. Apartments serve as safe houses used to conceal irregular migrants in between different legs of their journeys. </w:t>
      </w:r>
    </w:p>
    <w:p w14:paraId="7DA03351"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Reception centres for asylum applicants are targeted by human traffickers and migrant smugglers to recruit irregular migrants and potential trafficking victims. Upon their entry into the EU, facilitated irregular migrants and victims of THB are often accommodated in reception centres where they apply for international protection.</w:t>
      </w:r>
    </w:p>
    <w:p w14:paraId="05DD9760" w14:textId="77777777" w:rsidR="004D7FEE" w:rsidRPr="00103C29" w:rsidRDefault="004D7FEE" w:rsidP="005B3636">
      <w:pPr>
        <w:pStyle w:val="Body"/>
        <w:spacing w:before="240" w:after="120"/>
        <w:jc w:val="both"/>
        <w:rPr>
          <w:rFonts w:ascii="Times New Roman" w:hAnsi="Times New Roman"/>
          <w:b/>
          <w:i/>
          <w:noProof/>
          <w:color w:val="44546A" w:themeColor="text2"/>
          <w:sz w:val="24"/>
        </w:rPr>
      </w:pPr>
      <w:r w:rsidRPr="00103C29">
        <w:rPr>
          <w:rFonts w:ascii="Times New Roman" w:hAnsi="Times New Roman"/>
          <w:b/>
          <w:i/>
          <w:noProof/>
          <w:color w:val="44546A" w:themeColor="text2"/>
          <w:sz w:val="24"/>
        </w:rPr>
        <w:t xml:space="preserve">Increasing and evolving serious and organised crime </w:t>
      </w:r>
    </w:p>
    <w:p w14:paraId="2104F58D" w14:textId="77777777" w:rsidR="004D7FEE" w:rsidRPr="00103C29" w:rsidRDefault="004D7FEE" w:rsidP="00F75B2A">
      <w:pPr>
        <w:pStyle w:val="Body"/>
        <w:spacing w:after="120"/>
        <w:jc w:val="both"/>
        <w:rPr>
          <w:rFonts w:ascii="Times New Roman" w:hAnsi="Times New Roman"/>
          <w:noProof/>
          <w:sz w:val="24"/>
          <w:lang w:eastAsia="nl-BE"/>
        </w:rPr>
      </w:pPr>
      <w:r w:rsidRPr="00103C29">
        <w:rPr>
          <w:rFonts w:ascii="Times New Roman" w:hAnsi="Times New Roman"/>
          <w:noProof/>
          <w:sz w:val="24"/>
          <w:lang w:eastAsia="nl-BE"/>
        </w:rPr>
        <w:t>The 2021 EU SOCTA also</w:t>
      </w:r>
      <w:r w:rsidRPr="00103C29">
        <w:rPr>
          <w:rFonts w:ascii="Times New Roman" w:hAnsi="Times New Roman"/>
          <w:bCs/>
          <w:noProof/>
          <w:sz w:val="24"/>
          <w:lang w:eastAsia="nl-BE"/>
        </w:rPr>
        <w:t xml:space="preserve"> outlines a number of areas where SOC appears to be increasing</w:t>
      </w:r>
      <w:r w:rsidRPr="00103C29">
        <w:rPr>
          <w:rFonts w:ascii="Times New Roman" w:hAnsi="Times New Roman"/>
          <w:noProof/>
          <w:sz w:val="24"/>
          <w:lang w:eastAsia="nl-BE"/>
        </w:rPr>
        <w:t>. For example, the use of violence by criminals involved in SOC is assessed to be intensifying, unprecedented quantities of cocaine are trafficked into the EU from Latin America and criminal groups are increasing their capacities to produce and distribute synthetic drugs.</w:t>
      </w:r>
      <w:r w:rsidRPr="00103C29">
        <w:rPr>
          <w:rStyle w:val="FootnoteReference"/>
          <w:rFonts w:ascii="Times New Roman" w:hAnsi="Times New Roman"/>
          <w:noProof/>
          <w:sz w:val="24"/>
          <w:lang w:eastAsia="nl-BE"/>
        </w:rPr>
        <w:footnoteReference w:id="178"/>
      </w:r>
      <w:r w:rsidRPr="00103C29">
        <w:rPr>
          <w:rFonts w:ascii="Times New Roman" w:hAnsi="Times New Roman"/>
          <w:noProof/>
          <w:sz w:val="24"/>
          <w:lang w:eastAsia="nl-BE"/>
        </w:rPr>
        <w:t xml:space="preserve"> Information compiled by Europol in the 2021 EU SOCTA also indicates that there is a growing threat from cyber-dependent crime – both in terms of the number and sophistication of attacks. </w:t>
      </w:r>
    </w:p>
    <w:p w14:paraId="5C72A86A" w14:textId="77777777" w:rsidR="004D7FEE" w:rsidRPr="00103C29" w:rsidRDefault="004D7FEE" w:rsidP="00F75B2A">
      <w:pPr>
        <w:pStyle w:val="Body"/>
        <w:spacing w:after="120"/>
        <w:jc w:val="both"/>
        <w:rPr>
          <w:rFonts w:ascii="Times New Roman" w:hAnsi="Times New Roman"/>
          <w:noProof/>
          <w:sz w:val="24"/>
          <w:lang w:eastAsia="nl-BE"/>
        </w:rPr>
      </w:pPr>
      <w:r w:rsidRPr="00103C29">
        <w:rPr>
          <w:rFonts w:ascii="Times New Roman" w:hAnsi="Times New Roman"/>
          <w:noProof/>
          <w:sz w:val="24"/>
          <w:lang w:eastAsia="nl-BE"/>
        </w:rPr>
        <w:t xml:space="preserve">In relation to the future need for law enforcement cooperation, the 2021 EU SOCTA outlines ways in which SOC is </w:t>
      </w:r>
      <w:r w:rsidRPr="00103C29">
        <w:rPr>
          <w:rFonts w:ascii="Times New Roman" w:hAnsi="Times New Roman"/>
          <w:bCs/>
          <w:noProof/>
          <w:sz w:val="24"/>
          <w:lang w:eastAsia="nl-BE"/>
        </w:rPr>
        <w:t>evolving</w:t>
      </w:r>
      <w:r w:rsidRPr="00103C29">
        <w:rPr>
          <w:rFonts w:ascii="Times New Roman" w:hAnsi="Times New Roman"/>
          <w:noProof/>
          <w:sz w:val="24"/>
          <w:lang w:eastAsia="nl-BE"/>
        </w:rPr>
        <w:t>. Many aspects of this evolution are linked to technology and the digitisation of society, which creates new opportunities for criminals. The recruitment of trafficked human beings, for example, often takes place online, and organised crime groups (OCGs) are making use of cryptocurrencies. Other aspects of the evolution are driven by avoidance of anti-organised crime measures. For instance, to avoid EU anti-money laundering measures, money laundering attempts are “likely to be displaced towards sectors with nascent controls or limited oversight”.</w:t>
      </w:r>
      <w:r w:rsidRPr="00103C29">
        <w:rPr>
          <w:rStyle w:val="FootnoteReference"/>
          <w:rFonts w:ascii="Times New Roman" w:hAnsi="Times New Roman"/>
          <w:noProof/>
          <w:sz w:val="24"/>
          <w:lang w:eastAsia="nl-BE"/>
        </w:rPr>
        <w:footnoteReference w:id="179"/>
      </w:r>
      <w:r w:rsidRPr="00103C29">
        <w:rPr>
          <w:rFonts w:ascii="Times New Roman" w:hAnsi="Times New Roman"/>
          <w:noProof/>
          <w:sz w:val="24"/>
          <w:lang w:eastAsia="nl-BE"/>
        </w:rPr>
        <w:t xml:space="preserve"> </w:t>
      </w:r>
    </w:p>
    <w:p w14:paraId="4DE7ABD6" w14:textId="77777777" w:rsidR="004D7FEE" w:rsidRPr="00103C29" w:rsidRDefault="004D7FEE" w:rsidP="00F75B2A">
      <w:pPr>
        <w:pStyle w:val="Body"/>
        <w:spacing w:after="120"/>
        <w:jc w:val="both"/>
        <w:rPr>
          <w:rFonts w:ascii="Times New Roman" w:hAnsi="Times New Roman"/>
          <w:noProof/>
          <w:sz w:val="24"/>
          <w:lang w:eastAsia="nl-BE"/>
        </w:rPr>
      </w:pPr>
      <w:r w:rsidRPr="00103C29">
        <w:rPr>
          <w:rFonts w:ascii="Times New Roman" w:hAnsi="Times New Roman"/>
          <w:bCs/>
          <w:noProof/>
          <w:sz w:val="24"/>
          <w:lang w:eastAsia="nl-BE"/>
        </w:rPr>
        <w:t>The way in which the COVID-19 pandemic has been exploited by OCGs demonstrates the inherently adaptive and flexible nature of SOC</w:t>
      </w:r>
      <w:r w:rsidRPr="00103C29">
        <w:rPr>
          <w:rFonts w:ascii="Times New Roman" w:hAnsi="Times New Roman"/>
          <w:noProof/>
          <w:sz w:val="24"/>
          <w:lang w:eastAsia="nl-BE"/>
        </w:rPr>
        <w:t>. As the EU SOCTA points out – and as highlighted in the 2021 Council Conclusions</w:t>
      </w:r>
      <w:r w:rsidRPr="00103C29">
        <w:rPr>
          <w:rStyle w:val="FootnoteReference"/>
          <w:rFonts w:ascii="Times New Roman" w:hAnsi="Times New Roman"/>
          <w:noProof/>
          <w:sz w:val="24"/>
          <w:lang w:eastAsia="nl-BE"/>
        </w:rPr>
        <w:footnoteReference w:id="180"/>
      </w:r>
      <w:r w:rsidRPr="00103C29">
        <w:rPr>
          <w:rFonts w:ascii="Times New Roman" w:hAnsi="Times New Roman"/>
          <w:noProof/>
          <w:sz w:val="24"/>
          <w:lang w:eastAsia="nl-BE"/>
        </w:rPr>
        <w:t xml:space="preserve"> – </w:t>
      </w:r>
      <w:r w:rsidRPr="00103C29">
        <w:rPr>
          <w:rFonts w:ascii="Times New Roman" w:hAnsi="Times New Roman"/>
          <w:noProof/>
          <w:sz w:val="24"/>
        </w:rPr>
        <w:t>OCGs were quick to adapt to the</w:t>
      </w:r>
      <w:r w:rsidRPr="00103C29">
        <w:rPr>
          <w:rFonts w:ascii="Times New Roman" w:hAnsi="Times New Roman"/>
          <w:noProof/>
          <w:sz w:val="24"/>
          <w:lang w:eastAsia="nl-BE"/>
        </w:rPr>
        <w:t xml:space="preserve"> COVID-19 crisis</w:t>
      </w:r>
      <w:r w:rsidRPr="00103C29">
        <w:rPr>
          <w:rFonts w:ascii="Times New Roman" w:hAnsi="Times New Roman"/>
          <w:noProof/>
          <w:sz w:val="24"/>
        </w:rPr>
        <w:t xml:space="preserve">. They changed their </w:t>
      </w:r>
      <w:r w:rsidRPr="00103C29">
        <w:rPr>
          <w:rFonts w:ascii="Times New Roman" w:hAnsi="Times New Roman"/>
          <w:i/>
          <w:iCs/>
          <w:noProof/>
          <w:sz w:val="24"/>
        </w:rPr>
        <w:t>modi operandi</w:t>
      </w:r>
      <w:r w:rsidRPr="00103C29">
        <w:rPr>
          <w:rFonts w:ascii="Times New Roman" w:hAnsi="Times New Roman"/>
          <w:noProof/>
          <w:sz w:val="24"/>
        </w:rPr>
        <w:t xml:space="preserve"> to exploit opportunities in the dynamic and uncertain environment, targeting individual citizens, businesses and the public sector by, for example, distributing </w:t>
      </w:r>
      <w:r w:rsidRPr="00103C29">
        <w:rPr>
          <w:rFonts w:ascii="Times New Roman" w:hAnsi="Times New Roman"/>
          <w:noProof/>
          <w:sz w:val="24"/>
          <w:lang w:eastAsia="nl-BE"/>
        </w:rPr>
        <w:t xml:space="preserve">counterfeit and substandard </w:t>
      </w:r>
      <w:r w:rsidRPr="00103C29">
        <w:rPr>
          <w:rFonts w:ascii="Times New Roman" w:hAnsi="Times New Roman"/>
          <w:noProof/>
          <w:sz w:val="24"/>
        </w:rPr>
        <w:t>personal protective</w:t>
      </w:r>
      <w:r w:rsidRPr="00103C29">
        <w:rPr>
          <w:rFonts w:ascii="Times New Roman" w:hAnsi="Times New Roman"/>
          <w:noProof/>
          <w:sz w:val="24"/>
          <w:lang w:eastAsia="nl-BE"/>
        </w:rPr>
        <w:t xml:space="preserve"> equipment</w:t>
      </w:r>
      <w:r w:rsidRPr="00103C29">
        <w:rPr>
          <w:rFonts w:ascii="Times New Roman" w:hAnsi="Times New Roman"/>
          <w:noProof/>
          <w:sz w:val="24"/>
        </w:rPr>
        <w:t xml:space="preserve"> or performing </w:t>
      </w:r>
      <w:r w:rsidRPr="00103C29">
        <w:rPr>
          <w:rFonts w:ascii="Times New Roman" w:hAnsi="Times New Roman"/>
          <w:noProof/>
          <w:sz w:val="24"/>
          <w:lang w:eastAsia="nl-BE"/>
        </w:rPr>
        <w:t xml:space="preserve">phishing </w:t>
      </w:r>
      <w:r w:rsidRPr="00103C29">
        <w:rPr>
          <w:rFonts w:ascii="Times New Roman" w:hAnsi="Times New Roman"/>
          <w:noProof/>
          <w:sz w:val="24"/>
        </w:rPr>
        <w:t xml:space="preserve">campaigns and ransomware </w:t>
      </w:r>
      <w:r w:rsidRPr="00103C29">
        <w:rPr>
          <w:rFonts w:ascii="Times New Roman" w:hAnsi="Times New Roman"/>
          <w:noProof/>
          <w:sz w:val="24"/>
          <w:lang w:eastAsia="nl-BE"/>
        </w:rPr>
        <w:t>attacks</w:t>
      </w:r>
      <w:r w:rsidRPr="00103C29">
        <w:rPr>
          <w:rFonts w:ascii="Times New Roman" w:hAnsi="Times New Roman"/>
          <w:noProof/>
          <w:sz w:val="24"/>
        </w:rPr>
        <w:t xml:space="preserve"> on healthcare organisations.</w:t>
      </w:r>
      <w:r w:rsidRPr="00103C29">
        <w:rPr>
          <w:rFonts w:ascii="Times New Roman" w:hAnsi="Times New Roman"/>
          <w:noProof/>
          <w:sz w:val="24"/>
          <w:vertAlign w:val="superscript"/>
        </w:rPr>
        <w:footnoteReference w:id="181"/>
      </w:r>
      <w:r w:rsidRPr="00103C29">
        <w:rPr>
          <w:rFonts w:ascii="Times New Roman" w:hAnsi="Times New Roman"/>
          <w:noProof/>
          <w:sz w:val="24"/>
          <w:lang w:eastAsia="nl-BE"/>
        </w:rPr>
        <w:t xml:space="preserve"> </w:t>
      </w:r>
    </w:p>
    <w:p w14:paraId="1840937C" w14:textId="77777777" w:rsidR="004D7FEE" w:rsidRPr="00103C29" w:rsidRDefault="004D7FEE" w:rsidP="005B3636">
      <w:pPr>
        <w:pStyle w:val="Body"/>
        <w:spacing w:before="240" w:after="120"/>
        <w:jc w:val="both"/>
        <w:rPr>
          <w:rFonts w:ascii="Times New Roman" w:hAnsi="Times New Roman"/>
          <w:b/>
          <w:i/>
          <w:noProof/>
          <w:color w:val="44546A" w:themeColor="text2"/>
          <w:sz w:val="24"/>
        </w:rPr>
      </w:pPr>
      <w:r w:rsidRPr="00103C29">
        <w:rPr>
          <w:rFonts w:ascii="Times New Roman" w:hAnsi="Times New Roman"/>
          <w:b/>
          <w:i/>
          <w:noProof/>
          <w:color w:val="44546A" w:themeColor="text2"/>
          <w:sz w:val="24"/>
        </w:rPr>
        <w:t>The evolving nature of criminal networks</w:t>
      </w:r>
    </w:p>
    <w:p w14:paraId="0066C2B5" w14:textId="77777777" w:rsidR="004D7FEE" w:rsidRPr="00103C29" w:rsidRDefault="004D7FEE" w:rsidP="00F75B2A">
      <w:pPr>
        <w:pStyle w:val="Body"/>
        <w:spacing w:after="120"/>
        <w:jc w:val="both"/>
        <w:rPr>
          <w:rFonts w:ascii="Times New Roman" w:hAnsi="Times New Roman"/>
          <w:bCs/>
          <w:noProof/>
          <w:sz w:val="24"/>
        </w:rPr>
      </w:pPr>
      <w:r w:rsidRPr="00103C29">
        <w:rPr>
          <w:rFonts w:ascii="Times New Roman" w:hAnsi="Times New Roman"/>
          <w:noProof/>
          <w:sz w:val="24"/>
          <w:lang w:eastAsia="nl-BE"/>
        </w:rPr>
        <w:t xml:space="preserve">There is also evolution in the nature and size of </w:t>
      </w:r>
      <w:r w:rsidRPr="00103C29">
        <w:rPr>
          <w:rFonts w:ascii="Times New Roman" w:hAnsi="Times New Roman"/>
          <w:noProof/>
          <w:sz w:val="24"/>
        </w:rPr>
        <w:t>criminal networks</w:t>
      </w:r>
      <w:r w:rsidRPr="00103C29">
        <w:rPr>
          <w:rFonts w:ascii="Times New Roman" w:hAnsi="Times New Roman"/>
          <w:bCs/>
          <w:noProof/>
          <w:sz w:val="24"/>
        </w:rPr>
        <w:t>.</w:t>
      </w:r>
      <w:r w:rsidRPr="00103C29">
        <w:rPr>
          <w:rFonts w:ascii="Times New Roman" w:hAnsi="Times New Roman"/>
          <w:noProof/>
          <w:sz w:val="24"/>
        </w:rPr>
        <w:t xml:space="preserve"> Europol estimates that around one fifth of criminal networks are composed of no more than five members and are highly flexible. Most criminal networks do not follow strict hierarchical structures, but are rather loose and organic networks (see Figure 1 below),</w:t>
      </w:r>
      <w:r w:rsidRPr="00103C29">
        <w:rPr>
          <w:rStyle w:val="FootnoteReference"/>
          <w:rFonts w:ascii="Times New Roman" w:hAnsi="Times New Roman"/>
          <w:noProof/>
          <w:sz w:val="24"/>
        </w:rPr>
        <w:footnoteReference w:id="182"/>
      </w:r>
      <w:r w:rsidRPr="00103C29">
        <w:rPr>
          <w:rFonts w:ascii="Times New Roman" w:hAnsi="Times New Roman"/>
          <w:noProof/>
          <w:sz w:val="24"/>
        </w:rPr>
        <w:t xml:space="preserve"> which makes them difficult to disrupt and dismantle, and which means </w:t>
      </w:r>
      <w:r w:rsidRPr="00103C29">
        <w:rPr>
          <w:rFonts w:ascii="Times New Roman" w:hAnsi="Times New Roman"/>
          <w:bCs/>
          <w:noProof/>
          <w:sz w:val="24"/>
        </w:rPr>
        <w:t>that these groups are more able to flex and adapt to exploit new opportunitites</w:t>
      </w:r>
      <w:r w:rsidRPr="00103C29">
        <w:rPr>
          <w:rFonts w:ascii="Times New Roman" w:hAnsi="Times New Roman"/>
          <w:noProof/>
          <w:sz w:val="24"/>
        </w:rPr>
        <w:t>. For this reason, the 2021 EU SOCTA</w:t>
      </w:r>
      <w:r w:rsidRPr="00103C29">
        <w:rPr>
          <w:rStyle w:val="FootnoteReference"/>
          <w:rFonts w:ascii="Times New Roman" w:hAnsi="Times New Roman"/>
          <w:noProof/>
          <w:sz w:val="24"/>
        </w:rPr>
        <w:footnoteReference w:id="183"/>
      </w:r>
      <w:r w:rsidRPr="00103C29">
        <w:rPr>
          <w:rFonts w:ascii="Times New Roman" w:hAnsi="Times New Roman"/>
          <w:noProof/>
          <w:sz w:val="24"/>
        </w:rPr>
        <w:t xml:space="preserve"> lists high-risk criminal networks (including for corruption, money laundering and the use of firearms) as the most important crime threat facing the EU. </w:t>
      </w:r>
    </w:p>
    <w:p w14:paraId="51119B80"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bCs/>
          <w:noProof/>
          <w:sz w:val="24"/>
        </w:rPr>
        <w:t>Criminal networks in the EU operate across national borders, exploit legal business structures and are highly flexible and adaptive</w:t>
      </w:r>
      <w:r w:rsidRPr="00103C29">
        <w:rPr>
          <w:rFonts w:ascii="Times New Roman" w:hAnsi="Times New Roman"/>
          <w:noProof/>
          <w:sz w:val="24"/>
        </w:rPr>
        <w:t xml:space="preserve">. The 2021 EU SOCTA estimates that around 80% of the criminal networks </w:t>
      </w:r>
      <w:r w:rsidRPr="00103C29">
        <w:rPr>
          <w:rFonts w:ascii="Times New Roman" w:hAnsi="Times New Roman"/>
          <w:noProof/>
          <w:sz w:val="24"/>
          <w:lang w:eastAsia="nl-BE"/>
        </w:rPr>
        <w:t xml:space="preserve">engage in </w:t>
      </w:r>
      <w:r w:rsidRPr="00103C29">
        <w:rPr>
          <w:rFonts w:ascii="Times New Roman" w:hAnsi="Times New Roman"/>
          <w:noProof/>
          <w:sz w:val="24"/>
        </w:rPr>
        <w:t>drug trafficking, organised property crime, excise fraud, human trafficking, online and other fraud and migrant smuggling.</w:t>
      </w:r>
      <w:r w:rsidRPr="00103C29">
        <w:rPr>
          <w:rStyle w:val="FootnoteReference"/>
          <w:rFonts w:ascii="Times New Roman" w:hAnsi="Times New Roman"/>
          <w:noProof/>
          <w:sz w:val="24"/>
        </w:rPr>
        <w:footnoteReference w:id="184"/>
      </w:r>
      <w:r w:rsidRPr="00103C29">
        <w:rPr>
          <w:rFonts w:ascii="Times New Roman" w:hAnsi="Times New Roman"/>
          <w:noProof/>
          <w:sz w:val="24"/>
        </w:rPr>
        <w:t xml:space="preserve"> Around 7 out of 10 operate in more than three countries and 65% involve individuals of several nationalities. </w:t>
      </w:r>
    </w:p>
    <w:p w14:paraId="0085096C"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OCGs are opportunistic, for example, in exploiting innovations in transportation to develop new modes to traffic illicit goods.</w:t>
      </w:r>
      <w:r w:rsidRPr="00103C29">
        <w:rPr>
          <w:rFonts w:ascii="Times New Roman" w:hAnsi="Times New Roman"/>
          <w:noProof/>
          <w:sz w:val="24"/>
          <w:vertAlign w:val="superscript"/>
        </w:rPr>
        <w:footnoteReference w:id="185"/>
      </w:r>
      <w:r w:rsidRPr="00103C29">
        <w:rPr>
          <w:rFonts w:ascii="Times New Roman" w:hAnsi="Times New Roman"/>
          <w:noProof/>
          <w:sz w:val="24"/>
        </w:rPr>
        <w:t xml:space="preserve"> As described above, this characteristic has also clearly shown during the COVID-19 pandemic. In general, OCGs tend to be </w:t>
      </w:r>
      <w:r w:rsidRPr="00103C29">
        <w:rPr>
          <w:rFonts w:ascii="Times New Roman" w:hAnsi="Times New Roman"/>
          <w:bCs/>
          <w:noProof/>
          <w:sz w:val="24"/>
        </w:rPr>
        <w:t>flexible</w:t>
      </w:r>
      <w:r w:rsidRPr="00103C29">
        <w:rPr>
          <w:rFonts w:ascii="Times New Roman" w:hAnsi="Times New Roman"/>
          <w:noProof/>
          <w:sz w:val="24"/>
        </w:rPr>
        <w:t xml:space="preserve"> so as to mitigate risks, reduce operational costs and increase profit margins. </w:t>
      </w:r>
      <w:bookmarkStart w:id="167" w:name="_Hlk72767007"/>
    </w:p>
    <w:p w14:paraId="14A48A4B" w14:textId="77777777" w:rsidR="004D7FEE" w:rsidRPr="000A18E7" w:rsidRDefault="004D7FEE" w:rsidP="002F2104">
      <w:pPr>
        <w:pStyle w:val="Caption"/>
        <w:keepNext/>
        <w:jc w:val="center"/>
        <w:rPr>
          <w:noProof/>
          <w:lang w:val="en-GB"/>
        </w:rPr>
      </w:pPr>
      <w:r w:rsidRPr="000A18E7">
        <w:rPr>
          <w:noProof/>
          <w:lang w:val="en-GB"/>
        </w:rPr>
        <w:t>Current Structures of Criminal Networks</w:t>
      </w:r>
    </w:p>
    <w:p w14:paraId="075A269E" w14:textId="77777777" w:rsidR="004D7FEE" w:rsidRPr="000A18E7" w:rsidRDefault="004D7FEE" w:rsidP="00103C29">
      <w:pPr>
        <w:keepNext/>
        <w:spacing w:before="120" w:after="120"/>
        <w:jc w:val="both"/>
        <w:rPr>
          <w:rFonts w:ascii="Verdana" w:hAnsi="Verdana"/>
          <w:b/>
          <w:noProof/>
          <w:sz w:val="18"/>
        </w:rPr>
      </w:pPr>
      <w:r w:rsidRPr="000A18E7">
        <w:rPr>
          <w:noProof/>
          <w:lang w:val="en-GB" w:eastAsia="en-GB"/>
        </w:rPr>
        <w:drawing>
          <wp:inline distT="0" distB="0" distL="0" distR="0" wp14:anchorId="3F300555" wp14:editId="304975BB">
            <wp:extent cx="6115050" cy="1942465"/>
            <wp:effectExtent l="0" t="0" r="0" b="0"/>
            <wp:docPr id="7" name="Content Placeholder 19">
              <a:extLst xmlns:a="http://schemas.openxmlformats.org/drawingml/2006/main">
                <a:ext uri="{FF2B5EF4-FFF2-40B4-BE49-F238E27FC236}">
                  <a16:creationId xmlns:a16="http://schemas.microsoft.com/office/drawing/2014/main" id="{62EAA02B-8F42-4B81-9438-AC8C63248F9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 name="Content Placeholder 19">
                      <a:extLst>
                        <a:ext uri="{FF2B5EF4-FFF2-40B4-BE49-F238E27FC236}">
                          <a16:creationId xmlns:a16="http://schemas.microsoft.com/office/drawing/2014/main" id="{62EAA02B-8F42-4B81-9438-AC8C63248F9E}"/>
                        </a:ext>
                      </a:extLst>
                    </pic:cNvPr>
                    <pic:cNvPicPr>
                      <a:picLocks noGrp="1" noChangeAspect="1"/>
                    </pic:cNvPicPr>
                  </pic:nvPicPr>
                  <pic:blipFill>
                    <a:blip r:embed="rId47"/>
                    <a:stretch>
                      <a:fillRect/>
                    </a:stretch>
                  </pic:blipFill>
                  <pic:spPr>
                    <a:xfrm>
                      <a:off x="0" y="0"/>
                      <a:ext cx="6115050" cy="1942465"/>
                    </a:xfrm>
                    <a:prstGeom prst="rect">
                      <a:avLst/>
                    </a:prstGeom>
                  </pic:spPr>
                </pic:pic>
              </a:graphicData>
            </a:graphic>
          </wp:inline>
        </w:drawing>
      </w:r>
    </w:p>
    <w:p w14:paraId="2888428B" w14:textId="77777777" w:rsidR="004D7FEE" w:rsidRPr="000A18E7" w:rsidRDefault="004D7FEE" w:rsidP="00103C29">
      <w:pPr>
        <w:pStyle w:val="Body"/>
        <w:jc w:val="both"/>
        <w:rPr>
          <w:noProof/>
        </w:rPr>
      </w:pPr>
      <w:r w:rsidRPr="00704502">
        <w:rPr>
          <w:i/>
          <w:iCs/>
          <w:noProof/>
          <w:color w:val="808080" w:themeColor="text1" w:themeTint="7F"/>
          <w:sz w:val="16"/>
        </w:rPr>
        <w:t xml:space="preserve">Source: </w:t>
      </w:r>
      <w:r w:rsidR="00414CF9">
        <w:rPr>
          <w:i/>
          <w:noProof/>
          <w:color w:val="7F7F7F" w:themeColor="text1" w:themeTint="80"/>
          <w:sz w:val="16"/>
          <w:szCs w:val="16"/>
        </w:rPr>
        <w:t>EY/RAND Europe Study</w:t>
      </w:r>
      <w:r w:rsidR="00414CF9" w:rsidRPr="00AC24E2">
        <w:rPr>
          <w:i/>
          <w:noProof/>
          <w:color w:val="7F7F7F" w:themeColor="text1" w:themeTint="80"/>
          <w:sz w:val="16"/>
          <w:szCs w:val="16"/>
        </w:rPr>
        <w:t>’s elaboration</w:t>
      </w:r>
      <w:r w:rsidR="00414CF9" w:rsidRPr="000A18E7">
        <w:rPr>
          <w:i/>
          <w:iCs/>
          <w:noProof/>
          <w:color w:val="808080" w:themeColor="text1" w:themeTint="7F"/>
          <w:sz w:val="18"/>
        </w:rPr>
        <w:t xml:space="preserve"> </w:t>
      </w:r>
      <w:r w:rsidRPr="00704502">
        <w:rPr>
          <w:i/>
          <w:iCs/>
          <w:noProof/>
          <w:color w:val="808080" w:themeColor="text1" w:themeTint="7F"/>
          <w:sz w:val="16"/>
        </w:rPr>
        <w:t>based on Europol SOCTA 2021</w:t>
      </w:r>
    </w:p>
    <w:p w14:paraId="0E6DA71A" w14:textId="77777777" w:rsidR="004D7FEE" w:rsidRPr="00103C29" w:rsidRDefault="004D7FEE" w:rsidP="00103C29">
      <w:pPr>
        <w:pStyle w:val="Body"/>
        <w:jc w:val="both"/>
        <w:rPr>
          <w:rFonts w:ascii="Times New Roman" w:hAnsi="Times New Roman"/>
          <w:b/>
          <w:i/>
          <w:noProof/>
          <w:color w:val="44546A" w:themeColor="text2"/>
          <w:sz w:val="24"/>
          <w:szCs w:val="24"/>
        </w:rPr>
      </w:pPr>
      <w:r w:rsidRPr="00103C29">
        <w:rPr>
          <w:rFonts w:ascii="Times New Roman" w:hAnsi="Times New Roman"/>
          <w:b/>
          <w:i/>
          <w:noProof/>
          <w:color w:val="44546A" w:themeColor="text2"/>
          <w:sz w:val="24"/>
          <w:szCs w:val="24"/>
        </w:rPr>
        <w:t>The harms and security threat caused by organised crime</w:t>
      </w:r>
    </w:p>
    <w:p w14:paraId="1FB04F0D"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 xml:space="preserve">SOC </w:t>
      </w:r>
      <w:r w:rsidRPr="00103C29">
        <w:rPr>
          <w:rFonts w:ascii="Times New Roman" w:hAnsi="Times New Roman"/>
          <w:bCs/>
          <w:noProof/>
          <w:sz w:val="24"/>
          <w:szCs w:val="24"/>
        </w:rPr>
        <w:t>causes economic harms</w:t>
      </w:r>
      <w:r w:rsidRPr="00103C29">
        <w:rPr>
          <w:rFonts w:ascii="Times New Roman" w:hAnsi="Times New Roman"/>
          <w:noProof/>
          <w:sz w:val="24"/>
          <w:szCs w:val="24"/>
        </w:rPr>
        <w:t>. A 2013 study conducted for the European Parliament</w:t>
      </w:r>
      <w:r w:rsidRPr="00103C29">
        <w:rPr>
          <w:rFonts w:ascii="Times New Roman" w:hAnsi="Times New Roman"/>
          <w:noProof/>
          <w:sz w:val="24"/>
          <w:szCs w:val="24"/>
          <w:vertAlign w:val="superscript"/>
        </w:rPr>
        <w:t xml:space="preserve"> </w:t>
      </w:r>
      <w:r w:rsidRPr="00103C29">
        <w:rPr>
          <w:rFonts w:ascii="Times New Roman" w:hAnsi="Times New Roman"/>
          <w:noProof/>
          <w:sz w:val="24"/>
          <w:szCs w:val="24"/>
        </w:rPr>
        <w:t>concluded that, at a minimum, the annual direct cost of organised crime activities in the EU was EUR 126.3 billion, with over EUR 35 billion in additional related costs.</w:t>
      </w:r>
      <w:r w:rsidRPr="00103C29">
        <w:rPr>
          <w:rFonts w:ascii="Times New Roman" w:hAnsi="Times New Roman"/>
          <w:noProof/>
          <w:sz w:val="24"/>
          <w:szCs w:val="24"/>
          <w:vertAlign w:val="superscript"/>
        </w:rPr>
        <w:footnoteReference w:id="186"/>
      </w:r>
      <w:r w:rsidRPr="00103C29">
        <w:rPr>
          <w:rFonts w:ascii="Times New Roman" w:hAnsi="Times New Roman"/>
          <w:noProof/>
          <w:sz w:val="24"/>
          <w:szCs w:val="24"/>
        </w:rPr>
        <w:t xml:space="preserve"> Annual revenues from nine main criminal markets</w:t>
      </w:r>
      <w:r w:rsidRPr="00103C29">
        <w:rPr>
          <w:rFonts w:ascii="Times New Roman" w:hAnsi="Times New Roman"/>
          <w:noProof/>
          <w:sz w:val="24"/>
          <w:szCs w:val="24"/>
          <w:vertAlign w:val="superscript"/>
        </w:rPr>
        <w:footnoteReference w:id="187"/>
      </w:r>
      <w:r w:rsidRPr="00103C29">
        <w:rPr>
          <w:rFonts w:ascii="Times New Roman" w:hAnsi="Times New Roman"/>
          <w:noProof/>
          <w:sz w:val="24"/>
          <w:szCs w:val="24"/>
        </w:rPr>
        <w:t xml:space="preserve"> in the EU were estimated at between EUR 92 billion and EUR 188 billion in 2019</w:t>
      </w:r>
      <w:r w:rsidRPr="00103C29">
        <w:rPr>
          <w:rFonts w:ascii="Times New Roman" w:hAnsi="Times New Roman"/>
          <w:noProof/>
          <w:sz w:val="24"/>
          <w:szCs w:val="24"/>
          <w:vertAlign w:val="superscript"/>
        </w:rPr>
        <w:footnoteReference w:id="188"/>
      </w:r>
      <w:r w:rsidRPr="00103C29">
        <w:rPr>
          <w:rFonts w:ascii="Times New Roman" w:hAnsi="Times New Roman"/>
          <w:noProof/>
          <w:sz w:val="24"/>
          <w:szCs w:val="24"/>
        </w:rPr>
        <w:t xml:space="preserve"> – between 0.66%-1.35% of the EU27 Gross Domestic Product (GDP).</w:t>
      </w:r>
      <w:r w:rsidRPr="00103C29">
        <w:rPr>
          <w:rFonts w:ascii="Times New Roman" w:hAnsi="Times New Roman"/>
          <w:noProof/>
          <w:sz w:val="24"/>
          <w:szCs w:val="24"/>
          <w:vertAlign w:val="superscript"/>
        </w:rPr>
        <w:footnoteReference w:id="189"/>
      </w:r>
      <w:r w:rsidRPr="00103C29">
        <w:rPr>
          <w:rFonts w:ascii="Times New Roman" w:hAnsi="Times New Roman"/>
          <w:noProof/>
          <w:sz w:val="24"/>
          <w:szCs w:val="24"/>
        </w:rPr>
        <w:t xml:space="preserve"> </w:t>
      </w:r>
    </w:p>
    <w:p w14:paraId="0402C127" w14:textId="77777777" w:rsidR="004D7FEE"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The analysis shows that the largest markets in terms of revenues were missing trader intra-community fraud (MTIC) fraud</w:t>
      </w:r>
      <w:r w:rsidR="00197D3A">
        <w:rPr>
          <w:rStyle w:val="FootnoteReference"/>
          <w:rFonts w:ascii="Times New Roman" w:hAnsi="Times New Roman"/>
          <w:noProof/>
          <w:sz w:val="24"/>
          <w:szCs w:val="24"/>
        </w:rPr>
        <w:footnoteReference w:id="190"/>
      </w:r>
      <w:r w:rsidRPr="00103C29">
        <w:rPr>
          <w:rFonts w:ascii="Times New Roman" w:hAnsi="Times New Roman"/>
          <w:noProof/>
          <w:sz w:val="24"/>
          <w:szCs w:val="24"/>
        </w:rPr>
        <w:t>, illicit drugs, illicit tobacco (specifically cigarettes) and illicit waste. However, given the lack of figures on illicit markets, this quantification is likely an underestimation. The following table summarises low, mid, and high criminal revenue estimates for different criminal markets and years for the year 2019.</w:t>
      </w:r>
    </w:p>
    <w:p w14:paraId="61A2F729" w14:textId="77777777" w:rsidR="004D7FEE" w:rsidRPr="00704502" w:rsidRDefault="004D7FEE" w:rsidP="002F2104">
      <w:pPr>
        <w:pStyle w:val="Caption"/>
        <w:keepNext/>
        <w:jc w:val="center"/>
        <w:rPr>
          <w:noProof/>
          <w:szCs w:val="18"/>
          <w:lang w:val="en-GB"/>
        </w:rPr>
      </w:pPr>
      <w:r w:rsidRPr="00704502">
        <w:rPr>
          <w:noProof/>
          <w:szCs w:val="18"/>
          <w:lang w:val="en-GB"/>
        </w:rPr>
        <w:t>Headline criminal revenue estimates</w:t>
      </w:r>
    </w:p>
    <w:tbl>
      <w:tblPr>
        <w:tblStyle w:val="TableGrid"/>
        <w:tblW w:w="5000" w:type="pct"/>
        <w:tblLook w:val="04A0" w:firstRow="1" w:lastRow="0" w:firstColumn="1" w:lastColumn="0" w:noHBand="0" w:noVBand="1"/>
      </w:tblPr>
      <w:tblGrid>
        <w:gridCol w:w="2905"/>
        <w:gridCol w:w="2313"/>
        <w:gridCol w:w="434"/>
        <w:gridCol w:w="2161"/>
        <w:gridCol w:w="433"/>
        <w:gridCol w:w="1608"/>
      </w:tblGrid>
      <w:tr w:rsidR="004D7FEE" w:rsidRPr="00B3238F" w14:paraId="68D6495D" w14:textId="77777777" w:rsidTr="0068616C">
        <w:trPr>
          <w:trHeight w:val="300"/>
          <w:tblHeader/>
        </w:trPr>
        <w:tc>
          <w:tcPr>
            <w:tcW w:w="1541" w:type="pct"/>
            <w:vMerge w:val="restart"/>
            <w:shd w:val="clear" w:color="auto" w:fill="00B0F0"/>
            <w:noWrap/>
          </w:tcPr>
          <w:p w14:paraId="43F0C785" w14:textId="77777777" w:rsidR="004D7FEE" w:rsidRPr="00704502" w:rsidRDefault="004D7FEE" w:rsidP="00103C29">
            <w:pPr>
              <w:pStyle w:val="Table"/>
              <w:jc w:val="both"/>
              <w:rPr>
                <w:rFonts w:ascii="Verdana" w:hAnsi="Verdana"/>
                <w:noProof/>
                <w:sz w:val="18"/>
                <w:szCs w:val="18"/>
              </w:rPr>
            </w:pPr>
            <w:r w:rsidRPr="00704502">
              <w:rPr>
                <w:rFonts w:ascii="Verdana" w:hAnsi="Verdana"/>
                <w:bCs/>
                <w:noProof/>
                <w:sz w:val="18"/>
                <w:szCs w:val="18"/>
              </w:rPr>
              <w:t>Criminal markets and areas</w:t>
            </w:r>
          </w:p>
        </w:tc>
        <w:tc>
          <w:tcPr>
            <w:tcW w:w="3459" w:type="pct"/>
            <w:gridSpan w:val="5"/>
            <w:shd w:val="clear" w:color="auto" w:fill="00B0F0"/>
            <w:noWrap/>
          </w:tcPr>
          <w:p w14:paraId="07231B2D" w14:textId="77777777" w:rsidR="004D7FEE" w:rsidRPr="00704502" w:rsidRDefault="004D7FEE" w:rsidP="005B3636">
            <w:pPr>
              <w:pStyle w:val="Table"/>
              <w:jc w:val="center"/>
              <w:rPr>
                <w:rFonts w:ascii="Verdana" w:hAnsi="Verdana"/>
                <w:noProof/>
                <w:sz w:val="18"/>
                <w:szCs w:val="18"/>
              </w:rPr>
            </w:pPr>
            <w:r w:rsidRPr="00704502">
              <w:rPr>
                <w:rFonts w:ascii="Verdana" w:hAnsi="Verdana"/>
                <w:bCs/>
                <w:noProof/>
                <w:sz w:val="18"/>
                <w:szCs w:val="18"/>
              </w:rPr>
              <w:t xml:space="preserve">Revenues, adjusted for inflation, 2019 </w:t>
            </w:r>
            <w:r w:rsidRPr="00704502">
              <w:rPr>
                <w:rFonts w:ascii="Verdana" w:hAnsi="Verdana"/>
                <w:bCs/>
                <w:noProof/>
                <w:sz w:val="18"/>
                <w:szCs w:val="18"/>
              </w:rPr>
              <w:br/>
              <w:t>(EUR million)</w:t>
            </w:r>
          </w:p>
        </w:tc>
      </w:tr>
      <w:tr w:rsidR="004D7FEE" w:rsidRPr="00B3238F" w14:paraId="118E0171" w14:textId="77777777" w:rsidTr="0068616C">
        <w:trPr>
          <w:trHeight w:val="300"/>
          <w:tblHeader/>
        </w:trPr>
        <w:tc>
          <w:tcPr>
            <w:tcW w:w="1541" w:type="pct"/>
            <w:vMerge/>
            <w:shd w:val="clear" w:color="auto" w:fill="00B0F0"/>
            <w:noWrap/>
          </w:tcPr>
          <w:p w14:paraId="7FC96194" w14:textId="77777777" w:rsidR="004D7FEE" w:rsidRPr="00704502" w:rsidRDefault="004D7FEE" w:rsidP="00103C29">
            <w:pPr>
              <w:pStyle w:val="Table"/>
              <w:jc w:val="both"/>
              <w:rPr>
                <w:rFonts w:ascii="Verdana" w:hAnsi="Verdana"/>
                <w:noProof/>
                <w:sz w:val="18"/>
                <w:szCs w:val="18"/>
              </w:rPr>
            </w:pPr>
          </w:p>
        </w:tc>
        <w:tc>
          <w:tcPr>
            <w:tcW w:w="1365" w:type="pct"/>
            <w:gridSpan w:val="2"/>
            <w:shd w:val="clear" w:color="auto" w:fill="00B0F0"/>
            <w:noWrap/>
          </w:tcPr>
          <w:p w14:paraId="6BB16113" w14:textId="77777777" w:rsidR="004D7FEE" w:rsidRPr="00704502" w:rsidRDefault="004D7FEE" w:rsidP="00103C29">
            <w:pPr>
              <w:pStyle w:val="Table"/>
              <w:jc w:val="both"/>
              <w:rPr>
                <w:rFonts w:ascii="Verdana" w:hAnsi="Verdana"/>
                <w:b/>
                <w:bCs/>
                <w:noProof/>
                <w:sz w:val="18"/>
                <w:szCs w:val="18"/>
              </w:rPr>
            </w:pPr>
            <w:r w:rsidRPr="00704502">
              <w:rPr>
                <w:rFonts w:ascii="Verdana" w:hAnsi="Verdana"/>
                <w:bCs/>
                <w:noProof/>
                <w:sz w:val="18"/>
                <w:szCs w:val="18"/>
              </w:rPr>
              <w:t>Mid</w:t>
            </w:r>
          </w:p>
        </w:tc>
        <w:tc>
          <w:tcPr>
            <w:tcW w:w="1124" w:type="pct"/>
            <w:shd w:val="clear" w:color="auto" w:fill="00B0F0"/>
            <w:noWrap/>
          </w:tcPr>
          <w:p w14:paraId="0EE60EEA" w14:textId="77777777" w:rsidR="004D7FEE" w:rsidRPr="00704502" w:rsidRDefault="004D7FEE" w:rsidP="00103C29">
            <w:pPr>
              <w:pStyle w:val="Table"/>
              <w:jc w:val="both"/>
              <w:rPr>
                <w:rFonts w:ascii="Verdana" w:hAnsi="Verdana"/>
                <w:b/>
                <w:bCs/>
                <w:noProof/>
                <w:sz w:val="18"/>
                <w:szCs w:val="18"/>
              </w:rPr>
            </w:pPr>
            <w:r w:rsidRPr="00704502">
              <w:rPr>
                <w:rFonts w:ascii="Verdana" w:hAnsi="Verdana"/>
                <w:bCs/>
                <w:noProof/>
                <w:sz w:val="18"/>
                <w:szCs w:val="18"/>
              </w:rPr>
              <w:t>Low</w:t>
            </w:r>
          </w:p>
        </w:tc>
        <w:tc>
          <w:tcPr>
            <w:tcW w:w="970" w:type="pct"/>
            <w:gridSpan w:val="2"/>
            <w:shd w:val="clear" w:color="auto" w:fill="00B0F0"/>
            <w:noWrap/>
          </w:tcPr>
          <w:p w14:paraId="2AD6E7F9" w14:textId="77777777" w:rsidR="004D7FEE" w:rsidRPr="00704502" w:rsidRDefault="004D7FEE" w:rsidP="00103C29">
            <w:pPr>
              <w:pStyle w:val="Table"/>
              <w:jc w:val="both"/>
              <w:rPr>
                <w:rFonts w:ascii="Verdana" w:hAnsi="Verdana"/>
                <w:b/>
                <w:bCs/>
                <w:noProof/>
                <w:sz w:val="18"/>
                <w:szCs w:val="18"/>
              </w:rPr>
            </w:pPr>
            <w:r w:rsidRPr="00704502">
              <w:rPr>
                <w:rFonts w:ascii="Verdana" w:hAnsi="Verdana"/>
                <w:bCs/>
                <w:noProof/>
                <w:sz w:val="18"/>
                <w:szCs w:val="18"/>
              </w:rPr>
              <w:t>High</w:t>
            </w:r>
          </w:p>
        </w:tc>
      </w:tr>
      <w:tr w:rsidR="004D7FEE" w:rsidRPr="00B3238F" w14:paraId="49563A28" w14:textId="77777777" w:rsidTr="0068616C">
        <w:trPr>
          <w:trHeight w:val="300"/>
        </w:trPr>
        <w:tc>
          <w:tcPr>
            <w:tcW w:w="1541" w:type="pct"/>
            <w:noWrap/>
            <w:hideMark/>
          </w:tcPr>
          <w:p w14:paraId="0FDA188E"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Illicit drugs</w:t>
            </w:r>
          </w:p>
        </w:tc>
        <w:tc>
          <w:tcPr>
            <w:tcW w:w="1209" w:type="pct"/>
            <w:noWrap/>
            <w:hideMark/>
          </w:tcPr>
          <w:p w14:paraId="3CECC485"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30,688.41</w:t>
            </w:r>
          </w:p>
        </w:tc>
        <w:tc>
          <w:tcPr>
            <w:tcW w:w="1436" w:type="pct"/>
            <w:gridSpan w:val="3"/>
            <w:noWrap/>
            <w:hideMark/>
          </w:tcPr>
          <w:p w14:paraId="623C005A"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26,708.13</w:t>
            </w:r>
          </w:p>
        </w:tc>
        <w:tc>
          <w:tcPr>
            <w:tcW w:w="814" w:type="pct"/>
            <w:noWrap/>
            <w:hideMark/>
          </w:tcPr>
          <w:p w14:paraId="32E654F6"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35,514.56</w:t>
            </w:r>
          </w:p>
        </w:tc>
      </w:tr>
      <w:tr w:rsidR="004D7FEE" w:rsidRPr="00B3238F" w14:paraId="531A0861" w14:textId="77777777" w:rsidTr="0068616C">
        <w:trPr>
          <w:trHeight w:val="300"/>
        </w:trPr>
        <w:tc>
          <w:tcPr>
            <w:tcW w:w="1541" w:type="pct"/>
            <w:noWrap/>
            <w:hideMark/>
          </w:tcPr>
          <w:p w14:paraId="0C01F3BD" w14:textId="77777777" w:rsidR="004D7FEE" w:rsidRPr="00704502" w:rsidRDefault="004D7FEE" w:rsidP="00970640">
            <w:pPr>
              <w:pStyle w:val="Table"/>
              <w:jc w:val="both"/>
              <w:rPr>
                <w:rFonts w:ascii="Verdana" w:hAnsi="Verdana"/>
                <w:noProof/>
                <w:sz w:val="18"/>
                <w:szCs w:val="18"/>
              </w:rPr>
            </w:pPr>
            <w:r w:rsidRPr="00704502">
              <w:rPr>
                <w:rFonts w:ascii="Verdana" w:hAnsi="Verdana"/>
                <w:noProof/>
                <w:sz w:val="18"/>
                <w:szCs w:val="18"/>
              </w:rPr>
              <w:t>T</w:t>
            </w:r>
            <w:r w:rsidR="00BD6916">
              <w:rPr>
                <w:rFonts w:ascii="Verdana" w:hAnsi="Verdana"/>
                <w:noProof/>
                <w:sz w:val="18"/>
                <w:szCs w:val="18"/>
              </w:rPr>
              <w:t xml:space="preserve">rafficking in Human Beings (THB) </w:t>
            </w:r>
            <w:r w:rsidRPr="00704502">
              <w:rPr>
                <w:rFonts w:ascii="Verdana" w:hAnsi="Verdana"/>
                <w:noProof/>
                <w:sz w:val="18"/>
                <w:szCs w:val="18"/>
              </w:rPr>
              <w:t>for sexual exploitation</w:t>
            </w:r>
          </w:p>
        </w:tc>
        <w:tc>
          <w:tcPr>
            <w:tcW w:w="1209" w:type="pct"/>
            <w:noWrap/>
            <w:hideMark/>
          </w:tcPr>
          <w:p w14:paraId="41F06005"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7,185.93</w:t>
            </w:r>
          </w:p>
        </w:tc>
        <w:tc>
          <w:tcPr>
            <w:tcW w:w="1436" w:type="pct"/>
            <w:gridSpan w:val="3"/>
            <w:noWrap/>
            <w:hideMark/>
          </w:tcPr>
          <w:p w14:paraId="3DA068CC"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401.94</w:t>
            </w:r>
          </w:p>
        </w:tc>
        <w:tc>
          <w:tcPr>
            <w:tcW w:w="814" w:type="pct"/>
            <w:noWrap/>
            <w:hideMark/>
          </w:tcPr>
          <w:p w14:paraId="4DE130CD"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13,969.91</w:t>
            </w:r>
          </w:p>
        </w:tc>
      </w:tr>
      <w:tr w:rsidR="004D7FEE" w:rsidRPr="00B3238F" w14:paraId="30E0E470" w14:textId="77777777" w:rsidTr="0068616C">
        <w:trPr>
          <w:trHeight w:val="300"/>
        </w:trPr>
        <w:tc>
          <w:tcPr>
            <w:tcW w:w="1541" w:type="pct"/>
            <w:noWrap/>
            <w:hideMark/>
          </w:tcPr>
          <w:p w14:paraId="28C05E43"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Smuggling of migrants</w:t>
            </w:r>
          </w:p>
        </w:tc>
        <w:tc>
          <w:tcPr>
            <w:tcW w:w="1209" w:type="pct"/>
            <w:noWrap/>
            <w:hideMark/>
          </w:tcPr>
          <w:p w14:paraId="76ECEED4"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289.37</w:t>
            </w:r>
          </w:p>
        </w:tc>
        <w:tc>
          <w:tcPr>
            <w:tcW w:w="1436" w:type="pct"/>
            <w:gridSpan w:val="3"/>
            <w:noWrap/>
            <w:hideMark/>
          </w:tcPr>
          <w:p w14:paraId="7A932795"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215.60</w:t>
            </w:r>
          </w:p>
        </w:tc>
        <w:tc>
          <w:tcPr>
            <w:tcW w:w="814" w:type="pct"/>
            <w:noWrap/>
            <w:hideMark/>
          </w:tcPr>
          <w:p w14:paraId="7A6286F8"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363.15</w:t>
            </w:r>
          </w:p>
        </w:tc>
      </w:tr>
      <w:tr w:rsidR="004D7FEE" w:rsidRPr="00B3238F" w14:paraId="635B3193" w14:textId="77777777" w:rsidTr="0068616C">
        <w:trPr>
          <w:trHeight w:val="300"/>
        </w:trPr>
        <w:tc>
          <w:tcPr>
            <w:tcW w:w="1541" w:type="pct"/>
            <w:noWrap/>
            <w:hideMark/>
          </w:tcPr>
          <w:p w14:paraId="3EA85868"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MTIC fraud</w:t>
            </w:r>
          </w:p>
        </w:tc>
        <w:tc>
          <w:tcPr>
            <w:tcW w:w="1209" w:type="pct"/>
            <w:noWrap/>
            <w:hideMark/>
          </w:tcPr>
          <w:p w14:paraId="5B545EB4"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77,425.00</w:t>
            </w:r>
          </w:p>
        </w:tc>
        <w:tc>
          <w:tcPr>
            <w:tcW w:w="1436" w:type="pct"/>
            <w:gridSpan w:val="3"/>
            <w:noWrap/>
            <w:hideMark/>
          </w:tcPr>
          <w:p w14:paraId="4EC1FFD3"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50,858.00*</w:t>
            </w:r>
          </w:p>
        </w:tc>
        <w:tc>
          <w:tcPr>
            <w:tcW w:w="814" w:type="pct"/>
            <w:noWrap/>
            <w:hideMark/>
          </w:tcPr>
          <w:p w14:paraId="038012BB"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103,991.67</w:t>
            </w:r>
          </w:p>
        </w:tc>
      </w:tr>
      <w:tr w:rsidR="004D7FEE" w:rsidRPr="00B3238F" w14:paraId="09A6458F" w14:textId="77777777" w:rsidTr="0068616C">
        <w:trPr>
          <w:trHeight w:val="300"/>
        </w:trPr>
        <w:tc>
          <w:tcPr>
            <w:tcW w:w="1541" w:type="pct"/>
            <w:noWrap/>
            <w:hideMark/>
          </w:tcPr>
          <w:p w14:paraId="3C89C399"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Illicit waste*</w:t>
            </w:r>
          </w:p>
        </w:tc>
        <w:tc>
          <w:tcPr>
            <w:tcW w:w="1209" w:type="pct"/>
            <w:noWrap/>
            <w:hideMark/>
          </w:tcPr>
          <w:p w14:paraId="0C218D57"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9,506.62</w:t>
            </w:r>
          </w:p>
        </w:tc>
        <w:tc>
          <w:tcPr>
            <w:tcW w:w="1436" w:type="pct"/>
            <w:gridSpan w:val="3"/>
            <w:noWrap/>
            <w:hideMark/>
          </w:tcPr>
          <w:p w14:paraId="7E380464"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3,723.49</w:t>
            </w:r>
          </w:p>
        </w:tc>
        <w:tc>
          <w:tcPr>
            <w:tcW w:w="814" w:type="pct"/>
            <w:noWrap/>
            <w:hideMark/>
          </w:tcPr>
          <w:p w14:paraId="460D5C99"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15,289.74</w:t>
            </w:r>
          </w:p>
        </w:tc>
      </w:tr>
      <w:tr w:rsidR="004D7FEE" w:rsidRPr="00B3238F" w14:paraId="2A101F6D" w14:textId="77777777" w:rsidTr="0068616C">
        <w:trPr>
          <w:trHeight w:val="300"/>
        </w:trPr>
        <w:tc>
          <w:tcPr>
            <w:tcW w:w="1541" w:type="pct"/>
            <w:noWrap/>
            <w:hideMark/>
          </w:tcPr>
          <w:p w14:paraId="4AC7289C"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Illicit wildlife (European eels only)</w:t>
            </w:r>
          </w:p>
        </w:tc>
        <w:tc>
          <w:tcPr>
            <w:tcW w:w="1209" w:type="pct"/>
            <w:noWrap/>
            <w:hideMark/>
          </w:tcPr>
          <w:p w14:paraId="556DC236"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18.05</w:t>
            </w:r>
          </w:p>
        </w:tc>
        <w:tc>
          <w:tcPr>
            <w:tcW w:w="1436" w:type="pct"/>
            <w:gridSpan w:val="3"/>
            <w:noWrap/>
            <w:hideMark/>
          </w:tcPr>
          <w:p w14:paraId="6EC06DC7"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4.71</w:t>
            </w:r>
          </w:p>
        </w:tc>
        <w:tc>
          <w:tcPr>
            <w:tcW w:w="814" w:type="pct"/>
            <w:noWrap/>
            <w:hideMark/>
          </w:tcPr>
          <w:p w14:paraId="6740552A"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31.39</w:t>
            </w:r>
          </w:p>
        </w:tc>
      </w:tr>
      <w:tr w:rsidR="004D7FEE" w:rsidRPr="00B3238F" w14:paraId="27AE4C87" w14:textId="77777777" w:rsidTr="0068616C">
        <w:trPr>
          <w:trHeight w:val="300"/>
        </w:trPr>
        <w:tc>
          <w:tcPr>
            <w:tcW w:w="1541" w:type="pct"/>
            <w:noWrap/>
            <w:hideMark/>
          </w:tcPr>
          <w:p w14:paraId="4792530B"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Illicit firearms</w:t>
            </w:r>
          </w:p>
        </w:tc>
        <w:tc>
          <w:tcPr>
            <w:tcW w:w="1209" w:type="pct"/>
            <w:noWrap/>
            <w:hideMark/>
          </w:tcPr>
          <w:p w14:paraId="53889A8C"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408.09</w:t>
            </w:r>
          </w:p>
        </w:tc>
        <w:tc>
          <w:tcPr>
            <w:tcW w:w="1436" w:type="pct"/>
            <w:gridSpan w:val="3"/>
            <w:noWrap/>
            <w:hideMark/>
          </w:tcPr>
          <w:p w14:paraId="3A9DC6A0"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273.69</w:t>
            </w:r>
          </w:p>
        </w:tc>
        <w:tc>
          <w:tcPr>
            <w:tcW w:w="814" w:type="pct"/>
            <w:noWrap/>
            <w:hideMark/>
          </w:tcPr>
          <w:p w14:paraId="51D9B2D4"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753.96</w:t>
            </w:r>
          </w:p>
        </w:tc>
      </w:tr>
      <w:tr w:rsidR="004D7FEE" w:rsidRPr="00B3238F" w14:paraId="12A30A2B" w14:textId="77777777" w:rsidTr="0068616C">
        <w:trPr>
          <w:trHeight w:val="300"/>
        </w:trPr>
        <w:tc>
          <w:tcPr>
            <w:tcW w:w="1541" w:type="pct"/>
            <w:noWrap/>
            <w:hideMark/>
          </w:tcPr>
          <w:p w14:paraId="64BAA4E4"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Illicit cigarettes</w:t>
            </w:r>
          </w:p>
        </w:tc>
        <w:tc>
          <w:tcPr>
            <w:tcW w:w="1209" w:type="pct"/>
            <w:noWrap/>
            <w:hideMark/>
          </w:tcPr>
          <w:p w14:paraId="6754B477"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8,309.15</w:t>
            </w:r>
          </w:p>
        </w:tc>
        <w:tc>
          <w:tcPr>
            <w:tcW w:w="1436" w:type="pct"/>
            <w:gridSpan w:val="3"/>
            <w:noWrap/>
            <w:hideMark/>
          </w:tcPr>
          <w:p w14:paraId="379C19D0"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8,012.62</w:t>
            </w:r>
          </w:p>
        </w:tc>
        <w:tc>
          <w:tcPr>
            <w:tcW w:w="814" w:type="pct"/>
            <w:noWrap/>
            <w:hideMark/>
          </w:tcPr>
          <w:p w14:paraId="7A971F91"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10,087.48</w:t>
            </w:r>
          </w:p>
        </w:tc>
      </w:tr>
      <w:tr w:rsidR="004D7FEE" w:rsidRPr="00B3238F" w14:paraId="68C3EE54" w14:textId="77777777" w:rsidTr="0068616C">
        <w:trPr>
          <w:trHeight w:val="300"/>
        </w:trPr>
        <w:tc>
          <w:tcPr>
            <w:tcW w:w="1541" w:type="pct"/>
            <w:noWrap/>
            <w:hideMark/>
          </w:tcPr>
          <w:p w14:paraId="13C9DD47"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Card payment fraud</w:t>
            </w:r>
          </w:p>
        </w:tc>
        <w:tc>
          <w:tcPr>
            <w:tcW w:w="1209" w:type="pct"/>
            <w:noWrap/>
            <w:hideMark/>
          </w:tcPr>
          <w:p w14:paraId="423AB579"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1,816.43</w:t>
            </w:r>
          </w:p>
        </w:tc>
        <w:tc>
          <w:tcPr>
            <w:tcW w:w="1436" w:type="pct"/>
            <w:gridSpan w:val="3"/>
            <w:noWrap/>
            <w:hideMark/>
          </w:tcPr>
          <w:p w14:paraId="6150C423"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w:t>
            </w:r>
          </w:p>
        </w:tc>
        <w:tc>
          <w:tcPr>
            <w:tcW w:w="814" w:type="pct"/>
            <w:noWrap/>
            <w:hideMark/>
          </w:tcPr>
          <w:p w14:paraId="7281631B"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w:t>
            </w:r>
          </w:p>
        </w:tc>
      </w:tr>
      <w:tr w:rsidR="004D7FEE" w:rsidRPr="00B3238F" w14:paraId="1473A7FA" w14:textId="77777777" w:rsidTr="0068616C">
        <w:trPr>
          <w:trHeight w:val="300"/>
        </w:trPr>
        <w:tc>
          <w:tcPr>
            <w:tcW w:w="1541" w:type="pct"/>
            <w:noWrap/>
            <w:hideMark/>
          </w:tcPr>
          <w:p w14:paraId="3F9AFF88"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Cargo theft*</w:t>
            </w:r>
          </w:p>
        </w:tc>
        <w:tc>
          <w:tcPr>
            <w:tcW w:w="1209" w:type="pct"/>
            <w:noWrap/>
            <w:hideMark/>
          </w:tcPr>
          <w:p w14:paraId="3849D747"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3,347.86</w:t>
            </w:r>
          </w:p>
        </w:tc>
        <w:tc>
          <w:tcPr>
            <w:tcW w:w="1436" w:type="pct"/>
            <w:gridSpan w:val="3"/>
            <w:noWrap/>
            <w:hideMark/>
          </w:tcPr>
          <w:p w14:paraId="03D49497"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144.39</w:t>
            </w:r>
          </w:p>
        </w:tc>
        <w:tc>
          <w:tcPr>
            <w:tcW w:w="814" w:type="pct"/>
            <w:noWrap/>
            <w:hideMark/>
          </w:tcPr>
          <w:p w14:paraId="0D551783" w14:textId="77777777" w:rsidR="004D7FEE" w:rsidRPr="00704502" w:rsidRDefault="004D7FEE" w:rsidP="00103C29">
            <w:pPr>
              <w:pStyle w:val="Table"/>
              <w:jc w:val="both"/>
              <w:rPr>
                <w:rFonts w:ascii="Verdana" w:hAnsi="Verdana"/>
                <w:noProof/>
                <w:sz w:val="18"/>
                <w:szCs w:val="18"/>
              </w:rPr>
            </w:pPr>
            <w:r w:rsidRPr="00704502">
              <w:rPr>
                <w:rFonts w:ascii="Verdana" w:hAnsi="Verdana"/>
                <w:noProof/>
                <w:sz w:val="18"/>
                <w:szCs w:val="18"/>
              </w:rPr>
              <w:t>6,551.32</w:t>
            </w:r>
          </w:p>
        </w:tc>
      </w:tr>
      <w:tr w:rsidR="004D7FEE" w:rsidRPr="00B3238F" w14:paraId="332C36D9" w14:textId="77777777" w:rsidTr="0068616C">
        <w:trPr>
          <w:trHeight w:val="300"/>
        </w:trPr>
        <w:tc>
          <w:tcPr>
            <w:tcW w:w="1541" w:type="pct"/>
            <w:noWrap/>
            <w:hideMark/>
          </w:tcPr>
          <w:p w14:paraId="33FFDBD1" w14:textId="77777777" w:rsidR="004D7FEE" w:rsidRPr="00B3238F" w:rsidRDefault="004D7FEE" w:rsidP="00103C29">
            <w:pPr>
              <w:pStyle w:val="Table"/>
              <w:jc w:val="both"/>
              <w:rPr>
                <w:rFonts w:ascii="Verdana" w:hAnsi="Verdana"/>
                <w:noProof/>
                <w:sz w:val="18"/>
                <w:szCs w:val="18"/>
              </w:rPr>
            </w:pPr>
            <w:r w:rsidRPr="00B3238F">
              <w:rPr>
                <w:rFonts w:ascii="Verdana" w:hAnsi="Verdana"/>
                <w:noProof/>
                <w:sz w:val="18"/>
                <w:szCs w:val="18"/>
              </w:rPr>
              <w:t>ATM physical attacks*</w:t>
            </w:r>
          </w:p>
        </w:tc>
        <w:tc>
          <w:tcPr>
            <w:tcW w:w="1209" w:type="pct"/>
            <w:noWrap/>
            <w:hideMark/>
          </w:tcPr>
          <w:p w14:paraId="79A0AB07" w14:textId="77777777" w:rsidR="004D7FEE" w:rsidRPr="00F2536C" w:rsidRDefault="004D7FEE" w:rsidP="00103C29">
            <w:pPr>
              <w:pStyle w:val="Table"/>
              <w:jc w:val="both"/>
              <w:rPr>
                <w:rFonts w:ascii="Verdana" w:hAnsi="Verdana"/>
                <w:noProof/>
                <w:sz w:val="18"/>
                <w:szCs w:val="18"/>
              </w:rPr>
            </w:pPr>
            <w:r w:rsidRPr="00F2536C">
              <w:rPr>
                <w:rFonts w:ascii="Verdana" w:hAnsi="Verdana"/>
                <w:noProof/>
                <w:sz w:val="18"/>
                <w:szCs w:val="18"/>
              </w:rPr>
              <w:t>22.00</w:t>
            </w:r>
          </w:p>
        </w:tc>
        <w:tc>
          <w:tcPr>
            <w:tcW w:w="1436" w:type="pct"/>
            <w:gridSpan w:val="3"/>
            <w:noWrap/>
            <w:hideMark/>
          </w:tcPr>
          <w:p w14:paraId="23CE1E09" w14:textId="77777777" w:rsidR="004D7FEE" w:rsidRPr="00A21B15" w:rsidRDefault="004D7FEE" w:rsidP="00103C29">
            <w:pPr>
              <w:pStyle w:val="Table"/>
              <w:jc w:val="both"/>
              <w:rPr>
                <w:rFonts w:ascii="Verdana" w:hAnsi="Verdana"/>
                <w:noProof/>
                <w:sz w:val="18"/>
                <w:szCs w:val="18"/>
              </w:rPr>
            </w:pPr>
            <w:r w:rsidRPr="00A21B15">
              <w:rPr>
                <w:rFonts w:ascii="Verdana" w:hAnsi="Verdana"/>
                <w:noProof/>
                <w:sz w:val="18"/>
                <w:szCs w:val="18"/>
              </w:rPr>
              <w:t>-</w:t>
            </w:r>
          </w:p>
        </w:tc>
        <w:tc>
          <w:tcPr>
            <w:tcW w:w="814" w:type="pct"/>
            <w:noWrap/>
            <w:hideMark/>
          </w:tcPr>
          <w:p w14:paraId="356307BA" w14:textId="77777777" w:rsidR="004D7FEE" w:rsidRPr="00A21B15" w:rsidRDefault="004D7FEE" w:rsidP="00103C29">
            <w:pPr>
              <w:pStyle w:val="Table"/>
              <w:jc w:val="both"/>
              <w:rPr>
                <w:rFonts w:ascii="Verdana" w:hAnsi="Verdana"/>
                <w:noProof/>
                <w:sz w:val="18"/>
                <w:szCs w:val="18"/>
              </w:rPr>
            </w:pPr>
            <w:r w:rsidRPr="00A21B15">
              <w:rPr>
                <w:rFonts w:ascii="Verdana" w:hAnsi="Verdana"/>
                <w:noProof/>
                <w:sz w:val="18"/>
                <w:szCs w:val="18"/>
              </w:rPr>
              <w:t>-</w:t>
            </w:r>
          </w:p>
        </w:tc>
      </w:tr>
      <w:tr w:rsidR="004D7FEE" w:rsidRPr="00B3238F" w14:paraId="37A51826" w14:textId="77777777" w:rsidTr="0068616C">
        <w:trPr>
          <w:trHeight w:val="300"/>
        </w:trPr>
        <w:tc>
          <w:tcPr>
            <w:tcW w:w="1541" w:type="pct"/>
            <w:noWrap/>
            <w:hideMark/>
          </w:tcPr>
          <w:p w14:paraId="4240F939" w14:textId="77777777" w:rsidR="004D7FEE" w:rsidRPr="00B3238F" w:rsidRDefault="004D7FEE" w:rsidP="00103C29">
            <w:pPr>
              <w:pStyle w:val="Table"/>
              <w:jc w:val="both"/>
              <w:rPr>
                <w:rFonts w:ascii="Verdana" w:hAnsi="Verdana"/>
                <w:b/>
                <w:bCs/>
                <w:noProof/>
                <w:sz w:val="18"/>
                <w:szCs w:val="18"/>
              </w:rPr>
            </w:pPr>
            <w:r w:rsidRPr="00B3238F">
              <w:rPr>
                <w:rFonts w:ascii="Verdana" w:hAnsi="Verdana"/>
                <w:bCs/>
                <w:noProof/>
                <w:sz w:val="18"/>
                <w:szCs w:val="18"/>
              </w:rPr>
              <w:t>Total</w:t>
            </w:r>
          </w:p>
        </w:tc>
        <w:tc>
          <w:tcPr>
            <w:tcW w:w="1209" w:type="pct"/>
            <w:noWrap/>
            <w:vAlign w:val="center"/>
            <w:hideMark/>
          </w:tcPr>
          <w:p w14:paraId="51A5EA1B" w14:textId="77777777" w:rsidR="004D7FEE" w:rsidRPr="00F2536C" w:rsidRDefault="004D7FEE" w:rsidP="00103C29">
            <w:pPr>
              <w:pStyle w:val="Table"/>
              <w:jc w:val="both"/>
              <w:rPr>
                <w:rFonts w:ascii="Verdana" w:hAnsi="Verdana"/>
                <w:b/>
                <w:bCs/>
                <w:noProof/>
                <w:sz w:val="18"/>
                <w:szCs w:val="18"/>
              </w:rPr>
            </w:pPr>
            <w:r w:rsidRPr="00F2536C">
              <w:rPr>
                <w:rFonts w:ascii="Verdana" w:hAnsi="Verdana" w:cs="Calibri"/>
                <w:b/>
                <w:bCs/>
                <w:noProof/>
                <w:color w:val="000000"/>
                <w:sz w:val="18"/>
                <w:szCs w:val="18"/>
              </w:rPr>
              <w:t>139,016.91</w:t>
            </w:r>
          </w:p>
        </w:tc>
        <w:tc>
          <w:tcPr>
            <w:tcW w:w="1436" w:type="pct"/>
            <w:gridSpan w:val="3"/>
            <w:noWrap/>
            <w:vAlign w:val="center"/>
            <w:hideMark/>
          </w:tcPr>
          <w:p w14:paraId="6512E4F3" w14:textId="77777777" w:rsidR="004D7FEE" w:rsidRPr="00A21B15" w:rsidRDefault="004D7FEE" w:rsidP="00103C29">
            <w:pPr>
              <w:pStyle w:val="Table"/>
              <w:jc w:val="both"/>
              <w:rPr>
                <w:rFonts w:ascii="Verdana" w:hAnsi="Verdana"/>
                <w:b/>
                <w:bCs/>
                <w:noProof/>
                <w:sz w:val="18"/>
                <w:szCs w:val="18"/>
              </w:rPr>
            </w:pPr>
            <w:r w:rsidRPr="00A21B15">
              <w:rPr>
                <w:rFonts w:ascii="Verdana" w:hAnsi="Verdana" w:cs="Calibri"/>
                <w:b/>
                <w:bCs/>
                <w:noProof/>
                <w:color w:val="000000"/>
                <w:sz w:val="18"/>
                <w:szCs w:val="18"/>
              </w:rPr>
              <w:t>92,181.00^</w:t>
            </w:r>
          </w:p>
        </w:tc>
        <w:tc>
          <w:tcPr>
            <w:tcW w:w="814" w:type="pct"/>
            <w:noWrap/>
            <w:vAlign w:val="center"/>
            <w:hideMark/>
          </w:tcPr>
          <w:p w14:paraId="20E621A2" w14:textId="77777777" w:rsidR="004D7FEE" w:rsidRPr="00B3238F" w:rsidRDefault="004D7FEE" w:rsidP="00103C29">
            <w:pPr>
              <w:pStyle w:val="Table"/>
              <w:jc w:val="both"/>
              <w:rPr>
                <w:rFonts w:ascii="Verdana" w:hAnsi="Verdana"/>
                <w:b/>
                <w:bCs/>
                <w:noProof/>
                <w:sz w:val="18"/>
                <w:szCs w:val="18"/>
              </w:rPr>
            </w:pPr>
            <w:r w:rsidRPr="00DD4232">
              <w:rPr>
                <w:rFonts w:ascii="Verdana" w:hAnsi="Verdana" w:cs="Calibri"/>
                <w:b/>
                <w:bCs/>
                <w:noProof/>
                <w:color w:val="000000"/>
                <w:sz w:val="18"/>
                <w:szCs w:val="18"/>
              </w:rPr>
              <w:t>1</w:t>
            </w:r>
            <w:r w:rsidRPr="00B3238F">
              <w:rPr>
                <w:rFonts w:ascii="Verdana" w:hAnsi="Verdana" w:cs="Calibri"/>
                <w:b/>
                <w:bCs/>
                <w:noProof/>
                <w:color w:val="000000"/>
                <w:sz w:val="18"/>
                <w:szCs w:val="18"/>
              </w:rPr>
              <w:t>88,391.61^</w:t>
            </w:r>
          </w:p>
        </w:tc>
      </w:tr>
      <w:tr w:rsidR="004D7FEE" w:rsidRPr="00B3238F" w14:paraId="393581E6" w14:textId="77777777" w:rsidTr="0068616C">
        <w:trPr>
          <w:trHeight w:val="300"/>
        </w:trPr>
        <w:tc>
          <w:tcPr>
            <w:tcW w:w="5000" w:type="pct"/>
            <w:gridSpan w:val="6"/>
            <w:shd w:val="clear" w:color="auto" w:fill="F2F2F2" w:themeFill="background1" w:themeFillShade="F2"/>
            <w:noWrap/>
          </w:tcPr>
          <w:p w14:paraId="539C2A8B" w14:textId="77777777" w:rsidR="004D7FEE" w:rsidRPr="00704502" w:rsidRDefault="004D7FEE" w:rsidP="004D7FEE">
            <w:pPr>
              <w:pStyle w:val="Footerapproval"/>
              <w:ind w:right="0"/>
              <w:jc w:val="both"/>
              <w:rPr>
                <w:b/>
                <w:bCs/>
                <w:noProof/>
                <w:sz w:val="18"/>
                <w:szCs w:val="18"/>
                <w:lang w:val="en-GB"/>
              </w:rPr>
            </w:pPr>
            <w:r w:rsidRPr="00704502">
              <w:rPr>
                <w:bCs/>
                <w:noProof/>
                <w:sz w:val="18"/>
                <w:szCs w:val="18"/>
                <w:lang w:val="en-GB"/>
              </w:rPr>
              <w:t xml:space="preserve">Notes: Estimates have been adjusted for inflation using price index data from Eurostat (2020). The low and high estimates have been generated using different methodologies, with each described in the annexes that support the market analyses. A common example is the use of a range of price data. In most cases, the mid estimate represents the mid-point (median) between the low and high value. These mid-point estimates should be interpreted with a high degree of caution because the distributions are not necessarily normally distributed, but have nevertheless been provided here for illustrative purposes. </w:t>
            </w:r>
          </w:p>
          <w:p w14:paraId="2918EDF0" w14:textId="77777777" w:rsidR="004D7FEE" w:rsidRPr="00704502" w:rsidRDefault="004D7FEE" w:rsidP="004D7FEE">
            <w:pPr>
              <w:pStyle w:val="Footerapproval"/>
              <w:ind w:right="0"/>
              <w:jc w:val="both"/>
              <w:rPr>
                <w:b/>
                <w:bCs/>
                <w:noProof/>
                <w:sz w:val="18"/>
                <w:szCs w:val="18"/>
                <w:lang w:val="en-GB"/>
              </w:rPr>
            </w:pPr>
            <w:r w:rsidRPr="00704502">
              <w:rPr>
                <w:bCs/>
                <w:noProof/>
                <w:sz w:val="18"/>
                <w:szCs w:val="18"/>
                <w:lang w:val="en-GB"/>
              </w:rPr>
              <w:t xml:space="preserve">* Denotes that the estimate does not include all 27 EU Member States: </w:t>
            </w:r>
            <w:r w:rsidRPr="00704502">
              <w:rPr>
                <w:noProof/>
                <w:sz w:val="18"/>
                <w:szCs w:val="18"/>
                <w:lang w:val="en-GB"/>
              </w:rPr>
              <w:t>MTIC fraud</w:t>
            </w:r>
            <w:r w:rsidRPr="00704502">
              <w:rPr>
                <w:bCs/>
                <w:noProof/>
                <w:sz w:val="18"/>
                <w:szCs w:val="18"/>
                <w:lang w:val="en-GB"/>
              </w:rPr>
              <w:t xml:space="preserve"> lower bound estimate excludes HR and CY. </w:t>
            </w:r>
            <w:r w:rsidRPr="00704502">
              <w:rPr>
                <w:noProof/>
                <w:sz w:val="18"/>
                <w:szCs w:val="18"/>
                <w:lang w:val="en-GB"/>
              </w:rPr>
              <w:t>Illicit waste</w:t>
            </w:r>
            <w:r w:rsidRPr="00704502">
              <w:rPr>
                <w:bCs/>
                <w:noProof/>
                <w:sz w:val="18"/>
                <w:szCs w:val="18"/>
                <w:lang w:val="en-GB"/>
              </w:rPr>
              <w:t xml:space="preserve"> estimates exclude BE, CY, LU, MT, SI. Lower bound </w:t>
            </w:r>
            <w:r w:rsidRPr="00704502">
              <w:rPr>
                <w:noProof/>
                <w:sz w:val="18"/>
                <w:szCs w:val="18"/>
                <w:lang w:val="en-GB"/>
              </w:rPr>
              <w:t>cargo theft</w:t>
            </w:r>
            <w:r w:rsidRPr="00704502">
              <w:rPr>
                <w:bCs/>
                <w:noProof/>
                <w:sz w:val="18"/>
                <w:szCs w:val="18"/>
                <w:lang w:val="en-GB"/>
              </w:rPr>
              <w:t xml:space="preserve"> estimates exclude AT, BG, HR, CY, EE, FI, EL, LT, LU, ML, PL. Upper bound estimates exclude MT</w:t>
            </w:r>
            <w:r w:rsidRPr="00704502">
              <w:rPr>
                <w:noProof/>
                <w:sz w:val="18"/>
                <w:szCs w:val="18"/>
                <w:lang w:val="en-GB"/>
              </w:rPr>
              <w:t>. ATM theft</w:t>
            </w:r>
            <w:r w:rsidRPr="00704502">
              <w:rPr>
                <w:bCs/>
                <w:noProof/>
                <w:sz w:val="18"/>
                <w:szCs w:val="18"/>
                <w:lang w:val="en-GB"/>
              </w:rPr>
              <w:t xml:space="preserve"> estimates exclude</w:t>
            </w:r>
            <w:r w:rsidRPr="00704502">
              <w:rPr>
                <w:bCs/>
                <w:noProof/>
                <w:color w:val="000000"/>
                <w:sz w:val="18"/>
                <w:szCs w:val="18"/>
                <w:lang w:val="en-GB"/>
              </w:rPr>
              <w:t xml:space="preserve"> BE, BG, HR, EE, HU, LV, LT, MT, PL, SI. ^ Lower and upper boundary aggregate estimates presume card payment fraud and ATM attacks are equivalent to mid-level estimate.</w:t>
            </w:r>
          </w:p>
          <w:p w14:paraId="3C6CE90E" w14:textId="77777777" w:rsidR="004D7FEE" w:rsidRPr="00704502" w:rsidRDefault="004D7FEE" w:rsidP="004D7FEE">
            <w:pPr>
              <w:pStyle w:val="Table"/>
              <w:jc w:val="both"/>
              <w:rPr>
                <w:rFonts w:ascii="Verdana" w:hAnsi="Verdana" w:cs="Calibri"/>
                <w:b/>
                <w:noProof/>
                <w:color w:val="000000"/>
                <w:sz w:val="18"/>
                <w:szCs w:val="18"/>
              </w:rPr>
            </w:pPr>
          </w:p>
        </w:tc>
      </w:tr>
    </w:tbl>
    <w:p w14:paraId="54C516CA" w14:textId="77777777" w:rsidR="004D7FEE" w:rsidRPr="006B35F0" w:rsidRDefault="004D7FEE" w:rsidP="00103C29">
      <w:pPr>
        <w:spacing w:before="120" w:after="120"/>
        <w:jc w:val="both"/>
        <w:rPr>
          <w:rFonts w:ascii="Verdana" w:hAnsi="Verdana"/>
          <w:i/>
          <w:iCs/>
          <w:noProof/>
          <w:color w:val="808080" w:themeColor="text1" w:themeTint="7F"/>
          <w:sz w:val="18"/>
        </w:rPr>
      </w:pPr>
      <w:r w:rsidRPr="000A18E7">
        <w:rPr>
          <w:rFonts w:ascii="Verdana" w:hAnsi="Verdana"/>
          <w:i/>
          <w:iCs/>
          <w:noProof/>
          <w:color w:val="808080" w:themeColor="text1" w:themeTint="7F"/>
          <w:sz w:val="18"/>
        </w:rPr>
        <w:t>Source: RAND Europe &amp; EY for the EC (2021) Mapping the risk of SOC infiltrating legitimate businesses</w:t>
      </w:r>
    </w:p>
    <w:p w14:paraId="2808331A"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 xml:space="preserve">These revenue estimates present only a limited picture of the complex consequences of how organised crime undermines the business environment and rule of law. The revenues generated by SOC are </w:t>
      </w:r>
      <w:r w:rsidRPr="00103C29">
        <w:rPr>
          <w:rFonts w:ascii="Times New Roman" w:hAnsi="Times New Roman"/>
          <w:bCs/>
          <w:noProof/>
          <w:sz w:val="24"/>
          <w:szCs w:val="24"/>
        </w:rPr>
        <w:t>reinvested in further illicit activities</w:t>
      </w:r>
      <w:r w:rsidRPr="00103C29">
        <w:rPr>
          <w:rFonts w:ascii="Times New Roman" w:hAnsi="Times New Roman"/>
          <w:noProof/>
          <w:sz w:val="24"/>
          <w:szCs w:val="24"/>
        </w:rPr>
        <w:t xml:space="preserve"> or enter the legitimate economy, which undermines the business environment and leads to </w:t>
      </w:r>
      <w:r w:rsidRPr="00103C29">
        <w:rPr>
          <w:rFonts w:ascii="Times New Roman" w:hAnsi="Times New Roman"/>
          <w:bCs/>
          <w:noProof/>
          <w:sz w:val="24"/>
          <w:szCs w:val="24"/>
        </w:rPr>
        <w:t>corruption</w:t>
      </w:r>
      <w:r w:rsidRPr="00103C29">
        <w:rPr>
          <w:rFonts w:ascii="Times New Roman" w:hAnsi="Times New Roman"/>
          <w:noProof/>
          <w:sz w:val="24"/>
          <w:szCs w:val="24"/>
        </w:rPr>
        <w:t xml:space="preserve"> as well as a lack of trust in institutions, while also negatively impacting the growth potential of the economy.</w:t>
      </w:r>
      <w:r w:rsidRPr="00103C29">
        <w:rPr>
          <w:rFonts w:ascii="Times New Roman" w:hAnsi="Times New Roman"/>
          <w:noProof/>
          <w:sz w:val="24"/>
          <w:szCs w:val="24"/>
          <w:vertAlign w:val="superscript"/>
        </w:rPr>
        <w:footnoteReference w:id="191"/>
      </w:r>
      <w:r w:rsidRPr="00103C29">
        <w:rPr>
          <w:rFonts w:ascii="Times New Roman" w:hAnsi="Times New Roman"/>
          <w:noProof/>
          <w:sz w:val="24"/>
          <w:szCs w:val="24"/>
        </w:rPr>
        <w:t xml:space="preserve"> organised crime also undermines personal and state security, and threatens safety, stability and development - at the individual, local, national and transnational levels.</w:t>
      </w:r>
      <w:r w:rsidRPr="00103C29">
        <w:rPr>
          <w:rFonts w:ascii="Times New Roman" w:hAnsi="Times New Roman"/>
          <w:noProof/>
          <w:sz w:val="24"/>
          <w:szCs w:val="24"/>
          <w:vertAlign w:val="superscript"/>
        </w:rPr>
        <w:footnoteReference w:id="192"/>
      </w:r>
      <w:r w:rsidRPr="00103C29">
        <w:rPr>
          <w:rFonts w:ascii="Times New Roman" w:hAnsi="Times New Roman"/>
          <w:noProof/>
          <w:sz w:val="24"/>
          <w:szCs w:val="24"/>
        </w:rPr>
        <w:t xml:space="preserve"> </w:t>
      </w:r>
    </w:p>
    <w:p w14:paraId="7A30D0EB"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Organised crime also results in direct costs to citizens’ health and security.</w:t>
      </w:r>
      <w:r w:rsidRPr="00103C29">
        <w:rPr>
          <w:rFonts w:ascii="Times New Roman" w:hAnsi="Times New Roman"/>
          <w:noProof/>
          <w:sz w:val="24"/>
          <w:szCs w:val="24"/>
          <w:vertAlign w:val="superscript"/>
        </w:rPr>
        <w:footnoteReference w:id="193"/>
      </w:r>
      <w:r w:rsidRPr="00103C29">
        <w:rPr>
          <w:rFonts w:ascii="Times New Roman" w:hAnsi="Times New Roman"/>
          <w:noProof/>
          <w:sz w:val="24"/>
          <w:szCs w:val="24"/>
        </w:rPr>
        <w:t xml:space="preserve"> For example, in relation to Trafficking in Human Beings (THB), victims (including children) are recruited into sexual exploitation and forced labour.</w:t>
      </w:r>
      <w:r w:rsidRPr="00103C29">
        <w:rPr>
          <w:rFonts w:ascii="Times New Roman" w:hAnsi="Times New Roman"/>
          <w:noProof/>
          <w:sz w:val="24"/>
          <w:szCs w:val="24"/>
          <w:vertAlign w:val="superscript"/>
        </w:rPr>
        <w:footnoteReference w:id="194"/>
      </w:r>
      <w:r w:rsidRPr="00103C29">
        <w:rPr>
          <w:rFonts w:ascii="Times New Roman" w:hAnsi="Times New Roman"/>
          <w:noProof/>
          <w:sz w:val="24"/>
          <w:szCs w:val="24"/>
        </w:rPr>
        <w:t xml:space="preserve"> To control victims, traffickers use psychological and physical abuse. There is evidence that persons with developmental and physical disabilities are targeted, and some evidence that age of identified victims is decreasing, with children constituting nearly a quarter (23%) of the identified victims.</w:t>
      </w:r>
      <w:r w:rsidRPr="00103C29">
        <w:rPr>
          <w:rFonts w:ascii="Times New Roman" w:hAnsi="Times New Roman"/>
          <w:noProof/>
          <w:sz w:val="24"/>
          <w:szCs w:val="24"/>
          <w:vertAlign w:val="superscript"/>
        </w:rPr>
        <w:footnoteReference w:id="195"/>
      </w:r>
      <w:r w:rsidRPr="00103C29">
        <w:rPr>
          <w:rFonts w:ascii="Times New Roman" w:hAnsi="Times New Roman"/>
          <w:noProof/>
          <w:sz w:val="24"/>
          <w:szCs w:val="24"/>
        </w:rPr>
        <w:t>.</w:t>
      </w:r>
    </w:p>
    <w:bookmarkEnd w:id="167"/>
    <w:p w14:paraId="6D46D184" w14:textId="77777777" w:rsidR="004D7FEE" w:rsidRPr="00103C29" w:rsidRDefault="004D7FEE" w:rsidP="005B3636">
      <w:pPr>
        <w:pStyle w:val="Body"/>
        <w:keepNext/>
        <w:spacing w:before="240" w:after="120"/>
        <w:jc w:val="both"/>
        <w:rPr>
          <w:rFonts w:ascii="Times New Roman" w:hAnsi="Times New Roman"/>
          <w:b/>
          <w:i/>
          <w:noProof/>
          <w:color w:val="44546A" w:themeColor="text2"/>
          <w:sz w:val="24"/>
          <w:szCs w:val="24"/>
        </w:rPr>
      </w:pPr>
      <w:r w:rsidRPr="00103C29">
        <w:rPr>
          <w:rFonts w:ascii="Times New Roman" w:hAnsi="Times New Roman"/>
          <w:b/>
          <w:i/>
          <w:noProof/>
          <w:color w:val="44546A" w:themeColor="text2"/>
          <w:sz w:val="24"/>
          <w:szCs w:val="24"/>
        </w:rPr>
        <w:t>Impact on free flow of persons across internal borders within the Schengen area</w:t>
      </w:r>
    </w:p>
    <w:p w14:paraId="50E0AA71"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Organised crime has an indirect impact on the free movement of people within the EU. As concerns the reasons why Member States have introduced temporary controls at internal borders under Articles 25 and 28 of the Schengen Border Code</w:t>
      </w:r>
      <w:r w:rsidRPr="00103C29">
        <w:rPr>
          <w:rStyle w:val="FootnoteReference"/>
          <w:rFonts w:ascii="Times New Roman" w:hAnsi="Times New Roman"/>
          <w:noProof/>
          <w:sz w:val="24"/>
          <w:szCs w:val="24"/>
        </w:rPr>
        <w:footnoteReference w:id="196"/>
      </w:r>
      <w:r w:rsidRPr="00103C29">
        <w:rPr>
          <w:rFonts w:ascii="Times New Roman" w:hAnsi="Times New Roman"/>
          <w:noProof/>
          <w:sz w:val="24"/>
          <w:szCs w:val="24"/>
        </w:rPr>
        <w:t>, out of 300 notifications between October 2006 and the end of April 2021, on 24 occasions (8%) the reason given cited terrorist threats, on 6 occasions (2%) the reason was given as related to organised crime and 44 (15%) were for dealing with demonstrations/sports/summits etc. (this latter reason is</w:t>
      </w:r>
      <w:r w:rsidRPr="000A18E7">
        <w:rPr>
          <w:noProof/>
        </w:rPr>
        <w:t xml:space="preserve"> </w:t>
      </w:r>
      <w:r w:rsidRPr="00103C29">
        <w:rPr>
          <w:rFonts w:ascii="Times New Roman" w:hAnsi="Times New Roman"/>
          <w:noProof/>
          <w:sz w:val="24"/>
          <w:szCs w:val="24"/>
        </w:rPr>
        <w:t>relevant to the second high level problem, identified in the problem tree above). To put this in context, in nearly 170 cases (57%) the reason given was the COVID-19 virus – which was thus by far the most common reason given.</w:t>
      </w:r>
    </w:p>
    <w:p w14:paraId="13842AEB"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The Commission has, on several occasions</w:t>
      </w:r>
      <w:r w:rsidRPr="00103C29">
        <w:rPr>
          <w:rStyle w:val="FootnoteReference"/>
          <w:rFonts w:ascii="Times New Roman" w:hAnsi="Times New Roman"/>
          <w:noProof/>
          <w:sz w:val="24"/>
          <w:szCs w:val="24"/>
        </w:rPr>
        <w:footnoteReference w:id="197"/>
      </w:r>
      <w:r w:rsidRPr="00103C29">
        <w:rPr>
          <w:rFonts w:ascii="Times New Roman" w:hAnsi="Times New Roman"/>
          <w:noProof/>
          <w:sz w:val="24"/>
          <w:szCs w:val="24"/>
        </w:rPr>
        <w:t xml:space="preserve">, stressed that improved law enforcement cooperation and the use of police checks is a preferred compensatory measure to internal border control. </w:t>
      </w:r>
    </w:p>
    <w:p w14:paraId="55D2FE96" w14:textId="77777777" w:rsidR="004D7FEE" w:rsidRPr="002320D7" w:rsidRDefault="004D7FEE" w:rsidP="005B3636">
      <w:pPr>
        <w:spacing w:before="240" w:after="120"/>
        <w:rPr>
          <w:noProof/>
        </w:rPr>
      </w:pPr>
      <w:bookmarkStart w:id="170" w:name="_Toc74241385"/>
      <w:r w:rsidRPr="00103C29">
        <w:rPr>
          <w:rFonts w:ascii="Times New Roman" w:hAnsi="Times New Roman" w:cs="Times New Roman"/>
          <w:b/>
          <w:noProof/>
          <w:sz w:val="24"/>
          <w:szCs w:val="24"/>
          <w:lang w:val="en-GB"/>
        </w:rPr>
        <w:t xml:space="preserve">2. </w:t>
      </w:r>
      <w:bookmarkEnd w:id="170"/>
      <w:r w:rsidRPr="00103C29">
        <w:rPr>
          <w:rFonts w:ascii="Times New Roman" w:hAnsi="Times New Roman" w:cs="Times New Roman"/>
          <w:b/>
          <w:noProof/>
          <w:sz w:val="24"/>
          <w:szCs w:val="24"/>
          <w:u w:val="single"/>
          <w:lang w:val="en-GB"/>
        </w:rPr>
        <w:t>The growing intra-EU mobility of citizens and the interconnection of EU markets</w:t>
      </w:r>
    </w:p>
    <w:p w14:paraId="1A7DAB6B" w14:textId="77777777" w:rsidR="004D7FEE" w:rsidRPr="00103C29" w:rsidRDefault="004D7FEE" w:rsidP="00F75B2A">
      <w:pPr>
        <w:pStyle w:val="Body"/>
        <w:spacing w:after="120"/>
        <w:jc w:val="both"/>
        <w:rPr>
          <w:rFonts w:ascii="Times New Roman" w:hAnsi="Times New Roman"/>
          <w:noProof/>
          <w:sz w:val="24"/>
          <w:szCs w:val="24"/>
        </w:rPr>
      </w:pPr>
      <w:r w:rsidRPr="00103C29">
        <w:rPr>
          <w:rFonts w:ascii="Times New Roman" w:hAnsi="Times New Roman"/>
          <w:noProof/>
          <w:sz w:val="24"/>
          <w:szCs w:val="24"/>
        </w:rPr>
        <w:t>The growing intra-EU mobility of people creates additional challenges for the prevention and fight against all forms of criminal and safety threats (e.g. in border regions, in relation to international mass events, in touristic areas and in case of mass disasters). The main factors behind and effects of this high-level problem are presented below.</w:t>
      </w:r>
    </w:p>
    <w:p w14:paraId="6225E310" w14:textId="77777777" w:rsidR="004D7FEE" w:rsidRPr="00103C29" w:rsidRDefault="004D7FEE" w:rsidP="005B3636">
      <w:pPr>
        <w:pStyle w:val="Body"/>
        <w:spacing w:before="240" w:after="120"/>
        <w:jc w:val="both"/>
        <w:rPr>
          <w:rFonts w:ascii="Times New Roman" w:hAnsi="Times New Roman"/>
          <w:b/>
          <w:i/>
          <w:noProof/>
          <w:color w:val="44546A" w:themeColor="text2"/>
          <w:sz w:val="24"/>
          <w:szCs w:val="24"/>
        </w:rPr>
      </w:pPr>
      <w:r w:rsidRPr="00103C29">
        <w:rPr>
          <w:rFonts w:ascii="Times New Roman" w:hAnsi="Times New Roman"/>
          <w:b/>
          <w:i/>
          <w:noProof/>
          <w:color w:val="44546A" w:themeColor="text2"/>
          <w:sz w:val="24"/>
          <w:szCs w:val="24"/>
        </w:rPr>
        <w:t xml:space="preserve">EU mobility for work and leisure is increasing </w:t>
      </w:r>
    </w:p>
    <w:p w14:paraId="6284C9AE" w14:textId="77777777" w:rsidR="004D7FEE" w:rsidRPr="00103C29" w:rsidRDefault="004D7FEE" w:rsidP="00B911A0">
      <w:pPr>
        <w:spacing w:after="120" w:line="240" w:lineRule="auto"/>
        <w:jc w:val="both"/>
        <w:rPr>
          <w:b/>
          <w:noProof/>
        </w:rPr>
      </w:pPr>
      <w:r w:rsidRPr="00103C29">
        <w:rPr>
          <w:rFonts w:ascii="Times New Roman" w:hAnsi="Times New Roman" w:cs="Times New Roman"/>
          <w:noProof/>
          <w:sz w:val="24"/>
        </w:rPr>
        <w:t>First, the intra-EU mobility continued to grow until the outbreak of COVID-19.</w:t>
      </w:r>
      <w:r w:rsidRPr="00103C29">
        <w:rPr>
          <w:rFonts w:ascii="Times New Roman" w:hAnsi="Times New Roman" w:cs="Times New Roman"/>
          <w:noProof/>
          <w:sz w:val="24"/>
          <w:vertAlign w:val="superscript"/>
        </w:rPr>
        <w:footnoteReference w:id="198"/>
      </w:r>
      <w:r w:rsidRPr="00103C29">
        <w:rPr>
          <w:rFonts w:ascii="Times New Roman" w:hAnsi="Times New Roman" w:cs="Times New Roman"/>
          <w:noProof/>
          <w:sz w:val="24"/>
        </w:rPr>
        <w:t xml:space="preserve"> The number of people residing in an EU-27 Member State other than the one of their citizenship have been notably increasing over the years. The total amount of these people in the EU-27 amounted to 14,4 million persons in 2020 and increased by 22% since 2014.</w:t>
      </w:r>
      <w:r w:rsidRPr="00103C29">
        <w:rPr>
          <w:rStyle w:val="FootnoteReference"/>
          <w:rFonts w:ascii="Times New Roman" w:hAnsi="Times New Roman" w:cs="Times New Roman"/>
          <w:noProof/>
          <w:sz w:val="24"/>
        </w:rPr>
        <w:footnoteReference w:id="199"/>
      </w:r>
      <w:r w:rsidRPr="00103C29">
        <w:rPr>
          <w:rFonts w:ascii="Times New Roman" w:hAnsi="Times New Roman" w:cs="Times New Roman"/>
          <w:noProof/>
          <w:sz w:val="24"/>
        </w:rPr>
        <w:t xml:space="preserve"> It can be expected that a significant part of EU citizens is regularly crossing borders to travel back and forth between their Member State of residence and the Member Sate of citizenship and will continue to do so after the pandemic.</w:t>
      </w:r>
    </w:p>
    <w:p w14:paraId="16D3D85E"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In 2017, the EU internal border regions covered approximately 40% of the EU’s territory and were home to 30% of the population, i.e. 150 million people.</w:t>
      </w:r>
      <w:r w:rsidRPr="00103C29">
        <w:rPr>
          <w:rFonts w:ascii="Times New Roman" w:hAnsi="Times New Roman"/>
          <w:noProof/>
          <w:sz w:val="24"/>
          <w:vertAlign w:val="superscript"/>
        </w:rPr>
        <w:footnoteReference w:id="200"/>
      </w:r>
      <w:r w:rsidRPr="00103C29">
        <w:rPr>
          <w:rFonts w:ascii="Times New Roman" w:hAnsi="Times New Roman"/>
          <w:noProof/>
          <w:sz w:val="24"/>
        </w:rPr>
        <w:t xml:space="preserve"> In 2018, the residents of the EU made in total 1.1 billion trips, either for business or privately – an increase of 11% since 2014.</w:t>
      </w:r>
      <w:r w:rsidRPr="00103C29">
        <w:rPr>
          <w:rFonts w:ascii="Times New Roman" w:hAnsi="Times New Roman"/>
          <w:noProof/>
          <w:sz w:val="24"/>
          <w:vertAlign w:val="superscript"/>
        </w:rPr>
        <w:footnoteReference w:id="201"/>
      </w:r>
      <w:r w:rsidRPr="00103C29">
        <w:rPr>
          <w:rFonts w:ascii="Times New Roman" w:hAnsi="Times New Roman"/>
          <w:noProof/>
          <w:sz w:val="24"/>
          <w:vertAlign w:val="superscript"/>
        </w:rPr>
        <w:t xml:space="preserve"> </w:t>
      </w:r>
      <w:r w:rsidRPr="00103C29">
        <w:rPr>
          <w:rFonts w:ascii="Times New Roman" w:hAnsi="Times New Roman"/>
          <w:noProof/>
          <w:sz w:val="24"/>
        </w:rPr>
        <w:t>In 2018, 240 million persons in the EU (64 % of the population) went at least on one private trip (as opposed to business trips), an increase by 4 % since 2012.</w:t>
      </w:r>
      <w:r w:rsidRPr="00103C29">
        <w:rPr>
          <w:rFonts w:ascii="Times New Roman" w:hAnsi="Times New Roman"/>
          <w:noProof/>
          <w:sz w:val="24"/>
          <w:vertAlign w:val="superscript"/>
        </w:rPr>
        <w:footnoteReference w:id="202"/>
      </w:r>
      <w:r w:rsidRPr="00103C29">
        <w:rPr>
          <w:rFonts w:ascii="Times New Roman" w:hAnsi="Times New Roman"/>
          <w:noProof/>
          <w:sz w:val="24"/>
        </w:rPr>
        <w:t xml:space="preserve"> There has also been an increase in the number of EU citizens travelling for educational or training purposes.</w:t>
      </w:r>
      <w:r w:rsidRPr="00103C29">
        <w:rPr>
          <w:rFonts w:ascii="Times New Roman" w:hAnsi="Times New Roman"/>
          <w:noProof/>
          <w:sz w:val="24"/>
          <w:vertAlign w:val="superscript"/>
        </w:rPr>
        <w:footnoteReference w:id="203"/>
      </w:r>
      <w:r w:rsidRPr="00103C29">
        <w:rPr>
          <w:rFonts w:ascii="Times New Roman" w:hAnsi="Times New Roman"/>
          <w:noProof/>
          <w:sz w:val="24"/>
        </w:rPr>
        <w:t xml:space="preserve"> Lastly, there has been an increase in intra-EU migration of EU citizens. In 2019, 3.3% of the EU citizens of working age (20-64) had a nationality of an EU Member State other than the EU Member State of residence, compared to 2.4 % in 2009.</w:t>
      </w:r>
      <w:r w:rsidRPr="00103C29">
        <w:rPr>
          <w:rFonts w:ascii="Times New Roman" w:hAnsi="Times New Roman"/>
          <w:noProof/>
          <w:sz w:val="24"/>
          <w:vertAlign w:val="superscript"/>
        </w:rPr>
        <w:footnoteReference w:id="204"/>
      </w:r>
      <w:r w:rsidRPr="00103C29">
        <w:rPr>
          <w:rFonts w:ascii="Times New Roman" w:hAnsi="Times New Roman"/>
          <w:noProof/>
          <w:sz w:val="24"/>
        </w:rPr>
        <w:t xml:space="preserve"> Similarly, at SACs/EU air borders, Frontex estimated that there is an increase in passenger flows of about 5% per year across Europe.</w:t>
      </w:r>
      <w:r w:rsidRPr="00103C29">
        <w:rPr>
          <w:rFonts w:ascii="Times New Roman" w:hAnsi="Times New Roman"/>
          <w:noProof/>
          <w:sz w:val="24"/>
          <w:vertAlign w:val="superscript"/>
        </w:rPr>
        <w:footnoteReference w:id="205"/>
      </w:r>
      <w:r w:rsidRPr="00103C29">
        <w:rPr>
          <w:rFonts w:ascii="Times New Roman" w:hAnsi="Times New Roman"/>
          <w:noProof/>
          <w:sz w:val="24"/>
        </w:rPr>
        <w:t xml:space="preserve"> </w:t>
      </w:r>
    </w:p>
    <w:p w14:paraId="778FE9C3" w14:textId="77777777" w:rsidR="004D7FEE" w:rsidRPr="00103C29" w:rsidRDefault="004D7FEE" w:rsidP="00F75B2A">
      <w:pPr>
        <w:pStyle w:val="Body"/>
        <w:spacing w:after="120"/>
        <w:jc w:val="both"/>
        <w:rPr>
          <w:rFonts w:ascii="Times New Roman" w:hAnsi="Times New Roman"/>
          <w:noProof/>
          <w:sz w:val="24"/>
          <w:vertAlign w:val="superscript"/>
        </w:rPr>
      </w:pPr>
      <w:r w:rsidRPr="00103C29">
        <w:rPr>
          <w:rFonts w:ascii="Times New Roman" w:hAnsi="Times New Roman"/>
          <w:noProof/>
          <w:sz w:val="24"/>
        </w:rPr>
        <w:t>As regards cross-border tourism, the number of nights spent at tourist accommodation establishments in foreign Member States has been slightly increasing over the past decade, amounting to almost three billion in 2019.</w:t>
      </w:r>
      <w:r w:rsidRPr="00103C29">
        <w:rPr>
          <w:rFonts w:ascii="Times New Roman" w:hAnsi="Times New Roman"/>
          <w:noProof/>
          <w:sz w:val="24"/>
          <w:vertAlign w:val="superscript"/>
        </w:rPr>
        <w:footnoteReference w:id="206"/>
      </w:r>
      <w:r w:rsidRPr="00103C29">
        <w:rPr>
          <w:rFonts w:ascii="Times New Roman" w:hAnsi="Times New Roman"/>
          <w:noProof/>
          <w:sz w:val="24"/>
        </w:rPr>
        <w:t xml:space="preserve"> As regards cross-border labour mobility, two million out of 190 million employed persons lived and worked outside their home Member State</w:t>
      </w:r>
      <w:r w:rsidRPr="00103C29">
        <w:rPr>
          <w:rFonts w:ascii="Times New Roman" w:hAnsi="Times New Roman"/>
          <w:noProof/>
          <w:sz w:val="24"/>
          <w:vertAlign w:val="superscript"/>
        </w:rPr>
        <w:footnoteReference w:id="207"/>
      </w:r>
      <w:r w:rsidRPr="00103C29">
        <w:rPr>
          <w:rFonts w:ascii="Times New Roman" w:hAnsi="Times New Roman"/>
          <w:noProof/>
          <w:sz w:val="24"/>
        </w:rPr>
        <w:t>, and this number has also been increasing in the past decade. After the COVID-19 crisis, the cross-border mobility of citizens is expected to continue to increase in the EU. It can be expected that criminals are as well increasingly mobile across-borders</w:t>
      </w:r>
      <w:r w:rsidRPr="00103C29" w:rsidDel="0095180C">
        <w:rPr>
          <w:rFonts w:ascii="Times New Roman" w:hAnsi="Times New Roman"/>
          <w:noProof/>
          <w:sz w:val="24"/>
        </w:rPr>
        <w:t>.</w:t>
      </w:r>
      <w:r w:rsidRPr="00103C29">
        <w:rPr>
          <w:rFonts w:ascii="Times New Roman" w:hAnsi="Times New Roman"/>
          <w:noProof/>
          <w:sz w:val="24"/>
        </w:rPr>
        <w:t xml:space="preserve"> The fact that there are no border controls in the Schengen area enables criminals to cross-borders as they like without being subject of controls, which makes it more complicated for LEAs to monitor criminal activities. Moreover, criminals use the mobility of citizens and cross-border traffic to smuggle illegal goods or irregular migrants across-borders. As a reference, the Swindon Railway station, in the UK, is known to be a gateway for children smuggling drugs into London.</w:t>
      </w:r>
      <w:r w:rsidRPr="00103C29">
        <w:rPr>
          <w:rFonts w:ascii="Times New Roman" w:hAnsi="Times New Roman"/>
          <w:noProof/>
          <w:sz w:val="24"/>
          <w:vertAlign w:val="superscript"/>
        </w:rPr>
        <w:footnoteReference w:id="208"/>
      </w:r>
      <w:r w:rsidRPr="00103C29" w:rsidDel="001B7094">
        <w:rPr>
          <w:rFonts w:ascii="Times New Roman" w:hAnsi="Times New Roman"/>
          <w:noProof/>
          <w:sz w:val="24"/>
          <w:vertAlign w:val="superscript"/>
        </w:rPr>
        <w:t xml:space="preserve"> </w:t>
      </w:r>
    </w:p>
    <w:p w14:paraId="7C541540"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Despite the fact that the COVID-19 pandemic has drastically reduced pan-European (and worldwide) mobility in 2020 and 2021, the flows of persons will likely continue to increase in importance again in the near future. </w:t>
      </w:r>
    </w:p>
    <w:p w14:paraId="40C0353B" w14:textId="77777777" w:rsidR="004D7FEE" w:rsidRPr="00103C29" w:rsidRDefault="004D7FEE" w:rsidP="005B3636">
      <w:pPr>
        <w:pStyle w:val="Body"/>
        <w:spacing w:before="240" w:after="120"/>
        <w:jc w:val="both"/>
        <w:rPr>
          <w:rFonts w:ascii="Times New Roman" w:hAnsi="Times New Roman"/>
          <w:b/>
          <w:i/>
          <w:noProof/>
          <w:color w:val="44546A" w:themeColor="text2"/>
          <w:sz w:val="24"/>
        </w:rPr>
      </w:pPr>
      <w:r w:rsidRPr="00103C29">
        <w:rPr>
          <w:rFonts w:ascii="Times New Roman" w:hAnsi="Times New Roman"/>
          <w:b/>
          <w:i/>
          <w:noProof/>
          <w:color w:val="44546A" w:themeColor="text2"/>
          <w:sz w:val="24"/>
        </w:rPr>
        <w:t>The movement of persons creates a need for law enforcement cooperation at the borders and beyond</w:t>
      </w:r>
    </w:p>
    <w:p w14:paraId="28C6F160"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Specifically at border regions, cooperation is needed, for example, to undertake transport control,</w:t>
      </w:r>
      <w:r w:rsidRPr="00103C29">
        <w:rPr>
          <w:rStyle w:val="FootnoteReference"/>
          <w:rFonts w:ascii="Times New Roman" w:hAnsi="Times New Roman"/>
          <w:noProof/>
          <w:sz w:val="24"/>
        </w:rPr>
        <w:footnoteReference w:id="209"/>
      </w:r>
      <w:r w:rsidRPr="00103C29">
        <w:rPr>
          <w:rFonts w:ascii="Times New Roman" w:hAnsi="Times New Roman"/>
          <w:noProof/>
          <w:sz w:val="24"/>
        </w:rPr>
        <w:t xml:space="preserve"> detain or pursue suspects crossing borders (travelling by car</w:t>
      </w:r>
      <w:r w:rsidRPr="00103C29">
        <w:rPr>
          <w:rStyle w:val="FootnoteReference"/>
          <w:rFonts w:ascii="Times New Roman" w:hAnsi="Times New Roman"/>
          <w:noProof/>
          <w:sz w:val="24"/>
        </w:rPr>
        <w:footnoteReference w:id="210"/>
      </w:r>
      <w:r w:rsidRPr="00103C29">
        <w:rPr>
          <w:rFonts w:ascii="Times New Roman" w:hAnsi="Times New Roman"/>
          <w:noProof/>
          <w:sz w:val="24"/>
        </w:rPr>
        <w:t xml:space="preserve"> or on public transport such as trains,</w:t>
      </w:r>
      <w:r w:rsidRPr="00103C29">
        <w:rPr>
          <w:rStyle w:val="FootnoteReference"/>
          <w:rFonts w:ascii="Times New Roman" w:hAnsi="Times New Roman"/>
          <w:noProof/>
          <w:sz w:val="24"/>
        </w:rPr>
        <w:footnoteReference w:id="211"/>
      </w:r>
      <w:r w:rsidRPr="00103C29">
        <w:rPr>
          <w:rFonts w:ascii="Times New Roman" w:hAnsi="Times New Roman"/>
          <w:noProof/>
          <w:sz w:val="24"/>
        </w:rPr>
        <w:t xml:space="preserve"> for example) and search for missing persons.</w:t>
      </w:r>
      <w:r w:rsidRPr="00103C29">
        <w:rPr>
          <w:rStyle w:val="FootnoteReference"/>
          <w:rFonts w:ascii="Times New Roman" w:hAnsi="Times New Roman"/>
          <w:noProof/>
          <w:sz w:val="24"/>
        </w:rPr>
        <w:footnoteReference w:id="212"/>
      </w:r>
      <w:r w:rsidRPr="00103C29">
        <w:rPr>
          <w:rFonts w:ascii="Times New Roman" w:hAnsi="Times New Roman"/>
          <w:noProof/>
          <w:sz w:val="24"/>
        </w:rPr>
        <w:t xml:space="preserve"> There is a daily need for law enforcement officials to be able to conduct “normal” and policing activities around and across borders regions.</w:t>
      </w:r>
      <w:r w:rsidRPr="00103C29">
        <w:rPr>
          <w:rStyle w:val="FootnoteReference"/>
          <w:rFonts w:ascii="Times New Roman" w:hAnsi="Times New Roman"/>
          <w:noProof/>
          <w:sz w:val="24"/>
        </w:rPr>
        <w:footnoteReference w:id="213"/>
      </w:r>
      <w:r w:rsidRPr="00103C29">
        <w:rPr>
          <w:rFonts w:ascii="Times New Roman" w:hAnsi="Times New Roman"/>
          <w:noProof/>
          <w:sz w:val="24"/>
        </w:rPr>
        <w:t xml:space="preserve"> </w:t>
      </w:r>
    </w:p>
    <w:p w14:paraId="30CADF6F"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In addition to border regions, cooperation is needed in relation to demonstrations attended by international participants, state visits and summits, the protection of VIPs,</w:t>
      </w:r>
      <w:r w:rsidRPr="00103C29">
        <w:rPr>
          <w:rStyle w:val="FootnoteReference"/>
          <w:rFonts w:ascii="Times New Roman" w:hAnsi="Times New Roman"/>
          <w:noProof/>
          <w:sz w:val="24"/>
        </w:rPr>
        <w:footnoteReference w:id="214"/>
      </w:r>
      <w:r w:rsidRPr="00103C29">
        <w:rPr>
          <w:rFonts w:ascii="Times New Roman" w:hAnsi="Times New Roman"/>
          <w:noProof/>
          <w:sz w:val="24"/>
        </w:rPr>
        <w:t xml:space="preserve"> and sports and music events with international audiences.</w:t>
      </w:r>
      <w:r w:rsidRPr="00103C29">
        <w:rPr>
          <w:rStyle w:val="FootnoteReference"/>
          <w:rFonts w:ascii="Times New Roman" w:hAnsi="Times New Roman"/>
          <w:noProof/>
          <w:sz w:val="24"/>
        </w:rPr>
        <w:footnoteReference w:id="215"/>
      </w:r>
      <w:r w:rsidRPr="00103C29">
        <w:rPr>
          <w:rFonts w:ascii="Times New Roman" w:hAnsi="Times New Roman"/>
          <w:noProof/>
          <w:sz w:val="24"/>
        </w:rPr>
        <w:t xml:space="preserve"> Indeed, mass gatherings and public places remain a key target for terrorist attacks</w:t>
      </w:r>
      <w:r w:rsidRPr="00103C29">
        <w:rPr>
          <w:rFonts w:ascii="Times New Roman" w:hAnsi="Times New Roman"/>
          <w:noProof/>
          <w:sz w:val="24"/>
          <w:vertAlign w:val="superscript"/>
        </w:rPr>
        <w:footnoteReference w:id="216"/>
      </w:r>
      <w:r w:rsidRPr="00103C29">
        <w:rPr>
          <w:rFonts w:ascii="Times New Roman" w:hAnsi="Times New Roman"/>
          <w:noProof/>
          <w:sz w:val="24"/>
        </w:rPr>
        <w:t xml:space="preserve"> - highlighting the threat to public safety and the need for continued cooperation. </w:t>
      </w:r>
    </w:p>
    <w:p w14:paraId="466C9C66"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In the case of international events with spectators, it is of vital importance to have close operational cooperation between the involved authorities “in order to ensure an overall situation picture and threat assessment”.</w:t>
      </w:r>
      <w:r w:rsidRPr="00103C29">
        <w:rPr>
          <w:rStyle w:val="FootnoteReference"/>
          <w:rFonts w:ascii="Times New Roman" w:hAnsi="Times New Roman"/>
          <w:noProof/>
          <w:sz w:val="24"/>
        </w:rPr>
        <w:footnoteReference w:id="217"/>
      </w:r>
      <w:r w:rsidRPr="00103C29">
        <w:rPr>
          <w:rFonts w:ascii="Times New Roman" w:hAnsi="Times New Roman"/>
          <w:noProof/>
          <w:sz w:val="24"/>
        </w:rPr>
        <w:t xml:space="preserve"> The need for cooperation is thus an important part of the security policy at mass events.</w:t>
      </w:r>
      <w:r w:rsidRPr="00103C29">
        <w:rPr>
          <w:rStyle w:val="FootnoteReference"/>
          <w:rFonts w:ascii="Times New Roman" w:hAnsi="Times New Roman"/>
          <w:noProof/>
          <w:sz w:val="24"/>
        </w:rPr>
        <w:footnoteReference w:id="218"/>
      </w:r>
      <w:r w:rsidRPr="00103C29">
        <w:rPr>
          <w:rFonts w:ascii="Times New Roman" w:hAnsi="Times New Roman"/>
          <w:noProof/>
          <w:sz w:val="24"/>
        </w:rPr>
        <w:t xml:space="preserve"> An example of a recognised good practice where this does happen frequently is at football matches, where there is a history of law enforcement cooperation.</w:t>
      </w:r>
      <w:r w:rsidRPr="00103C29">
        <w:rPr>
          <w:rFonts w:ascii="Times New Roman" w:hAnsi="Times New Roman"/>
          <w:noProof/>
          <w:sz w:val="24"/>
          <w:vertAlign w:val="superscript"/>
        </w:rPr>
        <w:footnoteReference w:id="219"/>
      </w:r>
    </w:p>
    <w:p w14:paraId="61C2A460"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The </w:t>
      </w:r>
      <w:r w:rsidRPr="00103C29">
        <w:rPr>
          <w:rFonts w:ascii="Times New Roman" w:hAnsi="Times New Roman"/>
          <w:bCs/>
          <w:noProof/>
          <w:sz w:val="24"/>
        </w:rPr>
        <w:t>need to manage the pandemic</w:t>
      </w:r>
      <w:r w:rsidRPr="00103C29">
        <w:rPr>
          <w:rFonts w:ascii="Times New Roman" w:hAnsi="Times New Roman"/>
          <w:noProof/>
          <w:sz w:val="24"/>
        </w:rPr>
        <w:t xml:space="preserve"> is another issue, which has created an increased need for cooperation at the border over the last year,</w:t>
      </w:r>
      <w:r w:rsidRPr="00103C29">
        <w:rPr>
          <w:rStyle w:val="FootnoteReference"/>
          <w:rFonts w:ascii="Times New Roman" w:hAnsi="Times New Roman"/>
          <w:noProof/>
          <w:sz w:val="24"/>
        </w:rPr>
        <w:footnoteReference w:id="220"/>
      </w:r>
      <w:r w:rsidRPr="00103C29">
        <w:rPr>
          <w:rFonts w:ascii="Times New Roman" w:hAnsi="Times New Roman"/>
          <w:noProof/>
          <w:sz w:val="24"/>
        </w:rPr>
        <w:t xml:space="preserve"> and which highlights the interconnectedness of Member States and SACs – with the impacts on health and security cascading between countries. The movement of persons for </w:t>
      </w:r>
      <w:r w:rsidRPr="00103C29">
        <w:rPr>
          <w:rFonts w:ascii="Times New Roman" w:hAnsi="Times New Roman"/>
          <w:bCs/>
          <w:noProof/>
          <w:sz w:val="24"/>
        </w:rPr>
        <w:t>tourism</w:t>
      </w:r>
      <w:r w:rsidRPr="00103C29">
        <w:rPr>
          <w:rFonts w:ascii="Times New Roman" w:hAnsi="Times New Roman"/>
          <w:noProof/>
          <w:sz w:val="24"/>
        </w:rPr>
        <w:t xml:space="preserve"> similarly creates a demand for law enforcement cooperation. </w:t>
      </w:r>
    </w:p>
    <w:p w14:paraId="54091E0B"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Cross-border mobility, in particular for touristic purposes after the COVID-19 pandemic, is expected to increase. A crucial enabler for this development is the effective and efficient management of public order and safety. Therefore, it can be expected that the measures foreseen under this policy option will have a positive economic impact, e.g. in terms of increased GDP in tourism-related industries. </w:t>
      </w:r>
    </w:p>
    <w:p w14:paraId="7CD266E2" w14:textId="77777777" w:rsidR="004D7FEE" w:rsidRPr="00103C29" w:rsidRDefault="004D7FEE" w:rsidP="005B3636">
      <w:pPr>
        <w:pStyle w:val="Body"/>
        <w:spacing w:before="240" w:after="120"/>
        <w:jc w:val="both"/>
        <w:rPr>
          <w:rFonts w:ascii="Times New Roman" w:hAnsi="Times New Roman"/>
          <w:b/>
          <w:bCs/>
          <w:i/>
          <w:noProof/>
          <w:color w:val="44546A" w:themeColor="text2"/>
          <w:sz w:val="24"/>
        </w:rPr>
      </w:pPr>
      <w:r w:rsidRPr="00103C29">
        <w:rPr>
          <w:rFonts w:ascii="Times New Roman" w:hAnsi="Times New Roman"/>
          <w:b/>
          <w:bCs/>
          <w:i/>
          <w:noProof/>
          <w:color w:val="44546A" w:themeColor="text2"/>
          <w:sz w:val="24"/>
        </w:rPr>
        <w:t>Increasing interconnection of EU markets</w:t>
      </w:r>
    </w:p>
    <w:p w14:paraId="2EC1E99C"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The increasing mobility of EU citizens has been accompanied by an </w:t>
      </w:r>
      <w:r w:rsidRPr="00103C29">
        <w:rPr>
          <w:rFonts w:ascii="Times New Roman" w:hAnsi="Times New Roman"/>
          <w:bCs/>
          <w:noProof/>
          <w:sz w:val="24"/>
        </w:rPr>
        <w:t>increasing interconnection of EU markets</w:t>
      </w:r>
      <w:r w:rsidRPr="00103C29">
        <w:rPr>
          <w:rFonts w:ascii="Times New Roman" w:hAnsi="Times New Roman"/>
          <w:noProof/>
          <w:sz w:val="24"/>
        </w:rPr>
        <w:t xml:space="preserve"> both within the EU and with the rest of the world. In times of global trade</w:t>
      </w:r>
      <w:r w:rsidRPr="00103C29" w:rsidDel="00C20369">
        <w:rPr>
          <w:rFonts w:ascii="Times New Roman" w:hAnsi="Times New Roman"/>
          <w:noProof/>
          <w:sz w:val="24"/>
        </w:rPr>
        <w:t xml:space="preserve">, </w:t>
      </w:r>
      <w:r w:rsidRPr="00103C29">
        <w:rPr>
          <w:rFonts w:ascii="Times New Roman" w:hAnsi="Times New Roman"/>
          <w:noProof/>
          <w:sz w:val="24"/>
        </w:rPr>
        <w:t>international value chains and trade flows, trade between the EU market and other world’s economies has become more and more interlinked. EU businesses have increasingly organised their production globally by breaking up their value chains into smaller parts to be supplied from worldwide providers. In the last five years, extra-EU imports have significantly increased by 16% to EUR 1 935 billion in 2019.</w:t>
      </w:r>
      <w:r w:rsidRPr="00103C29">
        <w:rPr>
          <w:rStyle w:val="FootnoteReference"/>
          <w:rFonts w:ascii="Times New Roman" w:hAnsi="Times New Roman"/>
          <w:noProof/>
          <w:sz w:val="24"/>
        </w:rPr>
        <w:footnoteReference w:id="221"/>
      </w:r>
      <w:r w:rsidRPr="00103C29">
        <w:rPr>
          <w:rFonts w:ascii="Times New Roman" w:hAnsi="Times New Roman"/>
          <w:noProof/>
          <w:sz w:val="24"/>
        </w:rPr>
        <w:t xml:space="preserve"> A relevant example of how world’s economies are increasingly interconnected is the major interruption of trade flows caused by one container ship blocking the Suez Canal in March 2021.</w:t>
      </w:r>
      <w:r w:rsidRPr="00103C29">
        <w:rPr>
          <w:rStyle w:val="FootnoteReference"/>
          <w:rFonts w:ascii="Times New Roman" w:hAnsi="Times New Roman"/>
          <w:noProof/>
          <w:sz w:val="24"/>
        </w:rPr>
        <w:footnoteReference w:id="222"/>
      </w:r>
      <w:r w:rsidRPr="00103C29">
        <w:rPr>
          <w:rFonts w:ascii="Times New Roman" w:hAnsi="Times New Roman"/>
          <w:noProof/>
          <w:sz w:val="24"/>
        </w:rPr>
        <w:t xml:space="preserve"> </w:t>
      </w:r>
    </w:p>
    <w:p w14:paraId="2468EBB7" w14:textId="77777777" w:rsidR="004D7FEE" w:rsidRPr="00103C29"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As markets will likely continue to increasingly act globally and be interconnected, </w:t>
      </w:r>
      <w:r w:rsidRPr="00103C29">
        <w:rPr>
          <w:rFonts w:ascii="Times New Roman" w:hAnsi="Times New Roman"/>
          <w:bCs/>
          <w:noProof/>
          <w:sz w:val="24"/>
        </w:rPr>
        <w:t>SOC is expected to globalise as well</w:t>
      </w:r>
      <w:r w:rsidRPr="00103C29">
        <w:rPr>
          <w:rFonts w:ascii="Times New Roman" w:hAnsi="Times New Roman"/>
          <w:noProof/>
          <w:sz w:val="24"/>
        </w:rPr>
        <w:t>. As a reference, the cocaine drug market, the second largest illicit drug market in the EU after the cannabis market, is rapidly more acting at a global level and becoming more globally connected. On the one hand, serious and OCGs from different nationalities are increasingly entering the cocaine market in the EU. Whereas Colombian and Italian serious and OCGs played a central role in the cocaine market in the past, serious and OCGs are increasingly of e.g. Albanian, British, Dutch, French, Moroccan, Spanish and Turkish origin. On the other hand, European serious and OCGs are increasingly establishing presence in Latin American countries in order to better manage production facilities. As concerns the smuggling of cocaine, it is not only North Africa that is increasingly emerging as a significant transit point but also the EU, which is increasingly serving as a transit point for the cocaine markets in e.g. Australia, Russia and Turkey.</w:t>
      </w:r>
      <w:r w:rsidRPr="00103C29">
        <w:rPr>
          <w:rStyle w:val="FootnoteReference"/>
          <w:rFonts w:ascii="Times New Roman" w:hAnsi="Times New Roman"/>
          <w:noProof/>
          <w:sz w:val="24"/>
        </w:rPr>
        <w:footnoteReference w:id="223"/>
      </w:r>
      <w:r w:rsidRPr="00103C29">
        <w:rPr>
          <w:rFonts w:ascii="Times New Roman" w:hAnsi="Times New Roman"/>
          <w:noProof/>
          <w:sz w:val="24"/>
        </w:rPr>
        <w:t xml:space="preserve"> In the near future, it is expected that serious and OCGs will continue to rapidly exploit opportunities that are arising from the existence of global commercial markets and the related global logistical developments.</w:t>
      </w:r>
    </w:p>
    <w:p w14:paraId="53B06FF4" w14:textId="52BF2802" w:rsidR="004D7FEE" w:rsidRDefault="004D7FEE" w:rsidP="00F75B2A">
      <w:pPr>
        <w:pStyle w:val="Body"/>
        <w:spacing w:after="120"/>
        <w:jc w:val="both"/>
        <w:rPr>
          <w:rFonts w:ascii="Times New Roman" w:hAnsi="Times New Roman"/>
          <w:noProof/>
          <w:sz w:val="24"/>
        </w:rPr>
      </w:pPr>
      <w:r w:rsidRPr="00103C29">
        <w:rPr>
          <w:rFonts w:ascii="Times New Roman" w:hAnsi="Times New Roman"/>
          <w:noProof/>
          <w:sz w:val="24"/>
        </w:rPr>
        <w:t xml:space="preserve">The increasing interconnection of the EU markets has not translated into higher levels of social equality across the EU; on the contrary, </w:t>
      </w:r>
      <w:r w:rsidRPr="00103C29">
        <w:rPr>
          <w:rFonts w:ascii="Times New Roman" w:hAnsi="Times New Roman"/>
          <w:bCs/>
          <w:noProof/>
          <w:sz w:val="24"/>
        </w:rPr>
        <w:t>social and economic disparities between</w:t>
      </w:r>
      <w:r w:rsidRPr="00103C29">
        <w:rPr>
          <w:rFonts w:ascii="Times New Roman" w:hAnsi="Times New Roman"/>
          <w:noProof/>
          <w:sz w:val="24"/>
        </w:rPr>
        <w:t xml:space="preserve"> Member States continue to persist </w:t>
      </w:r>
      <w:r w:rsidRPr="00103C29">
        <w:rPr>
          <w:rFonts w:ascii="Times New Roman" w:hAnsi="Times New Roman"/>
          <w:bCs/>
          <w:noProof/>
          <w:sz w:val="24"/>
        </w:rPr>
        <w:t>in the long term.</w:t>
      </w:r>
      <w:r w:rsidRPr="00103C29">
        <w:rPr>
          <w:rFonts w:ascii="Times New Roman" w:hAnsi="Times New Roman"/>
          <w:noProof/>
          <w:sz w:val="24"/>
        </w:rPr>
        <w:t xml:space="preserve"> In terms of GDP and economic growth, the disparity between Member States – particularly between the East-Central Member States and the former Member States – remains large. A clear example is the difference in terms of GDP per capita between Germany and Romania. According to Eurostat data, the GDP per capita in Germany had slightly increased in the last ten years and amounted to 40 070 Euros in 2020. In Romania, on the other hand, the GDP per capita, despite slight increases in the last ten years, amounted only to 11 270 Euros in 2020.</w:t>
      </w:r>
      <w:r w:rsidRPr="00103C29">
        <w:rPr>
          <w:rStyle w:val="FootnoteReference"/>
          <w:rFonts w:ascii="Times New Roman" w:hAnsi="Times New Roman"/>
          <w:noProof/>
          <w:sz w:val="24"/>
        </w:rPr>
        <w:footnoteReference w:id="224"/>
      </w:r>
      <w:r w:rsidRPr="00103C29">
        <w:rPr>
          <w:rFonts w:ascii="Times New Roman" w:hAnsi="Times New Roman"/>
          <w:noProof/>
          <w:sz w:val="24"/>
        </w:rPr>
        <w:t xml:space="preserve"> How large the economic disparities are is also visible when comparing the average GDP per capita of those five Member States with the highest GDP per capita with the average for the five Member States with the lowest GDP per capita. Whereas the GDP per capita of the top five is not just far higher in absolute terms, it has also increased more in the past decade than the average GDP per capita for the five Member States with the lowest GDP (see </w:t>
      </w:r>
      <w:r w:rsidRPr="00103C29">
        <w:rPr>
          <w:rFonts w:ascii="Times New Roman" w:hAnsi="Times New Roman"/>
          <w:noProof/>
          <w:sz w:val="24"/>
        </w:rPr>
        <w:fldChar w:fldCharType="begin"/>
      </w:r>
      <w:r w:rsidRPr="00103C29">
        <w:rPr>
          <w:rFonts w:ascii="Times New Roman" w:hAnsi="Times New Roman"/>
          <w:noProof/>
          <w:sz w:val="24"/>
        </w:rPr>
        <w:instrText xml:space="preserve"> REF _Ref69403312 \h  \* MERGEFORMAT </w:instrText>
      </w:r>
      <w:r w:rsidRPr="00103C29">
        <w:rPr>
          <w:rFonts w:ascii="Times New Roman" w:hAnsi="Times New Roman"/>
          <w:noProof/>
          <w:sz w:val="24"/>
        </w:rPr>
      </w:r>
      <w:r w:rsidRPr="00103C29">
        <w:rPr>
          <w:rFonts w:ascii="Times New Roman" w:hAnsi="Times New Roman"/>
          <w:noProof/>
          <w:sz w:val="24"/>
        </w:rPr>
        <w:fldChar w:fldCharType="end"/>
      </w:r>
      <w:r w:rsidRPr="00103C29">
        <w:rPr>
          <w:rFonts w:ascii="Times New Roman" w:hAnsi="Times New Roman"/>
          <w:noProof/>
          <w:sz w:val="24"/>
        </w:rPr>
        <w:t>).</w:t>
      </w:r>
      <w:r w:rsidRPr="00103C29">
        <w:rPr>
          <w:rStyle w:val="FootnoteReference"/>
          <w:rFonts w:ascii="Times New Roman" w:hAnsi="Times New Roman"/>
          <w:noProof/>
          <w:sz w:val="24"/>
        </w:rPr>
        <w:footnoteReference w:id="225"/>
      </w:r>
      <w:r w:rsidRPr="00103C29">
        <w:rPr>
          <w:rFonts w:ascii="Times New Roman" w:hAnsi="Times New Roman"/>
          <w:noProof/>
          <w:sz w:val="24"/>
        </w:rPr>
        <w:t xml:space="preserve"> Economic disparities are an opportunity for criminals since it is increasingly attractive for them to travel to wealthier European regions and commit criminal activities there. For instance, during the tourist season, organised groups of young children from Romania are sent to Paris, Berlin, London etc. for pickpocketing among tourists.</w:t>
      </w:r>
      <w:r w:rsidRPr="00103C29">
        <w:rPr>
          <w:rStyle w:val="FootnoteReference"/>
          <w:rFonts w:ascii="Times New Roman" w:hAnsi="Times New Roman"/>
          <w:noProof/>
          <w:sz w:val="24"/>
        </w:rPr>
        <w:footnoteReference w:id="226"/>
      </w:r>
      <w:r w:rsidRPr="00103C29">
        <w:rPr>
          <w:rFonts w:ascii="Times New Roman" w:hAnsi="Times New Roman"/>
          <w:noProof/>
          <w:sz w:val="24"/>
        </w:rPr>
        <w:t xml:space="preserve"> It is expected that the economic disparities will likely not only persist but increase in the short term since a deep and severe recession at a global scale has been forecasted because of the COVID-19 pandemic.</w:t>
      </w:r>
      <w:r w:rsidRPr="00103C29">
        <w:rPr>
          <w:rStyle w:val="FootnoteReference"/>
          <w:rFonts w:ascii="Times New Roman" w:hAnsi="Times New Roman"/>
          <w:noProof/>
          <w:sz w:val="24"/>
        </w:rPr>
        <w:footnoteReference w:id="227"/>
      </w:r>
    </w:p>
    <w:p w14:paraId="4E6E8928" w14:textId="77777777" w:rsidR="005B3636" w:rsidRPr="00103C29" w:rsidRDefault="005B3636" w:rsidP="00F75B2A">
      <w:pPr>
        <w:pStyle w:val="Body"/>
        <w:spacing w:after="120"/>
        <w:jc w:val="both"/>
        <w:rPr>
          <w:rFonts w:ascii="Times New Roman" w:hAnsi="Times New Roman"/>
          <w:noProof/>
          <w:sz w:val="24"/>
        </w:rPr>
      </w:pPr>
    </w:p>
    <w:p w14:paraId="0190AE29" w14:textId="77777777" w:rsidR="004D7FEE" w:rsidRPr="000A18E7" w:rsidRDefault="004D7FEE" w:rsidP="002F2104">
      <w:pPr>
        <w:pStyle w:val="Caption"/>
        <w:keepNext/>
        <w:jc w:val="center"/>
        <w:rPr>
          <w:noProof/>
          <w:lang w:val="en-GB"/>
        </w:rPr>
      </w:pPr>
      <w:bookmarkStart w:id="178" w:name="_Ref69403312"/>
      <w:bookmarkEnd w:id="178"/>
      <w:r w:rsidRPr="000A18E7">
        <w:rPr>
          <w:noProof/>
          <w:lang w:val="en-GB"/>
        </w:rPr>
        <w:t xml:space="preserve">Development of GDP per capita at market prices </w:t>
      </w:r>
    </w:p>
    <w:p w14:paraId="2675FA37" w14:textId="77777777" w:rsidR="004D7FEE" w:rsidRPr="000A18E7" w:rsidRDefault="004D7FEE" w:rsidP="00F75B2A">
      <w:pPr>
        <w:jc w:val="center"/>
        <w:rPr>
          <w:noProof/>
        </w:rPr>
      </w:pPr>
      <w:r w:rsidRPr="000A18E7">
        <w:rPr>
          <w:noProof/>
          <w:lang w:val="en-GB" w:eastAsia="en-GB"/>
        </w:rPr>
        <w:drawing>
          <wp:inline distT="0" distB="0" distL="0" distR="0" wp14:anchorId="0D365756" wp14:editId="79577CAE">
            <wp:extent cx="6012180" cy="2316480"/>
            <wp:effectExtent l="0" t="0" r="7620" b="7620"/>
            <wp:docPr id="17" name="Chart 17">
              <a:extLst xmlns:a="http://schemas.openxmlformats.org/drawingml/2006/main">
                <a:ext uri="{FF2B5EF4-FFF2-40B4-BE49-F238E27FC236}">
                  <a16:creationId xmlns:a16="http://schemas.microsoft.com/office/drawing/2014/main" id="{41DAF951-CA0B-403D-A5B6-565080505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70CE6FA" w14:textId="77777777" w:rsidR="004D7FEE" w:rsidRPr="00704502" w:rsidRDefault="004D7FEE" w:rsidP="00103C29">
      <w:pPr>
        <w:pStyle w:val="Body"/>
        <w:jc w:val="both"/>
        <w:rPr>
          <w:i/>
          <w:iCs/>
          <w:noProof/>
          <w:color w:val="808080" w:themeColor="text1" w:themeTint="7F"/>
          <w:sz w:val="16"/>
          <w:szCs w:val="16"/>
        </w:rPr>
      </w:pPr>
      <w:r w:rsidRPr="00704502">
        <w:rPr>
          <w:rStyle w:val="SubtleEmphasis"/>
          <w:noProof/>
          <w:sz w:val="16"/>
          <w:szCs w:val="16"/>
        </w:rPr>
        <w:t xml:space="preserve">Source: </w:t>
      </w:r>
      <w:r w:rsidR="00414CF9" w:rsidRPr="00414CF9">
        <w:rPr>
          <w:i/>
          <w:noProof/>
          <w:color w:val="7F7F7F" w:themeColor="text1" w:themeTint="80"/>
          <w:sz w:val="16"/>
          <w:szCs w:val="16"/>
        </w:rPr>
        <w:t>EY/RAND Europe Study’s elaboration</w:t>
      </w:r>
      <w:r w:rsidR="00414CF9" w:rsidRPr="00704502">
        <w:rPr>
          <w:rStyle w:val="SubtleEmphasis"/>
          <w:noProof/>
          <w:sz w:val="16"/>
          <w:szCs w:val="16"/>
        </w:rPr>
        <w:t xml:space="preserve"> </w:t>
      </w:r>
      <w:r w:rsidRPr="00704502">
        <w:rPr>
          <w:rStyle w:val="SubtleEmphasis"/>
          <w:noProof/>
          <w:sz w:val="16"/>
          <w:szCs w:val="16"/>
        </w:rPr>
        <w:t>based on Eurostat (2021)</w:t>
      </w:r>
    </w:p>
    <w:p w14:paraId="6505BF60" w14:textId="77777777" w:rsidR="004D7FEE" w:rsidRPr="00F75B2A" w:rsidRDefault="004D7FEE" w:rsidP="005B3636">
      <w:pPr>
        <w:pStyle w:val="Body"/>
        <w:spacing w:before="240" w:after="120"/>
        <w:jc w:val="both"/>
        <w:rPr>
          <w:rStyle w:val="SubtleEmphasis"/>
          <w:rFonts w:ascii="Times New Roman" w:hAnsi="Times New Roman"/>
          <w:b/>
          <w:bCs/>
          <w:iCs w:val="0"/>
          <w:noProof/>
          <w:color w:val="44546A" w:themeColor="text2"/>
          <w:sz w:val="24"/>
          <w:szCs w:val="24"/>
        </w:rPr>
      </w:pPr>
      <w:r w:rsidRPr="00B911A0">
        <w:rPr>
          <w:rFonts w:ascii="Times New Roman" w:hAnsi="Times New Roman"/>
          <w:b/>
          <w:bCs/>
          <w:i/>
          <w:noProof/>
          <w:color w:val="44546A" w:themeColor="text2"/>
          <w:sz w:val="24"/>
          <w:szCs w:val="24"/>
        </w:rPr>
        <w:t>A shift to the online world</w:t>
      </w:r>
    </w:p>
    <w:p w14:paraId="288BB110" w14:textId="77777777" w:rsidR="004D7FEE" w:rsidRPr="00F75B2A" w:rsidRDefault="004D7FEE" w:rsidP="00F75B2A">
      <w:pPr>
        <w:pStyle w:val="Body"/>
        <w:spacing w:after="120"/>
        <w:jc w:val="both"/>
        <w:rPr>
          <w:rFonts w:ascii="Times New Roman" w:hAnsi="Times New Roman"/>
          <w:noProof/>
          <w:sz w:val="24"/>
          <w:szCs w:val="24"/>
        </w:rPr>
      </w:pPr>
      <w:r w:rsidRPr="00F75B2A">
        <w:rPr>
          <w:rFonts w:ascii="Times New Roman" w:hAnsi="Times New Roman"/>
          <w:noProof/>
          <w:sz w:val="24"/>
          <w:szCs w:val="24"/>
        </w:rPr>
        <w:t xml:space="preserve">Another relevant social development is the incessant digitalisation of lives and production. The </w:t>
      </w:r>
      <w:r w:rsidRPr="00F75B2A">
        <w:rPr>
          <w:rFonts w:ascii="Times New Roman" w:hAnsi="Times New Roman"/>
          <w:bCs/>
          <w:noProof/>
          <w:sz w:val="24"/>
          <w:szCs w:val="24"/>
        </w:rPr>
        <w:t>shift t</w:t>
      </w:r>
      <w:r w:rsidRPr="00F75B2A">
        <w:rPr>
          <w:rFonts w:ascii="Times New Roman" w:hAnsi="Times New Roman"/>
          <w:noProof/>
          <w:sz w:val="24"/>
          <w:szCs w:val="24"/>
        </w:rPr>
        <w:t xml:space="preserve">o the online world </w:t>
      </w:r>
      <w:r w:rsidRPr="00F75B2A">
        <w:rPr>
          <w:rFonts w:ascii="Times New Roman" w:hAnsi="Times New Roman"/>
          <w:bCs/>
          <w:noProof/>
          <w:sz w:val="24"/>
          <w:szCs w:val="24"/>
        </w:rPr>
        <w:t>is not a recent process; however, it</w:t>
      </w:r>
      <w:r w:rsidRPr="00F75B2A">
        <w:rPr>
          <w:rFonts w:ascii="Times New Roman" w:hAnsi="Times New Roman"/>
          <w:noProof/>
          <w:sz w:val="24"/>
          <w:szCs w:val="24"/>
        </w:rPr>
        <w:t xml:space="preserve"> underwent a without precedents acceleration after the outbreak of the COVID-19 pandemic. Before COVID-19, being online has already been a matter of course for many EU citizens with 85% of people using the internet at least once a week in 2020. Since 2014, these numbers have been moderately increasing by 10% until the pandemic has seen a large increase in internet use.</w:t>
      </w:r>
      <w:r w:rsidRPr="00F75B2A">
        <w:rPr>
          <w:rFonts w:ascii="Times New Roman" w:hAnsi="Times New Roman"/>
          <w:noProof/>
          <w:sz w:val="24"/>
          <w:szCs w:val="24"/>
          <w:vertAlign w:val="superscript"/>
        </w:rPr>
        <w:footnoteReference w:id="228"/>
      </w:r>
      <w:r w:rsidRPr="00F75B2A">
        <w:rPr>
          <w:rFonts w:ascii="Times New Roman" w:hAnsi="Times New Roman"/>
          <w:noProof/>
          <w:sz w:val="24"/>
          <w:szCs w:val="24"/>
          <w:vertAlign w:val="superscript"/>
        </w:rPr>
        <w:t xml:space="preserve"> </w:t>
      </w:r>
      <w:r w:rsidRPr="00F75B2A">
        <w:rPr>
          <w:rFonts w:ascii="Times New Roman" w:hAnsi="Times New Roman"/>
          <w:noProof/>
          <w:sz w:val="24"/>
          <w:szCs w:val="24"/>
        </w:rPr>
        <w:t>After having reached a peak during the health crisis, it is expected that the life of many EU citizens continues to take place online to a significant extent. Especially the prevalence of social media and online platforms is expected to increase. It is anticipated that leading private technology firms continue to dominate the digital market and to continue to retain their monopoly positions. The monopoly on personal data held by these private companies will continue to pose significant risks of criminal use of personal data.</w:t>
      </w:r>
      <w:r w:rsidRPr="00F75B2A">
        <w:rPr>
          <w:rStyle w:val="FootnoteReference"/>
          <w:rFonts w:ascii="Times New Roman" w:hAnsi="Times New Roman"/>
          <w:noProof/>
          <w:sz w:val="24"/>
          <w:szCs w:val="24"/>
        </w:rPr>
        <w:footnoteReference w:id="229"/>
      </w:r>
      <w:r w:rsidRPr="00F75B2A">
        <w:rPr>
          <w:rFonts w:ascii="Times New Roman" w:hAnsi="Times New Roman"/>
          <w:noProof/>
          <w:sz w:val="24"/>
          <w:szCs w:val="24"/>
        </w:rPr>
        <w:t xml:space="preserve"> As regards the work force, close to 40% of those currently working in the EU began to telework fulltime as a result of the pandemic in 2020.</w:t>
      </w:r>
      <w:r w:rsidRPr="00F75B2A">
        <w:rPr>
          <w:rFonts w:ascii="Times New Roman" w:hAnsi="Times New Roman"/>
          <w:noProof/>
          <w:sz w:val="24"/>
          <w:szCs w:val="24"/>
          <w:vertAlign w:val="superscript"/>
        </w:rPr>
        <w:footnoteReference w:id="230"/>
      </w:r>
      <w:r w:rsidRPr="00F75B2A">
        <w:rPr>
          <w:rFonts w:ascii="Times New Roman" w:hAnsi="Times New Roman"/>
          <w:noProof/>
          <w:sz w:val="24"/>
          <w:szCs w:val="24"/>
          <w:vertAlign w:val="superscript"/>
        </w:rPr>
        <w:t xml:space="preserve"> </w:t>
      </w:r>
      <w:r w:rsidRPr="00F75B2A">
        <w:rPr>
          <w:rFonts w:ascii="Times New Roman" w:hAnsi="Times New Roman"/>
          <w:noProof/>
          <w:sz w:val="24"/>
          <w:szCs w:val="24"/>
        </w:rPr>
        <w:t xml:space="preserve">It is likely that a significant part of these home-based workers will continue working remotely also after the end of the COVID-pandemic. </w:t>
      </w:r>
    </w:p>
    <w:p w14:paraId="220D3E20" w14:textId="77777777" w:rsidR="004D7FEE" w:rsidRPr="00F75B2A" w:rsidRDefault="004D7FEE" w:rsidP="005B3636">
      <w:pPr>
        <w:spacing w:before="240" w:after="120"/>
        <w:rPr>
          <w:rFonts w:ascii="Times New Roman" w:hAnsi="Times New Roman" w:cs="Times New Roman"/>
          <w:noProof/>
          <w:sz w:val="24"/>
          <w:szCs w:val="24"/>
          <w:u w:val="single"/>
          <w:lang w:val="en-GB"/>
        </w:rPr>
      </w:pPr>
      <w:bookmarkStart w:id="179" w:name="_Toc74241387"/>
      <w:r w:rsidRPr="00B911A0">
        <w:rPr>
          <w:rFonts w:ascii="Times New Roman" w:hAnsi="Times New Roman" w:cs="Times New Roman"/>
          <w:b/>
          <w:noProof/>
          <w:sz w:val="24"/>
          <w:szCs w:val="24"/>
          <w:lang w:val="en-GB"/>
        </w:rPr>
        <w:t xml:space="preserve">3. </w:t>
      </w:r>
      <w:r w:rsidRPr="00B911A0">
        <w:rPr>
          <w:rFonts w:ascii="Times New Roman" w:hAnsi="Times New Roman" w:cs="Times New Roman"/>
          <w:b/>
          <w:noProof/>
          <w:sz w:val="24"/>
          <w:szCs w:val="24"/>
          <w:u w:val="single"/>
          <w:lang w:val="en-GB"/>
        </w:rPr>
        <w:t xml:space="preserve">Evolution of the </w:t>
      </w:r>
      <w:bookmarkEnd w:id="179"/>
      <w:r w:rsidRPr="00B911A0">
        <w:rPr>
          <w:rFonts w:ascii="Times New Roman" w:hAnsi="Times New Roman" w:cs="Times New Roman"/>
          <w:b/>
          <w:noProof/>
          <w:sz w:val="24"/>
          <w:szCs w:val="24"/>
          <w:u w:val="single"/>
          <w:lang w:val="en-GB"/>
        </w:rPr>
        <w:t>situation</w:t>
      </w:r>
    </w:p>
    <w:p w14:paraId="711521F2" w14:textId="77777777" w:rsidR="004D7FEE" w:rsidRPr="002034CD" w:rsidRDefault="004D7FEE" w:rsidP="00F75B2A">
      <w:pPr>
        <w:pStyle w:val="Body"/>
        <w:spacing w:after="120"/>
        <w:jc w:val="both"/>
        <w:rPr>
          <w:rFonts w:ascii="Times New Roman" w:hAnsi="Times New Roman"/>
          <w:bCs/>
          <w:noProof/>
          <w:sz w:val="24"/>
          <w:szCs w:val="24"/>
        </w:rPr>
      </w:pPr>
      <w:bookmarkStart w:id="180" w:name="_Hlk73435016"/>
      <w:r w:rsidRPr="00B911A0">
        <w:rPr>
          <w:rFonts w:ascii="Times New Roman" w:hAnsi="Times New Roman"/>
          <w:noProof/>
          <w:sz w:val="24"/>
          <w:szCs w:val="24"/>
        </w:rPr>
        <w:t xml:space="preserve">Serious and organised crime, as well as situations critical for public order and safety are complex and multi-facetted phenomena whose evolution is affected by surrounding social and technological developments. </w:t>
      </w:r>
      <w:r w:rsidRPr="00B911A0">
        <w:rPr>
          <w:rFonts w:ascii="Times New Roman" w:hAnsi="Times New Roman"/>
          <w:bCs/>
          <w:noProof/>
          <w:sz w:val="24"/>
          <w:szCs w:val="24"/>
        </w:rPr>
        <w:t>Technological developments have a direct impact on the prevalence and severity of SOC and situations critical for public order and safety</w:t>
      </w:r>
      <w:r w:rsidRPr="002932FB">
        <w:rPr>
          <w:rFonts w:ascii="Times New Roman" w:hAnsi="Times New Roman"/>
          <w:noProof/>
          <w:sz w:val="24"/>
          <w:szCs w:val="24"/>
        </w:rPr>
        <w:t>. Technology is used to facilitate terrorism attacks, to create more innovative criminal business models, and to enhance communication among criminals. S</w:t>
      </w:r>
      <w:r w:rsidRPr="002932FB">
        <w:rPr>
          <w:rFonts w:ascii="Times New Roman" w:hAnsi="Times New Roman"/>
          <w:bCs/>
          <w:noProof/>
          <w:sz w:val="24"/>
          <w:szCs w:val="24"/>
        </w:rPr>
        <w:t>ocial developments expected to affect criminal threats in the next years are directly linked to the increasing interconnection of persons across the EU</w:t>
      </w:r>
      <w:r w:rsidRPr="002932FB">
        <w:rPr>
          <w:rFonts w:ascii="Times New Roman" w:hAnsi="Times New Roman"/>
          <w:noProof/>
          <w:sz w:val="24"/>
          <w:szCs w:val="24"/>
        </w:rPr>
        <w:t>, which reduces, or even overrides, territorial distances, thus creating new opportunities for criminals to exploit.</w:t>
      </w:r>
    </w:p>
    <w:p w14:paraId="52C43653" w14:textId="77777777" w:rsidR="004D7FEE" w:rsidRPr="002932FB" w:rsidRDefault="004D7FEE" w:rsidP="00F75B2A">
      <w:pPr>
        <w:pStyle w:val="Body"/>
        <w:spacing w:after="120"/>
        <w:jc w:val="both"/>
        <w:rPr>
          <w:rFonts w:ascii="Times New Roman" w:hAnsi="Times New Roman"/>
          <w:noProof/>
          <w:sz w:val="24"/>
          <w:szCs w:val="24"/>
        </w:rPr>
      </w:pPr>
      <w:r w:rsidRPr="002034CD">
        <w:rPr>
          <w:rFonts w:ascii="Times New Roman" w:hAnsi="Times New Roman"/>
          <w:noProof/>
          <w:sz w:val="24"/>
          <w:szCs w:val="24"/>
        </w:rPr>
        <w:t xml:space="preserve">It should be noted that </w:t>
      </w:r>
      <w:r w:rsidRPr="002034CD">
        <w:rPr>
          <w:rFonts w:ascii="Times New Roman" w:hAnsi="Times New Roman"/>
          <w:bCs/>
          <w:noProof/>
          <w:sz w:val="24"/>
          <w:szCs w:val="24"/>
        </w:rPr>
        <w:t>technological and social developments affect both criminal networks and law enforcement agencies (LEAs).</w:t>
      </w:r>
      <w:r w:rsidRPr="00904306">
        <w:rPr>
          <w:rFonts w:ascii="Times New Roman" w:hAnsi="Times New Roman"/>
          <w:noProof/>
          <w:sz w:val="24"/>
          <w:szCs w:val="24"/>
        </w:rPr>
        <w:t xml:space="preserve"> Criminals are, indeed, dynamic and quick to exploit the latest technological developments. As they manage to quickly adopt and integrate new emerging technologies into their </w:t>
      </w:r>
      <w:r w:rsidRPr="00904306">
        <w:rPr>
          <w:rFonts w:ascii="Times New Roman" w:hAnsi="Times New Roman"/>
          <w:i/>
          <w:iCs/>
          <w:noProof/>
          <w:sz w:val="24"/>
          <w:szCs w:val="24"/>
        </w:rPr>
        <w:t>modus operandi</w:t>
      </w:r>
      <w:r w:rsidRPr="00772FDB">
        <w:rPr>
          <w:rFonts w:ascii="Times New Roman" w:hAnsi="Times New Roman"/>
          <w:noProof/>
          <w:sz w:val="24"/>
          <w:szCs w:val="24"/>
        </w:rPr>
        <w:t>, criminals are able to ensure business continuity and can further expand their criminal activities.</w:t>
      </w:r>
      <w:r w:rsidRPr="00B911A0">
        <w:rPr>
          <w:rFonts w:ascii="Times New Roman" w:hAnsi="Times New Roman"/>
          <w:noProof/>
          <w:sz w:val="24"/>
          <w:szCs w:val="24"/>
          <w:vertAlign w:val="superscript"/>
        </w:rPr>
        <w:footnoteReference w:id="231"/>
      </w:r>
      <w:r w:rsidRPr="00B911A0">
        <w:rPr>
          <w:rFonts w:ascii="Times New Roman" w:hAnsi="Times New Roman"/>
          <w:noProof/>
          <w:sz w:val="24"/>
          <w:szCs w:val="24"/>
        </w:rPr>
        <w:t xml:space="preserve"> Thus, LEAs face the challenge to keep pace with criminal groups. However, at the same time, LEAs can take advantage of and use new technologies to cope with evolving criminal patterns.</w:t>
      </w:r>
    </w:p>
    <w:p w14:paraId="59C8230B" w14:textId="77777777" w:rsidR="004D7FEE" w:rsidRPr="002932FB" w:rsidRDefault="004D7FEE" w:rsidP="00F75B2A">
      <w:pPr>
        <w:pStyle w:val="Body"/>
        <w:spacing w:after="120"/>
        <w:jc w:val="both"/>
        <w:rPr>
          <w:rFonts w:ascii="Times New Roman" w:hAnsi="Times New Roman"/>
          <w:noProof/>
          <w:sz w:val="24"/>
          <w:szCs w:val="24"/>
        </w:rPr>
      </w:pPr>
      <w:r w:rsidRPr="002932FB">
        <w:rPr>
          <w:rFonts w:ascii="Times New Roman" w:hAnsi="Times New Roman"/>
          <w:noProof/>
          <w:sz w:val="24"/>
          <w:szCs w:val="24"/>
        </w:rPr>
        <w:t xml:space="preserve">The criminal use of technological developments varies depending on the specific crime area. For instance, technology has been used to facilitate and improve terrorism attacks, to create more innovative criminal business models, to enhance communication among criminals, or to reduce chances of being caught. Specific examples of how new technologies may be exploited by criminal are: </w:t>
      </w:r>
    </w:p>
    <w:p w14:paraId="6DF53DE0" w14:textId="77777777" w:rsidR="004D7FEE" w:rsidRPr="00B911A0" w:rsidRDefault="004D7FEE" w:rsidP="00900BC7">
      <w:pPr>
        <w:pStyle w:val="Body"/>
        <w:numPr>
          <w:ilvl w:val="0"/>
          <w:numId w:val="44"/>
        </w:numPr>
        <w:spacing w:before="120" w:after="120"/>
        <w:jc w:val="both"/>
        <w:rPr>
          <w:rFonts w:ascii="Times New Roman" w:hAnsi="Times New Roman"/>
          <w:i/>
          <w:iCs/>
          <w:noProof/>
          <w:sz w:val="24"/>
          <w:szCs w:val="24"/>
        </w:rPr>
      </w:pPr>
      <w:r w:rsidRPr="002034CD">
        <w:rPr>
          <w:rFonts w:ascii="Times New Roman" w:hAnsi="Times New Roman"/>
          <w:noProof/>
          <w:sz w:val="24"/>
          <w:szCs w:val="24"/>
        </w:rPr>
        <w:t xml:space="preserve">AI: </w:t>
      </w:r>
      <w:r w:rsidRPr="002034CD">
        <w:rPr>
          <w:rFonts w:ascii="Times New Roman" w:hAnsi="Times New Roman"/>
          <w:bCs/>
          <w:noProof/>
          <w:sz w:val="24"/>
          <w:szCs w:val="24"/>
        </w:rPr>
        <w:t>AI can be applied t</w:t>
      </w:r>
      <w:r w:rsidRPr="00904306">
        <w:rPr>
          <w:rFonts w:ascii="Times New Roman" w:hAnsi="Times New Roman"/>
          <w:bCs/>
          <w:noProof/>
          <w:sz w:val="24"/>
          <w:szCs w:val="24"/>
        </w:rPr>
        <w:t>o traditional criminal activities such as password guessing and social engineering in order to maximise profits in a shorter time</w:t>
      </w:r>
      <w:r w:rsidRPr="00904306">
        <w:rPr>
          <w:rFonts w:ascii="Times New Roman" w:hAnsi="Times New Roman"/>
          <w:noProof/>
          <w:sz w:val="24"/>
          <w:szCs w:val="24"/>
        </w:rPr>
        <w:t>.</w:t>
      </w:r>
      <w:r w:rsidRPr="00B911A0">
        <w:rPr>
          <w:rFonts w:ascii="Times New Roman" w:hAnsi="Times New Roman"/>
          <w:noProof/>
          <w:sz w:val="24"/>
          <w:szCs w:val="24"/>
          <w:vertAlign w:val="superscript"/>
        </w:rPr>
        <w:footnoteReference w:id="232"/>
      </w:r>
      <w:r w:rsidRPr="00B911A0">
        <w:rPr>
          <w:rFonts w:ascii="Times New Roman" w:hAnsi="Times New Roman"/>
          <w:noProof/>
          <w:sz w:val="24"/>
          <w:szCs w:val="24"/>
          <w:vertAlign w:val="superscript"/>
        </w:rPr>
        <w:t xml:space="preserve"> </w:t>
      </w:r>
      <w:r w:rsidRPr="00B911A0">
        <w:rPr>
          <w:rFonts w:ascii="Times New Roman" w:hAnsi="Times New Roman"/>
          <w:noProof/>
          <w:sz w:val="24"/>
          <w:szCs w:val="24"/>
        </w:rPr>
        <w:t xml:space="preserve">LEAs, on the other hand, can use AI to forecast the </w:t>
      </w:r>
      <w:r w:rsidRPr="002932FB">
        <w:rPr>
          <w:rFonts w:ascii="Times New Roman" w:hAnsi="Times New Roman"/>
          <w:noProof/>
          <w:sz w:val="24"/>
          <w:szCs w:val="24"/>
        </w:rPr>
        <w:t>likelihood and nature of criminal activities. For instance, a prefecture police in Japan has developed a tool to detect, analyse and predict the location and time for crimes and accidents based on data such as weather, past crimes in the area, urban mobility etc.</w:t>
      </w:r>
      <w:r w:rsidRPr="00B911A0">
        <w:rPr>
          <w:rFonts w:ascii="Times New Roman" w:hAnsi="Times New Roman"/>
          <w:noProof/>
          <w:sz w:val="24"/>
          <w:szCs w:val="24"/>
          <w:vertAlign w:val="superscript"/>
        </w:rPr>
        <w:footnoteReference w:id="233"/>
      </w:r>
    </w:p>
    <w:p w14:paraId="7F35F0E9" w14:textId="77777777" w:rsidR="004D7FEE" w:rsidRPr="00B911A0" w:rsidRDefault="004D7FEE" w:rsidP="00900BC7">
      <w:pPr>
        <w:pStyle w:val="Body"/>
        <w:numPr>
          <w:ilvl w:val="0"/>
          <w:numId w:val="44"/>
        </w:numPr>
        <w:spacing w:before="120" w:after="120"/>
        <w:jc w:val="both"/>
        <w:rPr>
          <w:rFonts w:ascii="Times New Roman" w:hAnsi="Times New Roman"/>
          <w:i/>
          <w:noProof/>
          <w:sz w:val="24"/>
          <w:szCs w:val="24"/>
        </w:rPr>
      </w:pPr>
      <w:r w:rsidRPr="002932FB">
        <w:rPr>
          <w:rFonts w:ascii="Times New Roman" w:hAnsi="Times New Roman"/>
          <w:noProof/>
          <w:sz w:val="24"/>
          <w:szCs w:val="24"/>
        </w:rPr>
        <w:t>3D Printing:</w:t>
      </w:r>
      <w:r w:rsidRPr="002932FB">
        <w:rPr>
          <w:rFonts w:ascii="Times New Roman" w:hAnsi="Times New Roman"/>
          <w:i/>
          <w:noProof/>
          <w:sz w:val="24"/>
          <w:szCs w:val="24"/>
        </w:rPr>
        <w:t xml:space="preserve"> </w:t>
      </w:r>
      <w:r w:rsidRPr="002932FB">
        <w:rPr>
          <w:rFonts w:ascii="Times New Roman" w:hAnsi="Times New Roman"/>
          <w:noProof/>
          <w:sz w:val="24"/>
          <w:szCs w:val="24"/>
        </w:rPr>
        <w:t>as 3D Printing is becoming increasingly widely available, it can offer criminals new opportunities for firearm production and trafficking or for the trade in counterfeit goods.</w:t>
      </w:r>
      <w:r w:rsidRPr="00B911A0">
        <w:rPr>
          <w:rFonts w:ascii="Times New Roman" w:hAnsi="Times New Roman"/>
          <w:noProof/>
          <w:sz w:val="24"/>
          <w:szCs w:val="24"/>
          <w:vertAlign w:val="superscript"/>
        </w:rPr>
        <w:footnoteReference w:id="234"/>
      </w:r>
    </w:p>
    <w:p w14:paraId="5CEBDC5E" w14:textId="77777777" w:rsidR="004D7FEE" w:rsidRPr="00B911A0" w:rsidRDefault="004D7FEE" w:rsidP="00900BC7">
      <w:pPr>
        <w:pStyle w:val="Body"/>
        <w:numPr>
          <w:ilvl w:val="0"/>
          <w:numId w:val="44"/>
        </w:numPr>
        <w:spacing w:before="120" w:after="120"/>
        <w:jc w:val="both"/>
        <w:rPr>
          <w:rFonts w:ascii="Times New Roman" w:hAnsi="Times New Roman"/>
          <w:i/>
          <w:noProof/>
          <w:sz w:val="24"/>
          <w:szCs w:val="24"/>
        </w:rPr>
      </w:pPr>
      <w:r w:rsidRPr="002932FB">
        <w:rPr>
          <w:rFonts w:ascii="Times New Roman" w:hAnsi="Times New Roman"/>
          <w:noProof/>
          <w:sz w:val="24"/>
          <w:szCs w:val="24"/>
        </w:rPr>
        <w:t>Robotics:</w:t>
      </w:r>
      <w:r w:rsidRPr="002932FB">
        <w:rPr>
          <w:rFonts w:ascii="Times New Roman" w:hAnsi="Times New Roman"/>
          <w:i/>
          <w:iCs/>
          <w:noProof/>
          <w:sz w:val="24"/>
          <w:szCs w:val="24"/>
        </w:rPr>
        <w:t xml:space="preserve"> </w:t>
      </w:r>
      <w:r w:rsidRPr="002932FB">
        <w:rPr>
          <w:rFonts w:ascii="Times New Roman" w:hAnsi="Times New Roman"/>
          <w:noProof/>
          <w:sz w:val="24"/>
          <w:szCs w:val="24"/>
        </w:rPr>
        <w:t>drones, which can be considered as advanced equipment in the field of robotics, are increasingly sold for private use and hence easily accessible for criminals. Criminals may use them for several activities, including corporate espionage</w:t>
      </w:r>
      <w:r w:rsidRPr="002932FB" w:rsidDel="00475536">
        <w:rPr>
          <w:rFonts w:ascii="Times New Roman" w:hAnsi="Times New Roman"/>
          <w:noProof/>
          <w:sz w:val="24"/>
          <w:szCs w:val="24"/>
        </w:rPr>
        <w:t>.</w:t>
      </w:r>
      <w:r w:rsidRPr="002034CD">
        <w:rPr>
          <w:rFonts w:ascii="Times New Roman" w:hAnsi="Times New Roman"/>
          <w:noProof/>
          <w:sz w:val="24"/>
          <w:szCs w:val="24"/>
        </w:rPr>
        <w:t xml:space="preserve"> On their side, LEAs can use drones as patrol drones for prisons and borders.</w:t>
      </w:r>
      <w:r w:rsidRPr="00B911A0">
        <w:rPr>
          <w:rFonts w:ascii="Times New Roman" w:hAnsi="Times New Roman"/>
          <w:noProof/>
          <w:sz w:val="24"/>
          <w:szCs w:val="24"/>
          <w:vertAlign w:val="superscript"/>
        </w:rPr>
        <w:footnoteReference w:id="235"/>
      </w:r>
      <w:r w:rsidRPr="00B911A0">
        <w:rPr>
          <w:rFonts w:ascii="Times New Roman" w:hAnsi="Times New Roman"/>
          <w:noProof/>
          <w:sz w:val="24"/>
          <w:szCs w:val="24"/>
        </w:rPr>
        <w:t xml:space="preserve"> </w:t>
      </w:r>
    </w:p>
    <w:p w14:paraId="2EE8E0E2" w14:textId="77777777" w:rsidR="004D7FEE" w:rsidRPr="00B911A0" w:rsidRDefault="004D7FEE" w:rsidP="00900BC7">
      <w:pPr>
        <w:pStyle w:val="Body"/>
        <w:numPr>
          <w:ilvl w:val="0"/>
          <w:numId w:val="44"/>
        </w:numPr>
        <w:spacing w:before="120" w:after="120"/>
        <w:jc w:val="both"/>
        <w:rPr>
          <w:rFonts w:ascii="Times New Roman" w:hAnsi="Times New Roman"/>
          <w:noProof/>
          <w:sz w:val="24"/>
          <w:szCs w:val="24"/>
        </w:rPr>
      </w:pPr>
      <w:r w:rsidRPr="002932FB">
        <w:rPr>
          <w:rFonts w:ascii="Times New Roman" w:hAnsi="Times New Roman"/>
          <w:noProof/>
          <w:sz w:val="24"/>
          <w:szCs w:val="24"/>
        </w:rPr>
        <w:t>New payment methods: blockchain and the emergence of different cryptocurrencies ensures anonymous online money transfers for criminals. Cryptocurrencies facilitate payments for transactions across all areas of cybercrime since reliability, irreversibility of transactions and anonymity have made cryptocurrencies as the default payment method for payments from victims to criminals (e.g. in the case of ransomware) or criminals to criminals (e.g. in the Dark web).</w:t>
      </w:r>
      <w:r w:rsidRPr="00B911A0">
        <w:rPr>
          <w:rFonts w:ascii="Times New Roman" w:hAnsi="Times New Roman"/>
          <w:noProof/>
          <w:sz w:val="24"/>
          <w:szCs w:val="24"/>
          <w:vertAlign w:val="superscript"/>
        </w:rPr>
        <w:footnoteReference w:id="236"/>
      </w:r>
    </w:p>
    <w:p w14:paraId="4C26AEC0" w14:textId="77777777" w:rsidR="004D7FEE" w:rsidRPr="002932FB" w:rsidRDefault="004D7FEE" w:rsidP="00F75B2A">
      <w:pPr>
        <w:pStyle w:val="Body"/>
        <w:spacing w:after="120"/>
        <w:jc w:val="both"/>
        <w:rPr>
          <w:rFonts w:ascii="Times New Roman" w:hAnsi="Times New Roman"/>
          <w:noProof/>
          <w:sz w:val="24"/>
          <w:szCs w:val="24"/>
        </w:rPr>
      </w:pPr>
      <w:r w:rsidRPr="00B911A0">
        <w:rPr>
          <w:rFonts w:ascii="Times New Roman" w:hAnsi="Times New Roman"/>
          <w:noProof/>
          <w:sz w:val="24"/>
          <w:szCs w:val="24"/>
        </w:rPr>
        <w:t xml:space="preserve">In the following, illustrative examples in </w:t>
      </w:r>
      <w:r w:rsidR="002034CD">
        <w:rPr>
          <w:rFonts w:ascii="Times New Roman" w:hAnsi="Times New Roman"/>
          <w:noProof/>
          <w:sz w:val="24"/>
          <w:szCs w:val="24"/>
        </w:rPr>
        <w:t>three</w:t>
      </w:r>
      <w:r w:rsidRPr="00B911A0">
        <w:rPr>
          <w:rFonts w:ascii="Times New Roman" w:hAnsi="Times New Roman"/>
          <w:noProof/>
          <w:sz w:val="24"/>
          <w:szCs w:val="24"/>
        </w:rPr>
        <w:t xml:space="preserve"> crime areas</w:t>
      </w:r>
      <w:r w:rsidRPr="00B911A0">
        <w:rPr>
          <w:rFonts w:ascii="Times New Roman" w:hAnsi="Times New Roman"/>
          <w:noProof/>
          <w:sz w:val="24"/>
          <w:szCs w:val="24"/>
          <w:vertAlign w:val="superscript"/>
        </w:rPr>
        <w:footnoteReference w:id="237"/>
      </w:r>
      <w:r w:rsidRPr="00B911A0">
        <w:rPr>
          <w:rFonts w:ascii="Times New Roman" w:hAnsi="Times New Roman"/>
          <w:noProof/>
          <w:sz w:val="24"/>
          <w:szCs w:val="24"/>
        </w:rPr>
        <w:t xml:space="preserve"> are presented, which show how criminals use the latest</w:t>
      </w:r>
      <w:r w:rsidRPr="00B911A0">
        <w:rPr>
          <w:rFonts w:ascii="Times New Roman" w:hAnsi="Times New Roman"/>
          <w:bCs/>
          <w:noProof/>
          <w:sz w:val="24"/>
          <w:szCs w:val="24"/>
        </w:rPr>
        <w:t xml:space="preserve"> technological developments</w:t>
      </w:r>
      <w:r w:rsidRPr="00B911A0">
        <w:rPr>
          <w:rFonts w:ascii="Times New Roman" w:hAnsi="Times New Roman"/>
          <w:noProof/>
          <w:sz w:val="24"/>
          <w:szCs w:val="24"/>
        </w:rPr>
        <w:t xml:space="preserve"> </w:t>
      </w:r>
      <w:r w:rsidRPr="00B911A0">
        <w:rPr>
          <w:rFonts w:ascii="Times New Roman" w:hAnsi="Times New Roman"/>
          <w:bCs/>
          <w:noProof/>
          <w:sz w:val="24"/>
          <w:szCs w:val="24"/>
        </w:rPr>
        <w:t xml:space="preserve">in different SOC areas </w:t>
      </w:r>
      <w:r w:rsidRPr="00B911A0">
        <w:rPr>
          <w:rFonts w:ascii="Times New Roman" w:hAnsi="Times New Roman"/>
          <w:noProof/>
          <w:sz w:val="24"/>
          <w:szCs w:val="24"/>
        </w:rPr>
        <w:t>and how the impact of such developments is likely to develop in the next years:</w:t>
      </w:r>
    </w:p>
    <w:p w14:paraId="503E0436" w14:textId="77777777" w:rsidR="004D7FEE" w:rsidRPr="002034CD" w:rsidRDefault="004D7FEE" w:rsidP="00900BC7">
      <w:pPr>
        <w:pStyle w:val="Body"/>
        <w:numPr>
          <w:ilvl w:val="0"/>
          <w:numId w:val="42"/>
        </w:numPr>
        <w:spacing w:before="120" w:after="120"/>
        <w:jc w:val="both"/>
        <w:rPr>
          <w:rFonts w:ascii="Times New Roman" w:hAnsi="Times New Roman"/>
          <w:noProof/>
          <w:sz w:val="24"/>
          <w:szCs w:val="24"/>
        </w:rPr>
      </w:pPr>
      <w:r w:rsidRPr="00F75B2A">
        <w:rPr>
          <w:rFonts w:ascii="Times New Roman" w:hAnsi="Times New Roman"/>
          <w:b/>
          <w:bCs/>
          <w:noProof/>
          <w:sz w:val="24"/>
          <w:szCs w:val="24"/>
        </w:rPr>
        <w:t>Cybercrime:</w:t>
      </w:r>
      <w:r w:rsidRPr="002932FB">
        <w:rPr>
          <w:rFonts w:ascii="Times New Roman" w:hAnsi="Times New Roman"/>
          <w:noProof/>
          <w:sz w:val="24"/>
          <w:szCs w:val="24"/>
        </w:rPr>
        <w:t xml:space="preserve"> Nearly all criminal activities include some sort of cyber dimension. Especially during the COVID-19 pandemic, criminals have pushed innovation in the area of cybercrime by devising new </w:t>
      </w:r>
      <w:r w:rsidRPr="002034CD">
        <w:rPr>
          <w:rFonts w:ascii="Times New Roman" w:hAnsi="Times New Roman"/>
          <w:i/>
          <w:iCs/>
          <w:noProof/>
          <w:sz w:val="24"/>
          <w:szCs w:val="24"/>
        </w:rPr>
        <w:t>modi operandi</w:t>
      </w:r>
      <w:r w:rsidRPr="002034CD">
        <w:rPr>
          <w:rFonts w:ascii="Times New Roman" w:hAnsi="Times New Roman"/>
          <w:noProof/>
          <w:sz w:val="24"/>
          <w:szCs w:val="24"/>
        </w:rPr>
        <w:t xml:space="preserve"> and by adapting existing ones to exploit the situation. For instance, with the increasing number of workers working remotely due to COVID-19, criminals increasingly started compromising business emails and using Artificial Intelligence (AI) to mimic the voice of a CEO. Other examples of cybercrime attacks include ransomware or identity fraud. Despite the majority of cybercrimes being well known, criminals have often succeeded due to insufficient cybersecurity. It is expected that criminals will continue to invent and apply different forms of cybercrime in the near future, making cybercrime remaining as one of the most dynamic forms of crime.</w:t>
      </w:r>
    </w:p>
    <w:p w14:paraId="76345F89" w14:textId="77777777" w:rsidR="004D7FEE" w:rsidRDefault="004D7FEE" w:rsidP="00900BC7">
      <w:pPr>
        <w:pStyle w:val="Body"/>
        <w:numPr>
          <w:ilvl w:val="0"/>
          <w:numId w:val="42"/>
        </w:numPr>
        <w:spacing w:before="120" w:after="120"/>
        <w:jc w:val="both"/>
        <w:rPr>
          <w:rFonts w:ascii="Times New Roman" w:hAnsi="Times New Roman"/>
          <w:noProof/>
          <w:sz w:val="24"/>
          <w:szCs w:val="24"/>
        </w:rPr>
      </w:pPr>
      <w:r w:rsidRPr="00F75B2A">
        <w:rPr>
          <w:rFonts w:ascii="Times New Roman" w:hAnsi="Times New Roman"/>
          <w:b/>
          <w:bCs/>
          <w:noProof/>
          <w:sz w:val="24"/>
          <w:szCs w:val="24"/>
        </w:rPr>
        <w:t>Financial Crime:</w:t>
      </w:r>
      <w:r w:rsidRPr="002034CD">
        <w:rPr>
          <w:rFonts w:ascii="Times New Roman" w:hAnsi="Times New Roman"/>
          <w:noProof/>
          <w:sz w:val="24"/>
          <w:szCs w:val="24"/>
        </w:rPr>
        <w:t xml:space="preserve"> It is expected that criminals will benefit from the latest technological developments and will increasingly commit financial crimes. The most prominent example of how criminals have used recent technological developments in the case of financial crime is non-cash payment fraud. In 2020, non-cash payment fraud increased as concerns the sophistication of social engineering and phishing. An example of financial crime during the COVID-19 pandemic is the abuse by criminals of the support and recovery funds, which s</w:t>
      </w:r>
      <w:r w:rsidRPr="00904306">
        <w:rPr>
          <w:rFonts w:ascii="Times New Roman" w:hAnsi="Times New Roman"/>
          <w:noProof/>
          <w:sz w:val="24"/>
          <w:szCs w:val="24"/>
        </w:rPr>
        <w:t>ome Member States established to stabilise their economies.</w:t>
      </w:r>
      <w:r w:rsidRPr="00B911A0">
        <w:rPr>
          <w:rFonts w:ascii="Times New Roman" w:hAnsi="Times New Roman"/>
          <w:noProof/>
          <w:sz w:val="24"/>
          <w:szCs w:val="24"/>
          <w:vertAlign w:val="superscript"/>
        </w:rPr>
        <w:footnoteReference w:id="238"/>
      </w:r>
      <w:r w:rsidRPr="00B911A0">
        <w:rPr>
          <w:rFonts w:ascii="Times New Roman" w:hAnsi="Times New Roman"/>
          <w:noProof/>
          <w:sz w:val="24"/>
          <w:szCs w:val="24"/>
        </w:rPr>
        <w:t xml:space="preserve"> In Germany, for instance, around 25,000 suspected cases of coronavirus aid fraud were investigated in spring 2021.</w:t>
      </w:r>
      <w:r w:rsidRPr="00B911A0">
        <w:rPr>
          <w:rFonts w:ascii="Times New Roman" w:hAnsi="Times New Roman"/>
          <w:noProof/>
          <w:sz w:val="24"/>
          <w:szCs w:val="24"/>
          <w:vertAlign w:val="superscript"/>
        </w:rPr>
        <w:footnoteReference w:id="239"/>
      </w:r>
    </w:p>
    <w:p w14:paraId="69CF9B0A" w14:textId="77777777" w:rsidR="002932FB" w:rsidRPr="00F75B2A" w:rsidRDefault="002932FB" w:rsidP="00900BC7">
      <w:pPr>
        <w:pStyle w:val="Body"/>
        <w:numPr>
          <w:ilvl w:val="0"/>
          <w:numId w:val="42"/>
        </w:numPr>
        <w:spacing w:before="120" w:after="120"/>
        <w:jc w:val="both"/>
        <w:rPr>
          <w:rFonts w:ascii="Times New Roman" w:hAnsi="Times New Roman"/>
          <w:noProof/>
          <w:sz w:val="24"/>
          <w:szCs w:val="18"/>
        </w:rPr>
      </w:pPr>
      <w:r w:rsidRPr="00F75B2A">
        <w:rPr>
          <w:rFonts w:ascii="Times New Roman" w:hAnsi="Times New Roman"/>
          <w:b/>
          <w:bCs/>
          <w:noProof/>
          <w:sz w:val="24"/>
        </w:rPr>
        <w:t>Drug trafficking:</w:t>
      </w:r>
      <w:r w:rsidRPr="00F75B2A">
        <w:rPr>
          <w:rFonts w:ascii="Times New Roman" w:hAnsi="Times New Roman"/>
          <w:noProof/>
          <w:sz w:val="24"/>
        </w:rPr>
        <w:t xml:space="preserve"> </w:t>
      </w:r>
      <w:r w:rsidRPr="00F75B2A">
        <w:rPr>
          <w:rFonts w:ascii="Times New Roman" w:hAnsi="Times New Roman"/>
          <w:noProof/>
          <w:sz w:val="24"/>
          <w:szCs w:val="18"/>
        </w:rPr>
        <w:t>Apart from small disruptions during the first lockdown, the drug trafficking has continued as usual.</w:t>
      </w:r>
      <w:r w:rsidRPr="00F75B2A">
        <w:rPr>
          <w:rFonts w:ascii="Times New Roman" w:hAnsi="Times New Roman"/>
          <w:noProof/>
          <w:sz w:val="24"/>
          <w:szCs w:val="18"/>
          <w:vertAlign w:val="superscript"/>
        </w:rPr>
        <w:footnoteReference w:id="240"/>
      </w:r>
      <w:r w:rsidRPr="00F75B2A">
        <w:rPr>
          <w:rFonts w:ascii="Times New Roman" w:hAnsi="Times New Roman"/>
          <w:noProof/>
          <w:sz w:val="24"/>
          <w:szCs w:val="18"/>
        </w:rPr>
        <w:t xml:space="preserve"> Drug traffickers</w:t>
      </w:r>
      <w:r w:rsidRPr="00F75B2A">
        <w:rPr>
          <w:rFonts w:ascii="Times New Roman" w:hAnsi="Times New Roman"/>
          <w:noProof/>
          <w:sz w:val="24"/>
        </w:rPr>
        <w:t xml:space="preserve"> quickly adapted to </w:t>
      </w:r>
      <w:r w:rsidRPr="00F75B2A">
        <w:rPr>
          <w:rFonts w:ascii="Times New Roman" w:hAnsi="Times New Roman"/>
          <w:noProof/>
          <w:sz w:val="24"/>
          <w:szCs w:val="18"/>
        </w:rPr>
        <w:t>travel restrictions and border closures</w:t>
      </w:r>
      <w:r w:rsidRPr="00F75B2A">
        <w:rPr>
          <w:rFonts w:ascii="Times New Roman" w:hAnsi="Times New Roman"/>
          <w:noProof/>
          <w:sz w:val="24"/>
        </w:rPr>
        <w:t xml:space="preserve"> by increasing their use of encrypted messaging services, social media apps, online sources and mail and home delivery services.</w:t>
      </w:r>
      <w:r w:rsidRPr="00F75B2A">
        <w:rPr>
          <w:rStyle w:val="FootnoteReference"/>
          <w:rFonts w:ascii="Times New Roman" w:hAnsi="Times New Roman"/>
          <w:noProof/>
          <w:sz w:val="24"/>
        </w:rPr>
        <w:footnoteReference w:id="241"/>
      </w:r>
      <w:r w:rsidRPr="00F75B2A">
        <w:rPr>
          <w:rFonts w:ascii="Times New Roman" w:hAnsi="Times New Roman"/>
          <w:noProof/>
          <w:sz w:val="24"/>
        </w:rPr>
        <w:t xml:space="preserve"> For instance, encrypted software based on Pretty Good Privacy and commercial encryption are commonly used among drug sellers and buyers.</w:t>
      </w:r>
      <w:r w:rsidRPr="00F75B2A">
        <w:rPr>
          <w:rStyle w:val="FootnoteReference"/>
          <w:rFonts w:ascii="Times New Roman" w:hAnsi="Times New Roman"/>
          <w:noProof/>
          <w:sz w:val="24"/>
        </w:rPr>
        <w:footnoteReference w:id="242"/>
      </w:r>
      <w:r w:rsidRPr="00F75B2A">
        <w:rPr>
          <w:rFonts w:ascii="Times New Roman" w:hAnsi="Times New Roman"/>
          <w:noProof/>
          <w:sz w:val="24"/>
        </w:rPr>
        <w:t xml:space="preserve"> In the near future, criminals are likely to further push innovation in drug production and trafficking methods, the establishment of new trafficking routes and the growth of online markets.</w:t>
      </w:r>
    </w:p>
    <w:p w14:paraId="2FE43350" w14:textId="77777777" w:rsidR="004D7FEE" w:rsidRPr="002932FB" w:rsidRDefault="004D7FEE" w:rsidP="00F75B2A">
      <w:pPr>
        <w:pStyle w:val="Body"/>
        <w:spacing w:after="120"/>
        <w:jc w:val="both"/>
        <w:rPr>
          <w:rFonts w:ascii="Times New Roman" w:hAnsi="Times New Roman"/>
          <w:noProof/>
          <w:sz w:val="24"/>
          <w:szCs w:val="24"/>
        </w:rPr>
      </w:pPr>
      <w:r w:rsidRPr="00B911A0">
        <w:rPr>
          <w:rFonts w:ascii="Times New Roman" w:hAnsi="Times New Roman"/>
          <w:noProof/>
          <w:sz w:val="24"/>
          <w:szCs w:val="24"/>
        </w:rPr>
        <w:t xml:space="preserve">One important </w:t>
      </w:r>
      <w:r w:rsidRPr="00B911A0">
        <w:rPr>
          <w:rFonts w:ascii="Times New Roman" w:hAnsi="Times New Roman"/>
          <w:bCs/>
          <w:noProof/>
          <w:sz w:val="24"/>
          <w:szCs w:val="24"/>
        </w:rPr>
        <w:t>social development</w:t>
      </w:r>
      <w:r w:rsidRPr="00B911A0">
        <w:rPr>
          <w:rFonts w:ascii="Times New Roman" w:hAnsi="Times New Roman"/>
          <w:noProof/>
          <w:sz w:val="24"/>
          <w:szCs w:val="24"/>
        </w:rPr>
        <w:t xml:space="preserve"> with respect to SOC is the </w:t>
      </w:r>
      <w:r w:rsidRPr="00B911A0">
        <w:rPr>
          <w:rFonts w:ascii="Times New Roman" w:hAnsi="Times New Roman"/>
          <w:bCs/>
          <w:noProof/>
          <w:sz w:val="24"/>
          <w:szCs w:val="24"/>
        </w:rPr>
        <w:t xml:space="preserve">persisting </w:t>
      </w:r>
      <w:r w:rsidRPr="00B911A0">
        <w:rPr>
          <w:rFonts w:ascii="Times New Roman" w:hAnsi="Times New Roman"/>
          <w:noProof/>
          <w:sz w:val="24"/>
          <w:szCs w:val="24"/>
        </w:rPr>
        <w:t>social and economic disparities between the Member States. In terms of GDP and economic growth, the disparity between Member States remains large.</w:t>
      </w:r>
      <w:r w:rsidRPr="00B911A0">
        <w:rPr>
          <w:rFonts w:ascii="Times New Roman" w:hAnsi="Times New Roman"/>
          <w:noProof/>
          <w:sz w:val="24"/>
          <w:szCs w:val="24"/>
          <w:vertAlign w:val="superscript"/>
        </w:rPr>
        <w:footnoteReference w:id="243"/>
      </w:r>
      <w:r w:rsidRPr="00B911A0">
        <w:rPr>
          <w:rFonts w:ascii="Times New Roman" w:hAnsi="Times New Roman"/>
          <w:noProof/>
          <w:sz w:val="24"/>
          <w:szCs w:val="24"/>
        </w:rPr>
        <w:t xml:space="preserve"> At the same time, the national markets are </w:t>
      </w:r>
      <w:r w:rsidRPr="00B911A0">
        <w:rPr>
          <w:rFonts w:ascii="Times New Roman" w:hAnsi="Times New Roman"/>
          <w:bCs/>
          <w:noProof/>
          <w:sz w:val="24"/>
          <w:szCs w:val="24"/>
        </w:rPr>
        <w:t>increasingly interconnected</w:t>
      </w:r>
      <w:r w:rsidRPr="00B911A0">
        <w:rPr>
          <w:rFonts w:ascii="Times New Roman" w:hAnsi="Times New Roman"/>
          <w:noProof/>
          <w:sz w:val="24"/>
          <w:szCs w:val="24"/>
        </w:rPr>
        <w:t xml:space="preserve"> both within the EU and with the rest of the world.</w:t>
      </w:r>
      <w:r w:rsidRPr="00B911A0">
        <w:rPr>
          <w:rFonts w:ascii="Times New Roman" w:hAnsi="Times New Roman"/>
          <w:noProof/>
          <w:sz w:val="24"/>
          <w:szCs w:val="24"/>
          <w:vertAlign w:val="superscript"/>
        </w:rPr>
        <w:footnoteReference w:id="244"/>
      </w:r>
      <w:r w:rsidRPr="00B911A0">
        <w:rPr>
          <w:rFonts w:ascii="Times New Roman" w:hAnsi="Times New Roman"/>
          <w:noProof/>
          <w:sz w:val="24"/>
          <w:szCs w:val="24"/>
        </w:rPr>
        <w:t xml:space="preserve"> As the markets will likely continue to increasingly act globally and be interconnected, </w:t>
      </w:r>
      <w:r w:rsidRPr="00B911A0">
        <w:rPr>
          <w:rFonts w:ascii="Times New Roman" w:hAnsi="Times New Roman"/>
          <w:bCs/>
          <w:noProof/>
          <w:sz w:val="24"/>
          <w:szCs w:val="24"/>
        </w:rPr>
        <w:t>SOC is expected to further globalise as well</w:t>
      </w:r>
      <w:r w:rsidRPr="002932FB">
        <w:rPr>
          <w:rFonts w:ascii="Times New Roman" w:hAnsi="Times New Roman"/>
          <w:noProof/>
          <w:sz w:val="24"/>
          <w:szCs w:val="24"/>
        </w:rPr>
        <w:t>. As noted in the previous section on the high-level problems, the cocaine drug market is becoming more globally connected as serious and OCGs from different nationalities are increasingly entering the cocaine market in the EU. Whereas Colombian and Italian serious and OCGs played a central role in the cocaine market in the past, serious and OCGs today are more often of e.g. Albanian, Moroccan, Spanish and Turkish origin.</w:t>
      </w:r>
      <w:r w:rsidRPr="00B911A0">
        <w:rPr>
          <w:rFonts w:ascii="Times New Roman" w:hAnsi="Times New Roman"/>
          <w:noProof/>
          <w:sz w:val="24"/>
          <w:szCs w:val="24"/>
          <w:vertAlign w:val="superscript"/>
        </w:rPr>
        <w:footnoteReference w:id="245"/>
      </w:r>
      <w:r w:rsidRPr="00B911A0">
        <w:rPr>
          <w:rFonts w:ascii="Times New Roman" w:hAnsi="Times New Roman"/>
          <w:noProof/>
          <w:sz w:val="24"/>
          <w:szCs w:val="24"/>
        </w:rPr>
        <w:t xml:space="preserve"> It is expected that serious and OCGs will continue to rapidly exploit opportunities, which are arising from the existence of global commercial markets and the related global logistical developments. LEAs, on the other hand, will with some certainty at the same time increase their capabilities to fight the prevalence and severity of SOC, also in light of the increasing availability an</w:t>
      </w:r>
      <w:r w:rsidRPr="002932FB">
        <w:rPr>
          <w:rFonts w:ascii="Times New Roman" w:hAnsi="Times New Roman"/>
          <w:noProof/>
          <w:sz w:val="24"/>
          <w:szCs w:val="24"/>
        </w:rPr>
        <w:t xml:space="preserve">d possibilities of advanced technologies. </w:t>
      </w:r>
    </w:p>
    <w:p w14:paraId="7D835A08" w14:textId="77777777" w:rsidR="004D7FEE" w:rsidRPr="00B911A0" w:rsidRDefault="004D7FEE" w:rsidP="00F75B2A">
      <w:pPr>
        <w:pStyle w:val="Body"/>
        <w:spacing w:after="120"/>
        <w:jc w:val="both"/>
        <w:rPr>
          <w:rFonts w:ascii="Times New Roman" w:hAnsi="Times New Roman"/>
          <w:noProof/>
          <w:sz w:val="24"/>
          <w:szCs w:val="24"/>
        </w:rPr>
      </w:pPr>
      <w:r w:rsidRPr="002932FB">
        <w:rPr>
          <w:rFonts w:ascii="Times New Roman" w:hAnsi="Times New Roman"/>
          <w:noProof/>
          <w:sz w:val="24"/>
          <w:szCs w:val="24"/>
        </w:rPr>
        <w:t>As concerns situations critical for public order and safety, one example of technological developments for political or sports mass gatherings is the use of new technologies, such as end-to-end encrypted communication apps, exploited by e.g. hooligans travelling across-borders to attend and riot at football matches.</w:t>
      </w:r>
      <w:r w:rsidRPr="00B911A0">
        <w:rPr>
          <w:rFonts w:ascii="Times New Roman" w:hAnsi="Times New Roman"/>
          <w:noProof/>
          <w:sz w:val="24"/>
          <w:szCs w:val="24"/>
          <w:vertAlign w:val="superscript"/>
        </w:rPr>
        <w:footnoteReference w:id="246"/>
      </w:r>
      <w:r w:rsidRPr="00B911A0">
        <w:rPr>
          <w:rFonts w:ascii="Times New Roman" w:hAnsi="Times New Roman"/>
          <w:noProof/>
          <w:sz w:val="24"/>
          <w:szCs w:val="24"/>
        </w:rPr>
        <w:t xml:space="preserve"> </w:t>
      </w:r>
      <w:bookmarkStart w:id="186" w:name="_Hlk73436326"/>
      <w:r w:rsidRPr="00B911A0">
        <w:rPr>
          <w:rFonts w:ascii="Times New Roman" w:hAnsi="Times New Roman"/>
          <w:noProof/>
          <w:sz w:val="24"/>
          <w:szCs w:val="24"/>
        </w:rPr>
        <w:t>In recent years, the nature of terrorist attacks at mass gatherings has shifted to attacks being carried out by single individuals with little preparation and easily available weaponry.</w:t>
      </w:r>
      <w:r w:rsidRPr="00B911A0">
        <w:rPr>
          <w:rFonts w:ascii="Times New Roman" w:hAnsi="Times New Roman"/>
          <w:noProof/>
          <w:sz w:val="24"/>
          <w:szCs w:val="24"/>
          <w:vertAlign w:val="superscript"/>
        </w:rPr>
        <w:footnoteReference w:id="247"/>
      </w:r>
      <w:r w:rsidRPr="00B911A0">
        <w:rPr>
          <w:rFonts w:ascii="Times New Roman" w:hAnsi="Times New Roman"/>
          <w:noProof/>
          <w:sz w:val="24"/>
          <w:szCs w:val="24"/>
        </w:rPr>
        <w:t xml:space="preserve"> It is expected that this threat will increase, particularly as the latest technologies can be misused, e.g. in the case of malicious use of drones.</w:t>
      </w:r>
      <w:r w:rsidRPr="00B911A0">
        <w:rPr>
          <w:rFonts w:ascii="Times New Roman" w:hAnsi="Times New Roman"/>
          <w:noProof/>
          <w:sz w:val="24"/>
          <w:szCs w:val="24"/>
          <w:vertAlign w:val="superscript"/>
        </w:rPr>
        <w:footnoteReference w:id="248"/>
      </w:r>
      <w:r w:rsidRPr="00B911A0">
        <w:rPr>
          <w:rFonts w:ascii="Times New Roman" w:hAnsi="Times New Roman"/>
          <w:noProof/>
          <w:sz w:val="24"/>
          <w:szCs w:val="24"/>
        </w:rPr>
        <w:t xml:space="preserve"> As LEAs are expected to increasingly cooperate to ensure public order and safety during political mass gatherings or to prepare for terrorist attacks, they will likely continue to face operational technological challenges for cross-border cooperation, which stem from limited interoperability of the databases and IT systems i</w:t>
      </w:r>
      <w:r w:rsidRPr="002932FB">
        <w:rPr>
          <w:rFonts w:ascii="Times New Roman" w:hAnsi="Times New Roman"/>
          <w:noProof/>
          <w:sz w:val="24"/>
          <w:szCs w:val="24"/>
        </w:rPr>
        <w:t>n place.</w:t>
      </w:r>
      <w:r w:rsidRPr="00B911A0">
        <w:rPr>
          <w:rFonts w:ascii="Times New Roman" w:hAnsi="Times New Roman"/>
          <w:noProof/>
          <w:sz w:val="24"/>
          <w:szCs w:val="24"/>
          <w:vertAlign w:val="superscript"/>
        </w:rPr>
        <w:footnoteReference w:id="249"/>
      </w:r>
      <w:r w:rsidRPr="00B911A0">
        <w:rPr>
          <w:rFonts w:ascii="Times New Roman" w:hAnsi="Times New Roman"/>
          <w:noProof/>
          <w:sz w:val="24"/>
          <w:szCs w:val="24"/>
        </w:rPr>
        <w:t xml:space="preserve"> </w:t>
      </w:r>
      <w:bookmarkEnd w:id="186"/>
    </w:p>
    <w:p w14:paraId="54C6F5C0" w14:textId="77777777" w:rsidR="004D7FEE" w:rsidRPr="00DE3425" w:rsidRDefault="004D7FEE" w:rsidP="00F75B2A">
      <w:pPr>
        <w:pStyle w:val="Body"/>
        <w:spacing w:after="120"/>
        <w:jc w:val="both"/>
        <w:rPr>
          <w:rFonts w:ascii="Times New Roman" w:hAnsi="Times New Roman"/>
          <w:noProof/>
          <w:sz w:val="24"/>
          <w:szCs w:val="24"/>
        </w:rPr>
      </w:pPr>
      <w:r w:rsidRPr="00DE3425">
        <w:rPr>
          <w:rFonts w:ascii="Times New Roman" w:hAnsi="Times New Roman"/>
          <w:bCs/>
          <w:noProof/>
          <w:sz w:val="24"/>
          <w:szCs w:val="24"/>
        </w:rPr>
        <w:t xml:space="preserve">Social developments </w:t>
      </w:r>
      <w:r w:rsidRPr="00DE3425">
        <w:rPr>
          <w:rFonts w:ascii="Times New Roman" w:hAnsi="Times New Roman"/>
          <w:noProof/>
          <w:sz w:val="24"/>
          <w:szCs w:val="24"/>
        </w:rPr>
        <w:t>with respect to situations critical for public order and safety mainly relate to the fact that intra-EU mobility continued to grow</w:t>
      </w:r>
      <w:r w:rsidRPr="00DE3425">
        <w:rPr>
          <w:rFonts w:ascii="Times New Roman" w:hAnsi="Times New Roman"/>
          <w:bCs/>
          <w:noProof/>
          <w:sz w:val="24"/>
          <w:szCs w:val="24"/>
        </w:rPr>
        <w:t xml:space="preserve"> until</w:t>
      </w:r>
      <w:r w:rsidRPr="00DE3425">
        <w:rPr>
          <w:rFonts w:ascii="Times New Roman" w:hAnsi="Times New Roman"/>
          <w:noProof/>
          <w:sz w:val="24"/>
          <w:szCs w:val="24"/>
        </w:rPr>
        <w:t xml:space="preserve"> the outbreak of COVID-19.</w:t>
      </w:r>
      <w:r w:rsidRPr="00DE3425">
        <w:rPr>
          <w:rFonts w:ascii="Times New Roman" w:hAnsi="Times New Roman"/>
          <w:noProof/>
          <w:sz w:val="24"/>
          <w:szCs w:val="24"/>
          <w:vertAlign w:val="superscript"/>
        </w:rPr>
        <w:footnoteReference w:id="250"/>
      </w:r>
      <w:r w:rsidRPr="00DE3425">
        <w:rPr>
          <w:rFonts w:ascii="Times New Roman" w:hAnsi="Times New Roman"/>
          <w:noProof/>
          <w:sz w:val="24"/>
          <w:szCs w:val="24"/>
        </w:rPr>
        <w:t xml:space="preserve"> As regards cross-border labour mobility, two million out of 190 million employed persons lived and worked outside their home Member State in 2020</w:t>
      </w:r>
      <w:r w:rsidRPr="00DE3425">
        <w:rPr>
          <w:rFonts w:ascii="Times New Roman" w:hAnsi="Times New Roman"/>
          <w:noProof/>
          <w:sz w:val="24"/>
          <w:szCs w:val="24"/>
          <w:vertAlign w:val="superscript"/>
        </w:rPr>
        <w:footnoteReference w:id="251"/>
      </w:r>
      <w:r w:rsidRPr="00DE3425">
        <w:rPr>
          <w:rFonts w:ascii="Times New Roman" w:hAnsi="Times New Roman"/>
          <w:noProof/>
          <w:sz w:val="24"/>
          <w:szCs w:val="24"/>
        </w:rPr>
        <w:t>, and this number has also been increasing in the past decade. As concerns cross-border tourism, it has continuously intensified in the last decade, but halved in 2020 compared to 2019 due to COVID-19.</w:t>
      </w:r>
      <w:r w:rsidRPr="00DE3425">
        <w:rPr>
          <w:rFonts w:ascii="Times New Roman" w:hAnsi="Times New Roman"/>
          <w:noProof/>
          <w:sz w:val="24"/>
          <w:szCs w:val="24"/>
          <w:vertAlign w:val="superscript"/>
        </w:rPr>
        <w:footnoteReference w:id="252"/>
      </w:r>
      <w:r w:rsidRPr="00DE3425">
        <w:rPr>
          <w:rFonts w:ascii="Times New Roman" w:hAnsi="Times New Roman"/>
          <w:noProof/>
          <w:sz w:val="24"/>
          <w:szCs w:val="24"/>
        </w:rPr>
        <w:t xml:space="preserve"> After the COVID-19 crisis, the cross-border mobility of citizens is expected to continue to increase again in the EU. It can be expected that criminals are also increasingly mobile across-borders and are likely to use the mobility of citizens and cross-border traffic to smuggle illegal goods or irregular migrants across borders.</w:t>
      </w:r>
      <w:r w:rsidRPr="00DE3425">
        <w:rPr>
          <w:rFonts w:ascii="Times New Roman" w:hAnsi="Times New Roman"/>
          <w:noProof/>
          <w:sz w:val="24"/>
          <w:szCs w:val="24"/>
          <w:vertAlign w:val="superscript"/>
        </w:rPr>
        <w:footnoteReference w:id="253"/>
      </w:r>
      <w:r w:rsidRPr="00DE3425" w:rsidDel="001B7094">
        <w:rPr>
          <w:rFonts w:ascii="Times New Roman" w:hAnsi="Times New Roman"/>
          <w:noProof/>
          <w:sz w:val="24"/>
          <w:szCs w:val="24"/>
          <w:vertAlign w:val="superscript"/>
        </w:rPr>
        <w:t xml:space="preserve"> </w:t>
      </w:r>
      <w:r w:rsidRPr="00DE3425">
        <w:rPr>
          <w:rFonts w:ascii="Times New Roman" w:hAnsi="Times New Roman"/>
          <w:noProof/>
          <w:sz w:val="24"/>
          <w:szCs w:val="24"/>
          <w:vertAlign w:val="superscript"/>
        </w:rPr>
        <w:t xml:space="preserve"> </w:t>
      </w:r>
      <w:r w:rsidRPr="00DE3425">
        <w:rPr>
          <w:rFonts w:ascii="Times New Roman" w:hAnsi="Times New Roman"/>
          <w:noProof/>
          <w:sz w:val="24"/>
          <w:szCs w:val="24"/>
        </w:rPr>
        <w:t xml:space="preserve">The fact that there are no border controls in the Schengen area enables criminals to cross borders as they like without being subject to controls, which makes it more complicated for LEAs to monitor criminal activities. </w:t>
      </w:r>
    </w:p>
    <w:p w14:paraId="2847176E" w14:textId="77777777" w:rsidR="004D7FEE" w:rsidRDefault="004D7FEE" w:rsidP="00F75B2A">
      <w:pPr>
        <w:pStyle w:val="Body"/>
        <w:spacing w:after="120"/>
        <w:jc w:val="both"/>
        <w:rPr>
          <w:rFonts w:ascii="Times New Roman" w:hAnsi="Times New Roman"/>
          <w:noProof/>
          <w:sz w:val="24"/>
          <w:szCs w:val="24"/>
        </w:rPr>
      </w:pPr>
      <w:r w:rsidRPr="00DE3425">
        <w:rPr>
          <w:rFonts w:ascii="Times New Roman" w:hAnsi="Times New Roman"/>
          <w:noProof/>
          <w:sz w:val="24"/>
          <w:szCs w:val="24"/>
        </w:rPr>
        <w:t xml:space="preserve">To conclude, technological and social developments are expected to continue to affect both serious and OCGs and LEAs. As criminals are likely to continue to be quick to exploit the latest technological and social developments, LEAs will likely face the challenge of keeping pace with criminal groups. In the near future, the problems are therefore expected to evolve in a steady manner. </w:t>
      </w:r>
      <w:bookmarkEnd w:id="180"/>
    </w:p>
    <w:p w14:paraId="4A5A8FD5" w14:textId="77777777" w:rsidR="005B3636" w:rsidRDefault="005B3636" w:rsidP="00F75B2A">
      <w:pPr>
        <w:pStyle w:val="Body"/>
        <w:spacing w:after="120"/>
        <w:jc w:val="both"/>
        <w:rPr>
          <w:rFonts w:ascii="Times New Roman" w:hAnsi="Times New Roman"/>
          <w:noProof/>
          <w:sz w:val="24"/>
          <w:szCs w:val="24"/>
        </w:rPr>
      </w:pPr>
    </w:p>
    <w:p w14:paraId="0F4CB30D" w14:textId="77777777" w:rsidR="002034CD" w:rsidRPr="00DE3425" w:rsidRDefault="002034CD" w:rsidP="00F75B2A">
      <w:pPr>
        <w:pStyle w:val="Body"/>
        <w:spacing w:after="120"/>
        <w:jc w:val="both"/>
        <w:rPr>
          <w:rFonts w:ascii="Times New Roman" w:hAnsi="Times New Roman"/>
          <w:b/>
          <w:i/>
          <w:noProof/>
          <w:sz w:val="24"/>
          <w:szCs w:val="24"/>
        </w:rPr>
      </w:pPr>
      <w:r w:rsidRPr="00DE3425">
        <w:rPr>
          <w:rFonts w:ascii="Times New Roman" w:hAnsi="Times New Roman"/>
          <w:b/>
          <w:i/>
          <w:noProof/>
          <w:sz w:val="24"/>
          <w:szCs w:val="24"/>
        </w:rPr>
        <w:t>Impacts of high-level problems on the core problems</w:t>
      </w:r>
    </w:p>
    <w:p w14:paraId="0C7DB6F1" w14:textId="77777777" w:rsidR="002034CD" w:rsidRPr="00DE3425" w:rsidRDefault="002034CD" w:rsidP="00DE3425">
      <w:pPr>
        <w:pStyle w:val="Body"/>
        <w:jc w:val="both"/>
        <w:rPr>
          <w:rFonts w:ascii="Times New Roman" w:hAnsi="Times New Roman"/>
          <w:noProof/>
          <w:sz w:val="24"/>
          <w:szCs w:val="24"/>
        </w:rPr>
      </w:pPr>
      <w:r w:rsidRPr="00DE3425">
        <w:rPr>
          <w:rFonts w:ascii="Times New Roman" w:hAnsi="Times New Roman"/>
          <w:noProof/>
          <w:sz w:val="24"/>
          <w:szCs w:val="24"/>
        </w:rPr>
        <w:t>The rapidly evolving criminal landscape suggests that cross-border cooperation between LEAs in the EU and the Schengen area will be crucial to tackle SOC, ensure public order and safety and allow EU citizens to safely enjoy their rights of free movement in the future. A</w:t>
      </w:r>
      <w:r w:rsidRPr="002034CD">
        <w:rPr>
          <w:rFonts w:ascii="Times New Roman" w:hAnsi="Times New Roman"/>
          <w:noProof/>
          <w:sz w:val="24"/>
          <w:szCs w:val="24"/>
        </w:rPr>
        <w:t xml:space="preserve">s detailed </w:t>
      </w:r>
      <w:r>
        <w:rPr>
          <w:rFonts w:ascii="Times New Roman" w:hAnsi="Times New Roman"/>
          <w:noProof/>
          <w:sz w:val="24"/>
          <w:szCs w:val="24"/>
        </w:rPr>
        <w:t>above</w:t>
      </w:r>
      <w:r w:rsidRPr="00DE3425">
        <w:rPr>
          <w:rFonts w:ascii="Times New Roman" w:hAnsi="Times New Roman"/>
          <w:noProof/>
          <w:sz w:val="24"/>
          <w:szCs w:val="24"/>
        </w:rPr>
        <w:t xml:space="preserve">, the cross-border element of threats posed by SOC in the EU is becoming increasingly important. This is mainly due to: (i) the evolution of the nature and </w:t>
      </w:r>
      <w:r w:rsidRPr="00DE3425">
        <w:rPr>
          <w:rFonts w:ascii="Times New Roman" w:hAnsi="Times New Roman"/>
          <w:i/>
          <w:noProof/>
          <w:sz w:val="24"/>
          <w:szCs w:val="24"/>
        </w:rPr>
        <w:t>modi operandi</w:t>
      </w:r>
      <w:r w:rsidRPr="00DE3425">
        <w:rPr>
          <w:rFonts w:ascii="Times New Roman" w:hAnsi="Times New Roman"/>
          <w:noProof/>
          <w:sz w:val="24"/>
          <w:szCs w:val="24"/>
        </w:rPr>
        <w:t xml:space="preserve"> of intra-EU OC groups that are more and more characterised by a networked environment, where cooperation between criminals is fluid, systematic and of a cross-border nature; and to (ii) new and emerging crime opportunities, which are not limited to single Member States or SAC. Yet, the increasing intra-EU mobility calls for coordination among Member States in order to ensure effective policing activities towards the prevention of threats to public order and safety, for instance in case of international and mass-gathering events.</w:t>
      </w:r>
    </w:p>
    <w:p w14:paraId="4DDFFE63" w14:textId="77777777" w:rsidR="002034CD" w:rsidRPr="00DE3425" w:rsidRDefault="002034CD" w:rsidP="00DE3425">
      <w:pPr>
        <w:pStyle w:val="Body"/>
        <w:jc w:val="both"/>
        <w:rPr>
          <w:rFonts w:ascii="Times New Roman" w:hAnsi="Times New Roman"/>
          <w:noProof/>
          <w:sz w:val="24"/>
          <w:szCs w:val="24"/>
        </w:rPr>
      </w:pPr>
      <w:r w:rsidRPr="00DE3425">
        <w:rPr>
          <w:rFonts w:ascii="Times New Roman" w:hAnsi="Times New Roman"/>
          <w:noProof/>
          <w:sz w:val="24"/>
          <w:szCs w:val="24"/>
        </w:rPr>
        <w:t xml:space="preserve">However, there is evidence that </w:t>
      </w:r>
      <w:r w:rsidRPr="00DE3425">
        <w:rPr>
          <w:rFonts w:ascii="Times New Roman" w:hAnsi="Times New Roman"/>
          <w:b/>
          <w:bCs/>
          <w:noProof/>
          <w:sz w:val="24"/>
          <w:szCs w:val="24"/>
        </w:rPr>
        <w:t>the current intra-EU law enforcement cooperation suffers from uncertainties and inefficiencies that hinder the deployment of a coordinated response and leaves room for vulnerabilities</w:t>
      </w:r>
      <w:r w:rsidRPr="00DE3425">
        <w:rPr>
          <w:rFonts w:ascii="Times New Roman" w:hAnsi="Times New Roman"/>
          <w:noProof/>
          <w:sz w:val="24"/>
          <w:szCs w:val="24"/>
        </w:rPr>
        <w:t xml:space="preserve">. </w:t>
      </w:r>
    </w:p>
    <w:p w14:paraId="252EF6B4" w14:textId="77777777" w:rsidR="00513875" w:rsidRDefault="002034CD" w:rsidP="00DE3425">
      <w:pPr>
        <w:pStyle w:val="Caption"/>
        <w:keepNext/>
        <w:rPr>
          <w:rFonts w:ascii="Times New Roman" w:hAnsi="Times New Roman"/>
          <w:b w:val="0"/>
          <w:noProof/>
          <w:sz w:val="24"/>
          <w:szCs w:val="24"/>
          <w:lang w:val="en-GB"/>
        </w:rPr>
      </w:pPr>
      <w:r w:rsidRPr="00513875">
        <w:rPr>
          <w:rFonts w:ascii="Times New Roman" w:hAnsi="Times New Roman"/>
          <w:b w:val="0"/>
          <w:noProof/>
          <w:sz w:val="24"/>
          <w:szCs w:val="24"/>
          <w:lang w:val="en-GB"/>
        </w:rPr>
        <w:t xml:space="preserve">The following sections show how current cross-border law enforcement cooperation is not fully suitable to face emerging security threats and point out existing issues in relation to </w:t>
      </w:r>
      <w:r w:rsidR="00904306" w:rsidRPr="00513875">
        <w:rPr>
          <w:rFonts w:ascii="Times New Roman" w:hAnsi="Times New Roman"/>
          <w:b w:val="0"/>
          <w:noProof/>
          <w:sz w:val="24"/>
          <w:szCs w:val="24"/>
          <w:lang w:val="en-GB"/>
        </w:rPr>
        <w:t>information exchange.</w:t>
      </w:r>
      <w:r w:rsidRPr="00513875">
        <w:rPr>
          <w:rFonts w:ascii="Times New Roman" w:hAnsi="Times New Roman"/>
          <w:b w:val="0"/>
          <w:noProof/>
          <w:sz w:val="24"/>
          <w:szCs w:val="24"/>
          <w:lang w:val="en-GB"/>
        </w:rPr>
        <w:t xml:space="preserve"> </w:t>
      </w:r>
      <w:r w:rsidRPr="00DE3425">
        <w:rPr>
          <w:rFonts w:ascii="Times New Roman" w:hAnsi="Times New Roman"/>
          <w:b w:val="0"/>
          <w:noProof/>
          <w:sz w:val="24"/>
          <w:szCs w:val="24"/>
          <w:lang w:val="en-GB"/>
        </w:rPr>
        <w:t>The analysis covers the nature and scale of the problems identified, shows the shortcoming of the existing cooperation measures and practices and describes the challenges that</w:t>
      </w:r>
      <w:r w:rsidRPr="00DE3425">
        <w:rPr>
          <w:rFonts w:ascii="Times New Roman" w:hAnsi="Times New Roman"/>
          <w:noProof/>
          <w:sz w:val="24"/>
          <w:szCs w:val="24"/>
          <w:lang w:val="en-GB"/>
        </w:rPr>
        <w:t xml:space="preserve"> </w:t>
      </w:r>
      <w:r w:rsidRPr="00DE3425">
        <w:rPr>
          <w:rFonts w:ascii="Times New Roman" w:hAnsi="Times New Roman"/>
          <w:b w:val="0"/>
          <w:noProof/>
          <w:sz w:val="24"/>
          <w:szCs w:val="24"/>
          <w:lang w:val="en-GB"/>
        </w:rPr>
        <w:t>remain to be addressed</w:t>
      </w:r>
      <w:r w:rsidR="00904306" w:rsidRPr="00DE3425">
        <w:rPr>
          <w:rFonts w:ascii="Times New Roman" w:hAnsi="Times New Roman"/>
          <w:b w:val="0"/>
          <w:noProof/>
          <w:sz w:val="24"/>
          <w:szCs w:val="24"/>
          <w:lang w:val="en-GB"/>
        </w:rPr>
        <w:t>.</w:t>
      </w:r>
      <w:bookmarkStart w:id="189" w:name="_Toc73366619"/>
      <w:bookmarkStart w:id="190" w:name="_Toc74237807"/>
      <w:bookmarkStart w:id="191" w:name="_Toc75781570"/>
    </w:p>
    <w:p w14:paraId="15BB2FF5" w14:textId="77777777" w:rsidR="00904306" w:rsidRPr="005B3636" w:rsidRDefault="00904306" w:rsidP="00513875">
      <w:pPr>
        <w:pStyle w:val="Caption"/>
        <w:keepNext/>
        <w:jc w:val="center"/>
        <w:rPr>
          <w:rFonts w:ascii="Times New Roman" w:hAnsi="Times New Roman"/>
          <w:noProof/>
          <w:sz w:val="24"/>
          <w:szCs w:val="24"/>
          <w:lang w:val="en-GB"/>
        </w:rPr>
      </w:pPr>
      <w:r w:rsidRPr="005B3636">
        <w:rPr>
          <w:rFonts w:ascii="Times New Roman" w:hAnsi="Times New Roman"/>
          <w:noProof/>
          <w:sz w:val="24"/>
          <w:szCs w:val="24"/>
          <w:lang w:val="en-GB"/>
        </w:rPr>
        <w:t>Overview of the drivers and issues behind core problem #1</w:t>
      </w:r>
      <w:bookmarkEnd w:id="189"/>
      <w:bookmarkEnd w:id="190"/>
      <w:bookmarkEnd w:id="191"/>
    </w:p>
    <w:tbl>
      <w:tblPr>
        <w:tblStyle w:val="Style11"/>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0"/>
      </w:tblGrid>
      <w:tr w:rsidR="00904306" w:rsidRPr="00AC24E2" w14:paraId="287EBB0F" w14:textId="77777777" w:rsidTr="00AB352C">
        <w:trPr>
          <w:tblHeader/>
          <w:jc w:val="center"/>
        </w:trPr>
        <w:tc>
          <w:tcPr>
            <w:tcW w:w="9620" w:type="dxa"/>
            <w:gridSpan w:val="2"/>
            <w:shd w:val="clear" w:color="auto" w:fill="000000" w:themeFill="text1"/>
          </w:tcPr>
          <w:p w14:paraId="492B984E" w14:textId="77777777" w:rsidR="00904306" w:rsidRPr="00AC24E2" w:rsidRDefault="00904306" w:rsidP="00AB352C">
            <w:pPr>
              <w:pStyle w:val="Body"/>
              <w:spacing w:before="60" w:after="60"/>
              <w:rPr>
                <w:b/>
                <w:noProof/>
                <w:color w:val="FFFFFF" w:themeColor="background1"/>
                <w:sz w:val="16"/>
                <w:szCs w:val="16"/>
              </w:rPr>
            </w:pPr>
            <w:r w:rsidRPr="00AC24E2">
              <w:rPr>
                <w:b/>
                <w:noProof/>
                <w:color w:val="FFFFFF" w:themeColor="background1"/>
                <w:sz w:val="16"/>
                <w:szCs w:val="16"/>
              </w:rPr>
              <w:t>Key drivers behind Core Problem 1 - The access to and exchange of necessary information among law enforcement authorities is subject to legal, technical and structural challenges</w:t>
            </w:r>
          </w:p>
        </w:tc>
      </w:tr>
      <w:tr w:rsidR="00904306" w:rsidRPr="00AC24E2" w14:paraId="3AF0D28E" w14:textId="77777777" w:rsidTr="00AB352C">
        <w:trPr>
          <w:jc w:val="center"/>
        </w:trPr>
        <w:tc>
          <w:tcPr>
            <w:tcW w:w="1980" w:type="dxa"/>
            <w:shd w:val="clear" w:color="auto" w:fill="F2F2F2"/>
          </w:tcPr>
          <w:p w14:paraId="20DAF64F" w14:textId="77777777" w:rsidR="00904306" w:rsidRPr="00AC24E2" w:rsidRDefault="00904306" w:rsidP="00AB352C">
            <w:pPr>
              <w:pStyle w:val="Body"/>
              <w:rPr>
                <w:noProof/>
                <w:sz w:val="16"/>
                <w:szCs w:val="16"/>
              </w:rPr>
            </w:pPr>
            <w:r w:rsidRPr="00AC24E2">
              <w:rPr>
                <w:b/>
                <w:bCs/>
                <w:noProof/>
                <w:sz w:val="16"/>
                <w:szCs w:val="16"/>
              </w:rPr>
              <w:t>Legal driver:</w:t>
            </w:r>
            <w:r w:rsidRPr="00AC24E2">
              <w:rPr>
                <w:noProof/>
                <w:sz w:val="16"/>
                <w:szCs w:val="16"/>
              </w:rPr>
              <w:t xml:space="preserve"> Law enforcement authorities face difficulties in interpreting and implementing relevant EU provisions</w:t>
            </w:r>
          </w:p>
        </w:tc>
        <w:tc>
          <w:tcPr>
            <w:tcW w:w="7640" w:type="dxa"/>
            <w:shd w:val="clear" w:color="auto" w:fill="F2F2F2"/>
          </w:tcPr>
          <w:p w14:paraId="0B27EF99"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The scope of application of some EU measures is unclear, including between (i) the Swedish Framework Decision (SFD) vs. CISA (i.e. preventive and/or repressive operations) and (ii) the SFD vs. the Naples II Convention (whether only police or also customs authorities can use both these measures)</w:t>
            </w:r>
          </w:p>
          <w:p w14:paraId="161F6B38"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There is no requirement to ensure that a common minimum set of data is made available for exchange</w:t>
            </w:r>
          </w:p>
          <w:p w14:paraId="4E610462"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Deadlines are usually not met when a judicial authorisation is required to deliver the requested information. There is no obligation to have a judicial authority available 24/7 within the Single Points of Contact, thereby slowing down the judicial authorisation process where needed.</w:t>
            </w:r>
          </w:p>
          <w:p w14:paraId="7AF1F08D"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The distinction between urgent and non-urgent cases provided for in the SFD and the SFD forms to be used (on a voluntary basis) for information exchange is unclear and (unnecessarily) complex</w:t>
            </w:r>
          </w:p>
          <w:p w14:paraId="2EA63FF8"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The Swedish Framework Decision is not aligned with the 2016 Law Enforcement Data Protection Directive</w:t>
            </w:r>
          </w:p>
        </w:tc>
      </w:tr>
      <w:tr w:rsidR="00904306" w:rsidRPr="00AC24E2" w14:paraId="10C42DB8" w14:textId="77777777" w:rsidTr="00AB352C">
        <w:trPr>
          <w:jc w:val="center"/>
        </w:trPr>
        <w:tc>
          <w:tcPr>
            <w:tcW w:w="1980" w:type="dxa"/>
            <w:shd w:val="clear" w:color="auto" w:fill="F2F2F2"/>
          </w:tcPr>
          <w:p w14:paraId="43CA53AC" w14:textId="77777777" w:rsidR="00904306" w:rsidRPr="00AC24E2" w:rsidRDefault="00904306" w:rsidP="00AB352C">
            <w:pPr>
              <w:pStyle w:val="Body"/>
              <w:rPr>
                <w:noProof/>
                <w:sz w:val="16"/>
                <w:szCs w:val="16"/>
              </w:rPr>
            </w:pPr>
            <w:r w:rsidRPr="00AC24E2">
              <w:rPr>
                <w:b/>
                <w:bCs/>
                <w:noProof/>
                <w:sz w:val="16"/>
                <w:szCs w:val="16"/>
              </w:rPr>
              <w:t>Technical driver:</w:t>
            </w:r>
            <w:r w:rsidRPr="00AC24E2">
              <w:rPr>
                <w:noProof/>
                <w:sz w:val="16"/>
                <w:szCs w:val="16"/>
              </w:rPr>
              <w:t xml:space="preserve"> Law enforcement authorities have insufficient knowledge of existing mechanisms, skill gaps and outdated IT infrastructure</w:t>
            </w:r>
          </w:p>
        </w:tc>
        <w:tc>
          <w:tcPr>
            <w:tcW w:w="7640" w:type="dxa"/>
            <w:shd w:val="clear" w:color="auto" w:fill="F2F2F2"/>
          </w:tcPr>
          <w:p w14:paraId="43F8CF44"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 xml:space="preserve">SPOCs/Police Customs Cooperation Centres (PCCCs) are not always equipped with the necessary information management tools (e.g. a case management system with common dashboard and automatic/semi-automatic data upload and cross-check) </w:t>
            </w:r>
          </w:p>
          <w:p w14:paraId="3B343F1E"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The use of rudimentary search tools hampers the adoption of transliteration and “fuzzy logic” search</w:t>
            </w:r>
          </w:p>
          <w:p w14:paraId="5E662C73"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Law enforcement officials on the ground do not always use secure communication means</w:t>
            </w:r>
          </w:p>
        </w:tc>
      </w:tr>
      <w:tr w:rsidR="00904306" w:rsidRPr="00AC24E2" w14:paraId="1C1549D6" w14:textId="77777777" w:rsidTr="00AB352C">
        <w:trPr>
          <w:jc w:val="center"/>
        </w:trPr>
        <w:tc>
          <w:tcPr>
            <w:tcW w:w="1980" w:type="dxa"/>
            <w:shd w:val="clear" w:color="auto" w:fill="F2F2F2"/>
          </w:tcPr>
          <w:p w14:paraId="511A9B93" w14:textId="77777777" w:rsidR="00904306" w:rsidRPr="00AC24E2" w:rsidRDefault="00904306" w:rsidP="00AB352C">
            <w:pPr>
              <w:pStyle w:val="Body"/>
              <w:rPr>
                <w:noProof/>
                <w:sz w:val="16"/>
                <w:szCs w:val="16"/>
              </w:rPr>
            </w:pPr>
            <w:r w:rsidRPr="00AC24E2">
              <w:rPr>
                <w:b/>
                <w:bCs/>
                <w:noProof/>
                <w:sz w:val="16"/>
                <w:szCs w:val="16"/>
              </w:rPr>
              <w:t>Structural driver:</w:t>
            </w:r>
            <w:r w:rsidRPr="00AC24E2">
              <w:rPr>
                <w:noProof/>
                <w:sz w:val="16"/>
                <w:szCs w:val="16"/>
              </w:rPr>
              <w:t xml:space="preserve"> National and regional information hubs set up by law enforcement authorities have different roles, means and capabilities which make their cooperation sub-optimal</w:t>
            </w:r>
          </w:p>
        </w:tc>
        <w:tc>
          <w:tcPr>
            <w:tcW w:w="7640" w:type="dxa"/>
            <w:shd w:val="clear" w:color="auto" w:fill="F2F2F2"/>
          </w:tcPr>
          <w:p w14:paraId="04CF24EE"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SPOCs/PCCCs do not always play their coordination role and lack resources to face the increasing number of requests</w:t>
            </w:r>
          </w:p>
          <w:p w14:paraId="19C87FBA"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Information from (i) different units within the SPOCs and (ii) from the PCCCs (and equivalent structures at the border area) is not always integrated in the SPOC information management system</w:t>
            </w:r>
          </w:p>
          <w:p w14:paraId="3BD8BE10"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Direct and user-friendly access to all relevant EU and international databases and platforms is not the norm in the SPOCs and the PCCCs</w:t>
            </w:r>
          </w:p>
          <w:p w14:paraId="05004E33"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The specific national stakeholders entitled to access and use EU and international databases and platforms vary between the Member States</w:t>
            </w:r>
          </w:p>
          <w:p w14:paraId="77C49A98"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National LEAs have limited awareness and knowledge of relevant databases</w:t>
            </w:r>
          </w:p>
          <w:p w14:paraId="4C6BAF88"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There is limited availability of training for law enforcement staff involved in cross-border information exchanges and cooperation</w:t>
            </w:r>
          </w:p>
          <w:p w14:paraId="5A39C70D"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The choice of channel for information exchange lies with the Member States, leading to a duplication of requests in some cases</w:t>
            </w:r>
          </w:p>
          <w:p w14:paraId="759624F9" w14:textId="77777777" w:rsidR="00904306" w:rsidRPr="00AC24E2" w:rsidRDefault="00904306" w:rsidP="00900BC7">
            <w:pPr>
              <w:pStyle w:val="Body"/>
              <w:numPr>
                <w:ilvl w:val="0"/>
                <w:numId w:val="42"/>
              </w:numPr>
              <w:spacing w:before="120" w:after="120"/>
              <w:ind w:left="325" w:hanging="325"/>
              <w:jc w:val="both"/>
              <w:rPr>
                <w:noProof/>
                <w:sz w:val="16"/>
                <w:szCs w:val="16"/>
              </w:rPr>
            </w:pPr>
            <w:r w:rsidRPr="00AC24E2">
              <w:rPr>
                <w:noProof/>
                <w:sz w:val="16"/>
                <w:szCs w:val="16"/>
              </w:rPr>
              <w:t>Language barriers hamper the efficient cross-border exchange of information</w:t>
            </w:r>
          </w:p>
        </w:tc>
      </w:tr>
    </w:tbl>
    <w:p w14:paraId="77BE6770" w14:textId="59FC554C" w:rsidR="00904306" w:rsidRPr="00AC24E2" w:rsidRDefault="00904306" w:rsidP="00904306">
      <w:pPr>
        <w:jc w:val="center"/>
        <w:rPr>
          <w:rFonts w:ascii="Verdana" w:hAnsi="Verdana"/>
          <w:i/>
          <w:noProof/>
          <w:color w:val="808080" w:themeColor="background1" w:themeShade="80"/>
          <w:sz w:val="16"/>
          <w:szCs w:val="16"/>
          <w:lang w:val="en-GB"/>
        </w:rPr>
      </w:pPr>
      <w:r w:rsidRPr="00AC24E2">
        <w:rPr>
          <w:rFonts w:ascii="Verdana" w:hAnsi="Verdana"/>
          <w:i/>
          <w:noProof/>
          <w:color w:val="808080" w:themeColor="background1" w:themeShade="80"/>
          <w:sz w:val="16"/>
          <w:szCs w:val="16"/>
          <w:lang w:val="en-GB"/>
        </w:rPr>
        <w:t xml:space="preserve">Source: </w:t>
      </w:r>
      <w:r w:rsidR="000F0DE5" w:rsidRPr="00CB565C">
        <w:rPr>
          <w:rFonts w:ascii="Verdana" w:hAnsi="Verdana"/>
          <w:i/>
          <w:noProof/>
          <w:color w:val="7F7F7F" w:themeColor="text1" w:themeTint="80"/>
          <w:sz w:val="18"/>
          <w:szCs w:val="18"/>
        </w:rPr>
        <w:t>EY/RAND Europe Study’s</w:t>
      </w:r>
      <w:r w:rsidR="000F0DE5" w:rsidRPr="00CB565C">
        <w:rPr>
          <w:rFonts w:ascii="Verdana" w:hAnsi="Verdana"/>
          <w:i/>
          <w:noProof/>
          <w:color w:val="7F7F7F" w:themeColor="text1" w:themeTint="80"/>
          <w:szCs w:val="16"/>
        </w:rPr>
        <w:t xml:space="preserve"> </w:t>
      </w:r>
      <w:r w:rsidR="000F0DE5" w:rsidRPr="00CB565C">
        <w:rPr>
          <w:rFonts w:ascii="Verdana" w:hAnsi="Verdana"/>
          <w:i/>
          <w:noProof/>
          <w:color w:val="7F7F7F" w:themeColor="text1" w:themeTint="80"/>
          <w:sz w:val="18"/>
          <w:szCs w:val="16"/>
        </w:rPr>
        <w:t>elaboration</w:t>
      </w:r>
      <w:r w:rsidR="000F0DE5" w:rsidRPr="00CB565C">
        <w:rPr>
          <w:i/>
          <w:noProof/>
          <w:color w:val="7F7F7F" w:themeColor="text1" w:themeTint="80"/>
          <w:sz w:val="18"/>
          <w:szCs w:val="16"/>
        </w:rPr>
        <w:t xml:space="preserve"> </w:t>
      </w:r>
    </w:p>
    <w:p w14:paraId="5E932594" w14:textId="77777777" w:rsidR="004D7FEE" w:rsidRDefault="004D7FEE" w:rsidP="004D7FEE">
      <w:pPr>
        <w:pStyle w:val="Body"/>
        <w:jc w:val="center"/>
        <w:rPr>
          <w:noProof/>
          <w:szCs w:val="24"/>
          <w:lang w:eastAsia="de-DE"/>
        </w:rPr>
      </w:pPr>
      <w:r w:rsidRPr="000A18E7">
        <w:rPr>
          <w:noProof/>
          <w:szCs w:val="24"/>
          <w:lang w:eastAsia="de-DE"/>
        </w:rPr>
        <w:t>*******</w:t>
      </w:r>
    </w:p>
    <w:p w14:paraId="4E157C33" w14:textId="77777777" w:rsidR="004D7FEE" w:rsidRPr="00103C29" w:rsidRDefault="004D7FEE" w:rsidP="00103C29">
      <w:pPr>
        <w:pStyle w:val="Body"/>
        <w:jc w:val="both"/>
        <w:rPr>
          <w:rFonts w:ascii="Times New Roman" w:hAnsi="Times New Roman"/>
          <w:b/>
          <w:bCs/>
          <w:noProof/>
          <w:sz w:val="24"/>
          <w:szCs w:val="24"/>
          <w:u w:val="single"/>
        </w:rPr>
      </w:pPr>
      <w:r w:rsidRPr="00103C29">
        <w:rPr>
          <w:rFonts w:ascii="Times New Roman" w:hAnsi="Times New Roman"/>
          <w:b/>
          <w:bCs/>
          <w:noProof/>
          <w:sz w:val="24"/>
          <w:szCs w:val="24"/>
          <w:u w:val="single"/>
        </w:rPr>
        <w:t>Examples of criminal activity in the EU and their evolution</w:t>
      </w:r>
    </w:p>
    <w:p w14:paraId="294A9DC6" w14:textId="77777777" w:rsidR="004D7FEE" w:rsidRPr="00103C29" w:rsidRDefault="004D7FEE" w:rsidP="00DE3425">
      <w:pPr>
        <w:spacing w:after="120" w:line="240" w:lineRule="auto"/>
        <w:jc w:val="both"/>
        <w:rPr>
          <w:rFonts w:ascii="Times New Roman" w:hAnsi="Times New Roman" w:cs="Times New Roman"/>
          <w:noProof/>
          <w:sz w:val="24"/>
          <w:szCs w:val="24"/>
        </w:rPr>
      </w:pPr>
      <w:r w:rsidRPr="00103C29">
        <w:rPr>
          <w:rFonts w:ascii="Times New Roman" w:hAnsi="Times New Roman" w:cs="Times New Roman"/>
          <w:noProof/>
          <w:sz w:val="24"/>
          <w:szCs w:val="24"/>
        </w:rPr>
        <w:t>The following three examples of criminal activity in the EU illustrate recent trends in criminal threats and give indications about likely future developments.</w:t>
      </w:r>
    </w:p>
    <w:tbl>
      <w:tblPr>
        <w:tblStyle w:val="Style11"/>
        <w:tblW w:w="0" w:type="auto"/>
        <w:shd w:val="clear" w:color="auto" w:fill="D9D9D9" w:themeFill="background1" w:themeFillShade="D9"/>
        <w:tblLook w:val="04A0" w:firstRow="1" w:lastRow="0" w:firstColumn="1" w:lastColumn="0" w:noHBand="0" w:noVBand="1"/>
      </w:tblPr>
      <w:tblGrid>
        <w:gridCol w:w="9620"/>
      </w:tblGrid>
      <w:tr w:rsidR="004D7FEE" w:rsidRPr="000A18E7" w14:paraId="7E57A6AA" w14:textId="77777777" w:rsidTr="0068616C">
        <w:tc>
          <w:tcPr>
            <w:tcW w:w="962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tcPr>
          <w:p w14:paraId="2E938854" w14:textId="77777777" w:rsidR="004D7FEE" w:rsidRPr="000A18E7" w:rsidRDefault="004D7FEE" w:rsidP="00103C29">
            <w:pPr>
              <w:pStyle w:val="Body"/>
              <w:jc w:val="both"/>
              <w:rPr>
                <w:noProof/>
                <w:color w:val="000000" w:themeColor="text1"/>
                <w:sz w:val="18"/>
                <w:szCs w:val="18"/>
              </w:rPr>
            </w:pPr>
            <w:r w:rsidRPr="000A18E7">
              <w:rPr>
                <w:noProof/>
                <w:sz w:val="18"/>
                <w:szCs w:val="18"/>
                <w:lang w:eastAsia="en-GB"/>
              </w:rPr>
              <w:drawing>
                <wp:anchor distT="0" distB="0" distL="114300" distR="114300" simplePos="0" relativeHeight="251654656" behindDoc="0" locked="0" layoutInCell="1" allowOverlap="1" wp14:anchorId="260A981D" wp14:editId="2DAACCE3">
                  <wp:simplePos x="0" y="0"/>
                  <wp:positionH relativeFrom="column">
                    <wp:align>left</wp:align>
                  </wp:positionH>
                  <wp:positionV relativeFrom="paragraph">
                    <wp:posOffset>0</wp:posOffset>
                  </wp:positionV>
                  <wp:extent cx="476885" cy="478790"/>
                  <wp:effectExtent l="0" t="0" r="0" b="0"/>
                  <wp:wrapSquare wrapText="bothSides"/>
                  <wp:docPr id="19"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pic:nvPicPr>
                        <pic:blipFill>
                          <a:blip r:embed="rId49" cstate="print">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c="http://schemas.openxmlformats.org/drawingml/2006/chart" xmlns:a16="http://schemas.microsoft.com/office/drawing/2014/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id="{D400A399-C999-445E-8368-70E5A4BE8B5B}"/>
                              </a:ext>
                            </a:extLst>
                          </a:blip>
                          <a:stretch>
                            <a:fillRect/>
                          </a:stretch>
                        </pic:blipFill>
                        <pic:spPr>
                          <a:xfrm>
                            <a:off x="0" y="0"/>
                            <a:ext cx="476885" cy="478790"/>
                          </a:xfrm>
                          <a:prstGeom prst="rect">
                            <a:avLst/>
                          </a:prstGeom>
                        </pic:spPr>
                      </pic:pic>
                    </a:graphicData>
                  </a:graphic>
                  <wp14:sizeRelH relativeFrom="page">
                    <wp14:pctWidth>0</wp14:pctWidth>
                  </wp14:sizeRelH>
                  <wp14:sizeRelV relativeFrom="page">
                    <wp14:pctHeight>0</wp14:pctHeight>
                  </wp14:sizeRelV>
                </wp:anchor>
              </w:drawing>
            </w:r>
            <w:r w:rsidRPr="000A18E7">
              <w:rPr>
                <w:noProof/>
                <w:color w:val="000000" w:themeColor="text1"/>
                <w:sz w:val="18"/>
                <w:szCs w:val="18"/>
              </w:rPr>
              <w:t xml:space="preserve">As long as travel restrictions are in place due to the pandemic, </w:t>
            </w:r>
            <w:r w:rsidRPr="000A18E7">
              <w:rPr>
                <w:b/>
                <w:noProof/>
                <w:color w:val="000000" w:themeColor="text1"/>
                <w:sz w:val="18"/>
                <w:szCs w:val="18"/>
              </w:rPr>
              <w:t xml:space="preserve">criminals are producing and selling fake </w:t>
            </w:r>
            <w:r w:rsidRPr="000A18E7">
              <w:rPr>
                <w:b/>
                <w:noProof/>
                <w:sz w:val="18"/>
                <w:szCs w:val="18"/>
              </w:rPr>
              <w:t>COVID-19</w:t>
            </w:r>
            <w:r w:rsidRPr="000A18E7">
              <w:rPr>
                <w:noProof/>
                <w:sz w:val="18"/>
                <w:szCs w:val="18"/>
              </w:rPr>
              <w:t xml:space="preserve"> </w:t>
            </w:r>
            <w:r w:rsidRPr="000A18E7">
              <w:rPr>
                <w:b/>
                <w:noProof/>
                <w:color w:val="000000" w:themeColor="text1"/>
                <w:sz w:val="18"/>
                <w:szCs w:val="18"/>
              </w:rPr>
              <w:t>test certificates</w:t>
            </w:r>
            <w:r w:rsidRPr="000A18E7">
              <w:rPr>
                <w:b/>
                <w:bCs/>
                <w:noProof/>
                <w:color w:val="000000" w:themeColor="text1"/>
                <w:sz w:val="18"/>
                <w:szCs w:val="18"/>
              </w:rPr>
              <w:t xml:space="preserve"> in the EU. </w:t>
            </w:r>
            <w:r w:rsidRPr="000A18E7">
              <w:rPr>
                <w:noProof/>
                <w:color w:val="000000" w:themeColor="text1"/>
                <w:sz w:val="18"/>
                <w:szCs w:val="18"/>
              </w:rPr>
              <w:t>Europol warns that fraudsters are able to produce high-quality counterfeit or fake documents with high-quality printers and different software. Recent examples include:</w:t>
            </w:r>
          </w:p>
          <w:p w14:paraId="6CE1B85C" w14:textId="77777777" w:rsidR="004D7FEE" w:rsidRPr="000A18E7" w:rsidRDefault="004D7FEE" w:rsidP="00900BC7">
            <w:pPr>
              <w:pStyle w:val="Body"/>
              <w:numPr>
                <w:ilvl w:val="0"/>
                <w:numId w:val="43"/>
              </w:numPr>
              <w:spacing w:before="120" w:after="120"/>
              <w:jc w:val="both"/>
              <w:rPr>
                <w:noProof/>
                <w:color w:val="000000" w:themeColor="text1"/>
                <w:sz w:val="18"/>
                <w:szCs w:val="18"/>
              </w:rPr>
            </w:pPr>
            <w:r w:rsidRPr="000A18E7">
              <w:rPr>
                <w:noProof/>
                <w:color w:val="000000" w:themeColor="text1"/>
                <w:sz w:val="18"/>
                <w:szCs w:val="18"/>
              </w:rPr>
              <w:t>In France, a forgery ring was dismantled at the Charles de Gaulle Airport, which sold negative test results to passengers for EUR 300.</w:t>
            </w:r>
          </w:p>
          <w:p w14:paraId="2A6A83F4" w14:textId="77777777" w:rsidR="004D7FEE" w:rsidRPr="000A18E7" w:rsidRDefault="004D7FEE" w:rsidP="00900BC7">
            <w:pPr>
              <w:pStyle w:val="Body"/>
              <w:numPr>
                <w:ilvl w:val="0"/>
                <w:numId w:val="43"/>
              </w:numPr>
              <w:spacing w:before="120" w:after="120"/>
              <w:jc w:val="both"/>
              <w:rPr>
                <w:noProof/>
                <w:color w:val="000000" w:themeColor="text1"/>
                <w:sz w:val="18"/>
                <w:szCs w:val="18"/>
              </w:rPr>
            </w:pPr>
            <w:r w:rsidRPr="000A18E7">
              <w:rPr>
                <w:noProof/>
                <w:color w:val="000000" w:themeColor="text1"/>
                <w:sz w:val="18"/>
                <w:szCs w:val="18"/>
              </w:rPr>
              <w:t>In Spain, fraudsters were apprehended who sold fake test results for EUR 40.</w:t>
            </w:r>
            <w:r w:rsidRPr="000A18E7">
              <w:rPr>
                <w:rStyle w:val="FootnoteReference"/>
                <w:noProof/>
                <w:color w:val="000000" w:themeColor="text1"/>
                <w:sz w:val="18"/>
                <w:szCs w:val="18"/>
              </w:rPr>
              <w:footnoteReference w:id="254"/>
            </w:r>
            <w:r w:rsidRPr="000A18E7">
              <w:rPr>
                <w:noProof/>
                <w:color w:val="000000" w:themeColor="text1"/>
                <w:sz w:val="18"/>
                <w:szCs w:val="18"/>
              </w:rPr>
              <w:t xml:space="preserve"> </w:t>
            </w:r>
          </w:p>
        </w:tc>
      </w:tr>
      <w:tr w:rsidR="004D7FEE" w:rsidRPr="000A18E7" w14:paraId="73F94E6A" w14:textId="77777777" w:rsidTr="0068616C">
        <w:tc>
          <w:tcPr>
            <w:tcW w:w="962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tcPr>
          <w:p w14:paraId="03A1BD53" w14:textId="77777777" w:rsidR="004D7FEE" w:rsidRPr="000A18E7" w:rsidRDefault="004D7FEE" w:rsidP="004D7FEE">
            <w:pPr>
              <w:pStyle w:val="Body"/>
              <w:jc w:val="both"/>
              <w:rPr>
                <w:noProof/>
                <w:color w:val="000000" w:themeColor="text1"/>
                <w:sz w:val="18"/>
                <w:szCs w:val="18"/>
              </w:rPr>
            </w:pPr>
            <w:r w:rsidRPr="000A18E7">
              <w:rPr>
                <w:noProof/>
                <w:lang w:eastAsia="en-GB"/>
              </w:rPr>
              <w:drawing>
                <wp:anchor distT="0" distB="0" distL="114300" distR="114300" simplePos="0" relativeHeight="251658752" behindDoc="0" locked="0" layoutInCell="1" allowOverlap="1" wp14:anchorId="1341D9BA" wp14:editId="0C82EE52">
                  <wp:simplePos x="0" y="0"/>
                  <wp:positionH relativeFrom="column">
                    <wp:align>left</wp:align>
                  </wp:positionH>
                  <wp:positionV relativeFrom="paragraph">
                    <wp:posOffset>0</wp:posOffset>
                  </wp:positionV>
                  <wp:extent cx="476885" cy="478790"/>
                  <wp:effectExtent l="0" t="0" r="0" b="0"/>
                  <wp:wrapSquare wrapText="bothSides"/>
                  <wp:docPr id="36"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pic:nvPicPr>
                        <pic:blipFill>
                          <a:blip r:embed="rId49" cstate="print">
                            <a:extLst>
                              <a:ext uri="{28A0092B-C50C-407E-A947-70E740481C1C}">
                                <a14:useLocalDpi xmlns:a14="http://schemas.microsoft.com/office/drawing/2010/main" val="0"/>
                              </a:ext>
                              <a:ext uri="{FF2B5EF4-FFF2-40B4-BE49-F238E27FC236}">
                                <a16:creationId xmlns:arto="http://schemas.microsoft.com/office/word/2006/arto" xmlns:a16="http://schemas.microsoft.com/office/drawing/2014/main" xmlns:c="http://schemas.openxmlformats.org/drawingml/2006/chart" xmlns:a14="http://schemas.microsoft.com/office/drawing/2010/main" xmlns:w="http://schemas.openxmlformats.org/wordprocessingml/2006/main" xmlns:w10="urn:schemas-microsoft-com:office:word" xmlns:v="urn:schemas-microsoft-com:vml" xmlns:o="urn:schemas-microsoft-com:office:office"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id="{D400A399-C999-445E-8368-70E5A4BE8B5B}"/>
                              </a:ext>
                            </a:extLst>
                          </a:blip>
                          <a:stretch>
                            <a:fillRect/>
                          </a:stretch>
                        </pic:blipFill>
                        <pic:spPr>
                          <a:xfrm>
                            <a:off x="0" y="0"/>
                            <a:ext cx="476885" cy="478790"/>
                          </a:xfrm>
                          <a:prstGeom prst="rect">
                            <a:avLst/>
                          </a:prstGeom>
                        </pic:spPr>
                      </pic:pic>
                    </a:graphicData>
                  </a:graphic>
                  <wp14:sizeRelH relativeFrom="page">
                    <wp14:pctWidth>0</wp14:pctWidth>
                  </wp14:sizeRelH>
                  <wp14:sizeRelV relativeFrom="page">
                    <wp14:pctHeight>0</wp14:pctHeight>
                  </wp14:sizeRelV>
                </wp:anchor>
              </w:drawing>
            </w:r>
            <w:r w:rsidRPr="000A18E7">
              <w:rPr>
                <w:b/>
                <w:noProof/>
                <w:color w:val="000000" w:themeColor="text1"/>
                <w:sz w:val="18"/>
                <w:szCs w:val="18"/>
              </w:rPr>
              <w:t>In France, almost thirty hospitals were targeted by cyberattacks in 2020</w:t>
            </w:r>
            <w:r w:rsidRPr="000A18E7">
              <w:rPr>
                <w:noProof/>
                <w:color w:val="000000" w:themeColor="text1"/>
                <w:sz w:val="18"/>
                <w:szCs w:val="18"/>
              </w:rPr>
              <w:t xml:space="preserve">, while these hospitals struggled with </w:t>
            </w:r>
            <w:r w:rsidRPr="000A18E7">
              <w:rPr>
                <w:noProof/>
              </w:rPr>
              <w:t xml:space="preserve">COVID-19 </w:t>
            </w:r>
            <w:r w:rsidRPr="000A18E7">
              <w:rPr>
                <w:noProof/>
                <w:color w:val="000000" w:themeColor="text1"/>
                <w:sz w:val="18"/>
                <w:szCs w:val="18"/>
              </w:rPr>
              <w:t xml:space="preserve">patients. During these cyberattacks, malware paralysed the IT systems in hospitals, which often did not have sufficient security systems in place, until hospitals pay high ransoms. During a recent malware attack in Villefranche-sur-Saône near Lyon, operations were slowed down. While the lab and machines could operate, the hospital staff could not process results through computers. This forced them to send notifications around in the hospital manually on paper and increased the burden on health workers already dealing with the high pressure of </w:t>
            </w:r>
            <w:r w:rsidRPr="000A18E7">
              <w:rPr>
                <w:noProof/>
              </w:rPr>
              <w:t>COVID-19</w:t>
            </w:r>
            <w:r w:rsidRPr="000A18E7">
              <w:rPr>
                <w:noProof/>
                <w:color w:val="000000" w:themeColor="text1"/>
                <w:sz w:val="18"/>
                <w:szCs w:val="18"/>
              </w:rPr>
              <w:t>. Since the beginning of 2021, French authorities have monitored no less than one cyberattack per week against French hospitals.</w:t>
            </w:r>
            <w:r w:rsidRPr="000A18E7">
              <w:rPr>
                <w:rStyle w:val="FootnoteReference"/>
                <w:noProof/>
                <w:color w:val="000000" w:themeColor="text1"/>
                <w:sz w:val="18"/>
                <w:szCs w:val="18"/>
              </w:rPr>
              <w:footnoteReference w:id="255"/>
            </w:r>
          </w:p>
        </w:tc>
      </w:tr>
      <w:tr w:rsidR="004D7FEE" w:rsidRPr="000A18E7" w14:paraId="46195646" w14:textId="77777777" w:rsidTr="0068616C">
        <w:tc>
          <w:tcPr>
            <w:tcW w:w="962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tcPr>
          <w:p w14:paraId="3E424081" w14:textId="77777777" w:rsidR="004D7FEE" w:rsidRPr="000A18E7" w:rsidRDefault="004D7FEE" w:rsidP="00A42562">
            <w:pPr>
              <w:pStyle w:val="Body"/>
              <w:jc w:val="both"/>
              <w:rPr>
                <w:noProof/>
                <w:color w:val="000000" w:themeColor="text1"/>
                <w:sz w:val="18"/>
                <w:szCs w:val="18"/>
              </w:rPr>
            </w:pPr>
            <w:r w:rsidRPr="000A18E7">
              <w:rPr>
                <w:noProof/>
                <w:lang w:eastAsia="en-GB"/>
              </w:rPr>
              <w:drawing>
                <wp:anchor distT="0" distB="0" distL="114300" distR="114300" simplePos="0" relativeHeight="251662848" behindDoc="0" locked="0" layoutInCell="1" allowOverlap="1" wp14:anchorId="22BCD811" wp14:editId="15FD68B4">
                  <wp:simplePos x="0" y="0"/>
                  <wp:positionH relativeFrom="column">
                    <wp:align>left</wp:align>
                  </wp:positionH>
                  <wp:positionV relativeFrom="paragraph">
                    <wp:posOffset>0</wp:posOffset>
                  </wp:positionV>
                  <wp:extent cx="476885" cy="478790"/>
                  <wp:effectExtent l="0" t="0" r="0" b="0"/>
                  <wp:wrapSquare wrapText="bothSides"/>
                  <wp:docPr id="2064646282"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pic:nvPicPr>
                        <pic:blipFill>
                          <a:blip r:embed="rId49" cstate="print">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c="http://schemas.openxmlformats.org/drawingml/2006/chart" xmlns:a16="http://schemas.microsoft.com/office/drawing/2014/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id="{D400A399-C999-445E-8368-70E5A4BE8B5B}"/>
                              </a:ext>
                            </a:extLst>
                          </a:blip>
                          <a:stretch>
                            <a:fillRect/>
                          </a:stretch>
                        </pic:blipFill>
                        <pic:spPr>
                          <a:xfrm>
                            <a:off x="0" y="0"/>
                            <a:ext cx="476885" cy="478790"/>
                          </a:xfrm>
                          <a:prstGeom prst="rect">
                            <a:avLst/>
                          </a:prstGeom>
                        </pic:spPr>
                      </pic:pic>
                    </a:graphicData>
                  </a:graphic>
                  <wp14:sizeRelH relativeFrom="page">
                    <wp14:pctWidth>0</wp14:pctWidth>
                  </wp14:sizeRelH>
                  <wp14:sizeRelV relativeFrom="page">
                    <wp14:pctHeight>0</wp14:pctHeight>
                  </wp14:sizeRelV>
                </wp:anchor>
              </w:drawing>
            </w:r>
            <w:r w:rsidRPr="000A18E7">
              <w:rPr>
                <w:noProof/>
                <w:color w:val="000000" w:themeColor="text1"/>
                <w:sz w:val="18"/>
                <w:szCs w:val="18"/>
              </w:rPr>
              <w:t xml:space="preserve">A cross-border investigation of the Spanish Civil Guard, the Dutch Police, the United States Homeland Security and Europol </w:t>
            </w:r>
            <w:r w:rsidRPr="000A18E7">
              <w:rPr>
                <w:b/>
                <w:bCs/>
                <w:noProof/>
                <w:color w:val="000000" w:themeColor="text1"/>
                <w:sz w:val="18"/>
                <w:szCs w:val="18"/>
              </w:rPr>
              <w:t>dismantled an OCGs trafficking cocaine from South America to Europe</w:t>
            </w:r>
            <w:r w:rsidRPr="000A18E7">
              <w:rPr>
                <w:noProof/>
                <w:color w:val="000000" w:themeColor="text1"/>
                <w:sz w:val="18"/>
                <w:szCs w:val="18"/>
              </w:rPr>
              <w:t>. Latin American criminal networks are increasingly collaborating with international EU-based criminal networks for cocaine shipping. In this case, the international cocaine cartel extended over Amsterdam, Papendrecht, Rotterdam, Utrecht, Valencia and Malaga. During the operation, the LEAs seized six tonnes of cocaine, jewellery, cash and encrypted devices. It is assumed that the cocaine cartel communicated via self-developed encrypted mobile applications.</w:t>
            </w:r>
            <w:r w:rsidRPr="000A18E7">
              <w:rPr>
                <w:rStyle w:val="FootnoteReference"/>
                <w:noProof/>
                <w:color w:val="000000" w:themeColor="text1"/>
                <w:sz w:val="18"/>
                <w:szCs w:val="18"/>
              </w:rPr>
              <w:footnoteReference w:id="256"/>
            </w:r>
          </w:p>
        </w:tc>
      </w:tr>
    </w:tbl>
    <w:p w14:paraId="550F8622" w14:textId="77777777" w:rsidR="005B3636" w:rsidRDefault="005B3636" w:rsidP="00DE3425">
      <w:pPr>
        <w:spacing w:after="120"/>
        <w:rPr>
          <w:rFonts w:ascii="Times New Roman" w:hAnsi="Times New Roman" w:cs="Times New Roman"/>
          <w:b/>
          <w:noProof/>
          <w:sz w:val="24"/>
          <w:u w:val="single"/>
        </w:rPr>
      </w:pPr>
      <w:bookmarkStart w:id="192" w:name="_Toc74211557"/>
    </w:p>
    <w:p w14:paraId="4F99A3DD" w14:textId="77777777" w:rsidR="004D7FEE" w:rsidRPr="002320D7" w:rsidRDefault="004D7FEE" w:rsidP="00DE3425">
      <w:pPr>
        <w:spacing w:after="120"/>
        <w:rPr>
          <w:noProof/>
          <w:u w:val="single"/>
        </w:rPr>
      </w:pPr>
      <w:r w:rsidRPr="00103C29">
        <w:rPr>
          <w:rFonts w:ascii="Times New Roman" w:hAnsi="Times New Roman" w:cs="Times New Roman"/>
          <w:b/>
          <w:noProof/>
          <w:sz w:val="24"/>
          <w:u w:val="single"/>
        </w:rPr>
        <w:t>Key relevant social and technological developments</w:t>
      </w:r>
      <w:bookmarkEnd w:id="192"/>
    </w:p>
    <w:p w14:paraId="54302322" w14:textId="77777777"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 xml:space="preserve">Social and technological developments affect everyone, the citizens, the criminal groups and the law enforcement authorities. </w:t>
      </w:r>
    </w:p>
    <w:p w14:paraId="55C0C4FD" w14:textId="77777777" w:rsidR="004D7FEE" w:rsidRPr="00103C29" w:rsidRDefault="004D7FEE" w:rsidP="00DE3425">
      <w:pPr>
        <w:pStyle w:val="Body"/>
        <w:keepNext/>
        <w:spacing w:after="120"/>
        <w:jc w:val="both"/>
        <w:rPr>
          <w:rFonts w:ascii="Times New Roman" w:hAnsi="Times New Roman"/>
          <w:b/>
          <w:i/>
          <w:noProof/>
          <w:sz w:val="24"/>
          <w:u w:val="single"/>
        </w:rPr>
      </w:pPr>
      <w:r w:rsidRPr="00103C29">
        <w:rPr>
          <w:rFonts w:ascii="Times New Roman" w:hAnsi="Times New Roman"/>
          <w:b/>
          <w:i/>
          <w:noProof/>
          <w:sz w:val="24"/>
          <w:u w:val="single"/>
        </w:rPr>
        <w:t>How do criminals use the latest social and technological developments?</w:t>
      </w:r>
    </w:p>
    <w:p w14:paraId="5F51FE7E" w14:textId="77777777" w:rsidR="004D7FEE" w:rsidRPr="00103C29" w:rsidDel="00234110"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 xml:space="preserve">The criminal use of social and technological developments varies depending on the specific crime area; thus, the impact of such developments on different crime areas in the next years is likely to vary as well. </w:t>
      </w:r>
    </w:p>
    <w:p w14:paraId="679D06C8" w14:textId="77777777" w:rsidR="004D7FEE" w:rsidRPr="005B3636" w:rsidRDefault="004D7FEE" w:rsidP="00103C29">
      <w:pPr>
        <w:pStyle w:val="Caption"/>
        <w:rPr>
          <w:rFonts w:ascii="Times New Roman" w:hAnsi="Times New Roman"/>
          <w:noProof/>
          <w:sz w:val="24"/>
          <w:szCs w:val="24"/>
          <w:lang w:val="en-GB"/>
        </w:rPr>
      </w:pPr>
      <w:bookmarkStart w:id="193" w:name="_Ref69403336"/>
      <w:bookmarkEnd w:id="193"/>
      <w:r w:rsidRPr="005B3636">
        <w:rPr>
          <w:rFonts w:ascii="Times New Roman" w:hAnsi="Times New Roman"/>
          <w:noProof/>
          <w:sz w:val="24"/>
          <w:szCs w:val="24"/>
          <w:lang w:val="en-GB"/>
        </w:rPr>
        <w:t>Expected impact of social and technological developments per crime area relating to criminals</w:t>
      </w:r>
    </w:p>
    <w:tbl>
      <w:tblPr>
        <w:tblStyle w:val="TableGrid"/>
        <w:tblW w:w="0" w:type="auto"/>
        <w:tblLook w:val="04A0" w:firstRow="1" w:lastRow="0" w:firstColumn="1" w:lastColumn="0" w:noHBand="0" w:noVBand="1"/>
      </w:tblPr>
      <w:tblGrid>
        <w:gridCol w:w="1670"/>
        <w:gridCol w:w="7950"/>
      </w:tblGrid>
      <w:tr w:rsidR="004D7FEE" w:rsidRPr="000A18E7" w14:paraId="197989A9" w14:textId="77777777" w:rsidTr="0068616C">
        <w:trPr>
          <w:tblHeader/>
        </w:trPr>
        <w:tc>
          <w:tcPr>
            <w:tcW w:w="1670" w:type="dxa"/>
            <w:shd w:val="clear" w:color="auto" w:fill="00B0F0"/>
          </w:tcPr>
          <w:p w14:paraId="0E1A0CC9" w14:textId="77777777" w:rsidR="004D7FEE" w:rsidRPr="000A18E7" w:rsidRDefault="004D7FEE" w:rsidP="00103C29">
            <w:pPr>
              <w:pStyle w:val="Body"/>
              <w:jc w:val="both"/>
              <w:rPr>
                <w:noProof/>
                <w:sz w:val="18"/>
                <w:szCs w:val="18"/>
              </w:rPr>
            </w:pPr>
            <w:r w:rsidRPr="000A18E7">
              <w:rPr>
                <w:noProof/>
                <w:sz w:val="18"/>
                <w:szCs w:val="18"/>
              </w:rPr>
              <w:t>Crime area</w:t>
            </w:r>
          </w:p>
        </w:tc>
        <w:tc>
          <w:tcPr>
            <w:tcW w:w="7950" w:type="dxa"/>
            <w:shd w:val="clear" w:color="auto" w:fill="00B0F0"/>
          </w:tcPr>
          <w:p w14:paraId="1869449A" w14:textId="77777777" w:rsidR="004D7FEE" w:rsidRPr="000A18E7" w:rsidRDefault="004D7FEE" w:rsidP="00103C29">
            <w:pPr>
              <w:pStyle w:val="Body"/>
              <w:jc w:val="both"/>
              <w:rPr>
                <w:noProof/>
                <w:sz w:val="18"/>
                <w:szCs w:val="18"/>
              </w:rPr>
            </w:pPr>
            <w:r w:rsidRPr="000A18E7">
              <w:rPr>
                <w:noProof/>
                <w:sz w:val="18"/>
                <w:szCs w:val="18"/>
              </w:rPr>
              <w:t>Criminal use of social and technological developments</w:t>
            </w:r>
          </w:p>
        </w:tc>
      </w:tr>
      <w:tr w:rsidR="004D7FEE" w:rsidRPr="000A18E7" w14:paraId="23868B0C" w14:textId="77777777" w:rsidTr="0068616C">
        <w:trPr>
          <w:trHeight w:val="623"/>
        </w:trPr>
        <w:tc>
          <w:tcPr>
            <w:tcW w:w="1670" w:type="dxa"/>
          </w:tcPr>
          <w:p w14:paraId="66A2D755" w14:textId="77777777" w:rsidR="004D7FEE" w:rsidRPr="000A18E7" w:rsidRDefault="004D7FEE" w:rsidP="00103C29">
            <w:pPr>
              <w:pStyle w:val="Body"/>
              <w:jc w:val="both"/>
              <w:rPr>
                <w:noProof/>
                <w:sz w:val="18"/>
                <w:szCs w:val="18"/>
              </w:rPr>
            </w:pPr>
            <w:r w:rsidRPr="000A18E7">
              <w:rPr>
                <w:bCs/>
                <w:noProof/>
                <w:sz w:val="18"/>
                <w:szCs w:val="18"/>
              </w:rPr>
              <w:t>Cybercrime</w:t>
            </w:r>
          </w:p>
        </w:tc>
        <w:tc>
          <w:tcPr>
            <w:tcW w:w="7950" w:type="dxa"/>
          </w:tcPr>
          <w:p w14:paraId="102BC7E6" w14:textId="77777777" w:rsidR="004D7FEE" w:rsidRPr="000A18E7" w:rsidRDefault="004D7FEE" w:rsidP="00DE3425">
            <w:pPr>
              <w:pStyle w:val="Body"/>
              <w:spacing w:after="120"/>
              <w:jc w:val="both"/>
              <w:rPr>
                <w:noProof/>
                <w:sz w:val="18"/>
                <w:szCs w:val="18"/>
              </w:rPr>
            </w:pPr>
            <w:r w:rsidRPr="000A18E7">
              <w:rPr>
                <w:noProof/>
                <w:sz w:val="18"/>
                <w:szCs w:val="18"/>
              </w:rPr>
              <w:t>Nearly all criminal activities include some sort of cyber dimension.</w:t>
            </w:r>
            <w:r w:rsidRPr="000A18E7">
              <w:rPr>
                <w:rStyle w:val="FootnoteReference"/>
                <w:noProof/>
                <w:sz w:val="18"/>
                <w:szCs w:val="18"/>
              </w:rPr>
              <w:footnoteReference w:id="257"/>
            </w:r>
            <w:r w:rsidRPr="000A18E7">
              <w:rPr>
                <w:noProof/>
                <w:sz w:val="18"/>
                <w:szCs w:val="18"/>
              </w:rPr>
              <w:t xml:space="preserve"> Especially during the pandemic, criminals pushed innovation in the area of cybercrime by devising new modi operandi and by adapting existing ones to exploit the situation. For instance, with the increasing number of workers working remotely due to COVID-19, criminals increasingly started compromising business emails and using AI to mimic the voice of a CEO.</w:t>
            </w:r>
            <w:r w:rsidRPr="000A18E7">
              <w:rPr>
                <w:rStyle w:val="FootnoteReference"/>
                <w:noProof/>
                <w:sz w:val="18"/>
                <w:szCs w:val="18"/>
              </w:rPr>
              <w:footnoteReference w:id="258"/>
            </w:r>
            <w:r w:rsidRPr="000A18E7">
              <w:rPr>
                <w:noProof/>
                <w:sz w:val="18"/>
                <w:szCs w:val="18"/>
              </w:rPr>
              <w:t xml:space="preserve"> Other examples of cybercrime attacks include ransomware, where criminals increase pressure by threatening publication of data if the victim does not pay or identity fraud, where criminals misuse personal information to commit crimes.</w:t>
            </w:r>
            <w:r w:rsidRPr="000A18E7">
              <w:rPr>
                <w:rStyle w:val="FootnoteReference"/>
                <w:noProof/>
                <w:sz w:val="18"/>
                <w:szCs w:val="18"/>
              </w:rPr>
              <w:footnoteReference w:id="259"/>
            </w:r>
            <w:r w:rsidRPr="000A18E7">
              <w:rPr>
                <w:noProof/>
                <w:sz w:val="18"/>
                <w:szCs w:val="18"/>
              </w:rPr>
              <w:t xml:space="preserve"> Online frauds are further facilitated by the fact that criminals do not need to leave their place but either commit cybercrime anywhere in Europe or send other people across-borders in order to commit crime.</w:t>
            </w:r>
            <w:r w:rsidRPr="000A18E7">
              <w:rPr>
                <w:noProof/>
              </w:rPr>
              <w:t xml:space="preserve"> </w:t>
            </w:r>
            <w:r w:rsidRPr="000A18E7">
              <w:rPr>
                <w:noProof/>
                <w:sz w:val="18"/>
                <w:szCs w:val="18"/>
              </w:rPr>
              <w:t>Despite the majority of cybercrimes are well known, criminals have often succeeded due to insufficient cybersecurity.</w:t>
            </w:r>
            <w:r w:rsidRPr="000A18E7">
              <w:rPr>
                <w:rStyle w:val="FootnoteReference"/>
                <w:noProof/>
                <w:sz w:val="18"/>
                <w:szCs w:val="18"/>
              </w:rPr>
              <w:footnoteReference w:id="260"/>
            </w:r>
            <w:r w:rsidRPr="000A18E7">
              <w:rPr>
                <w:noProof/>
                <w:sz w:val="18"/>
                <w:szCs w:val="18"/>
              </w:rPr>
              <w:t xml:space="preserve"> It is expected that criminals will likely continue to invent and apply different forms of cybercrime in the near future, making cybercrime remaining as one of the most dynamic forms of crime.</w:t>
            </w:r>
          </w:p>
          <w:p w14:paraId="13E9426B" w14:textId="77777777" w:rsidR="004D7FEE" w:rsidRPr="000A18E7" w:rsidRDefault="004D7FEE" w:rsidP="00DE3425">
            <w:pPr>
              <w:pStyle w:val="Body"/>
              <w:spacing w:after="120"/>
              <w:jc w:val="both"/>
              <w:rPr>
                <w:noProof/>
                <w:sz w:val="18"/>
                <w:szCs w:val="18"/>
              </w:rPr>
            </w:pPr>
            <w:r w:rsidRPr="000A18E7">
              <w:rPr>
                <w:noProof/>
                <w:sz w:val="18"/>
                <w:szCs w:val="18"/>
              </w:rPr>
              <w:t xml:space="preserve">More specifically, the following types of future trends and dynamics can be identified: </w:t>
            </w:r>
          </w:p>
          <w:p w14:paraId="76A5CB06" w14:textId="77777777" w:rsidR="004D7FEE" w:rsidRPr="000A18E7" w:rsidRDefault="004D7FEE" w:rsidP="00900BC7">
            <w:pPr>
              <w:pStyle w:val="Body"/>
              <w:numPr>
                <w:ilvl w:val="0"/>
                <w:numId w:val="49"/>
              </w:numPr>
              <w:spacing w:before="120" w:after="120"/>
              <w:jc w:val="both"/>
              <w:rPr>
                <w:noProof/>
                <w:sz w:val="18"/>
                <w:szCs w:val="18"/>
              </w:rPr>
            </w:pPr>
            <w:r w:rsidRPr="000A18E7">
              <w:rPr>
                <w:noProof/>
                <w:sz w:val="18"/>
                <w:szCs w:val="18"/>
              </w:rPr>
              <w:t>Cybercriminals increasingly work together to maximise their profits, which could result in more offerings, more diverse products and services, increased specialisation, and more integrated packages of CaaS.</w:t>
            </w:r>
          </w:p>
          <w:p w14:paraId="516AA24F" w14:textId="77777777" w:rsidR="004D7FEE" w:rsidRPr="000A18E7" w:rsidRDefault="004D7FEE" w:rsidP="00900BC7">
            <w:pPr>
              <w:pStyle w:val="Body"/>
              <w:numPr>
                <w:ilvl w:val="0"/>
                <w:numId w:val="49"/>
              </w:numPr>
              <w:spacing w:before="120" w:after="120"/>
              <w:jc w:val="both"/>
              <w:rPr>
                <w:noProof/>
                <w:sz w:val="18"/>
                <w:szCs w:val="18"/>
              </w:rPr>
            </w:pPr>
            <w:r w:rsidRPr="000A18E7">
              <w:rPr>
                <w:noProof/>
                <w:sz w:val="18"/>
                <w:szCs w:val="18"/>
              </w:rPr>
              <w:t>Cybercrime could become a more viable career for able hackers if criminal justice responses cannot keep up.</w:t>
            </w:r>
          </w:p>
          <w:p w14:paraId="02E197BB" w14:textId="77777777" w:rsidR="004D7FEE" w:rsidRPr="000A18E7" w:rsidRDefault="004D7FEE" w:rsidP="00900BC7">
            <w:pPr>
              <w:pStyle w:val="Body"/>
              <w:numPr>
                <w:ilvl w:val="0"/>
                <w:numId w:val="49"/>
              </w:numPr>
              <w:spacing w:before="120" w:after="120"/>
              <w:jc w:val="both"/>
              <w:rPr>
                <w:noProof/>
              </w:rPr>
            </w:pPr>
            <w:r w:rsidRPr="000A18E7">
              <w:rPr>
                <w:noProof/>
                <w:sz w:val="18"/>
                <w:szCs w:val="18"/>
              </w:rPr>
              <w:t>Cybercriminals could be driven deeper underground.</w:t>
            </w:r>
          </w:p>
        </w:tc>
      </w:tr>
      <w:tr w:rsidR="004D7FEE" w:rsidRPr="000A18E7" w14:paraId="7BC46C10" w14:textId="77777777" w:rsidTr="0068616C">
        <w:tc>
          <w:tcPr>
            <w:tcW w:w="1670" w:type="dxa"/>
          </w:tcPr>
          <w:p w14:paraId="7B9101FB" w14:textId="77777777" w:rsidR="004D7FEE" w:rsidRPr="000A18E7" w:rsidRDefault="004D7FEE" w:rsidP="00103C29">
            <w:pPr>
              <w:pStyle w:val="Body"/>
              <w:jc w:val="both"/>
              <w:rPr>
                <w:b/>
                <w:bCs/>
                <w:noProof/>
                <w:sz w:val="18"/>
                <w:szCs w:val="18"/>
              </w:rPr>
            </w:pPr>
            <w:r w:rsidRPr="000A18E7">
              <w:rPr>
                <w:bCs/>
                <w:noProof/>
                <w:sz w:val="18"/>
                <w:szCs w:val="18"/>
              </w:rPr>
              <w:t>Financial crime</w:t>
            </w:r>
          </w:p>
        </w:tc>
        <w:tc>
          <w:tcPr>
            <w:tcW w:w="7950" w:type="dxa"/>
          </w:tcPr>
          <w:p w14:paraId="0505FAFD" w14:textId="77777777" w:rsidR="004D7FEE" w:rsidRPr="000A18E7" w:rsidRDefault="004D7FEE" w:rsidP="00DE3425">
            <w:pPr>
              <w:pStyle w:val="Body"/>
              <w:spacing w:after="120"/>
              <w:jc w:val="both"/>
              <w:rPr>
                <w:noProof/>
                <w:sz w:val="18"/>
                <w:szCs w:val="18"/>
              </w:rPr>
            </w:pPr>
            <w:r w:rsidRPr="000A18E7">
              <w:rPr>
                <w:noProof/>
                <w:sz w:val="18"/>
                <w:szCs w:val="18"/>
              </w:rPr>
              <w:t>It is expected that criminals will likely benefit from the latest technological developments and will likely increasingly commit financial crimes. The most prominent example of how criminals have used the latest technological developments in the case of financial crime is non-cash payment fraud. In 2020, non-cash payment fraud increased in sophistication of social engineering and phishing. As was the case for cybercrimes, criminals have quickly adapted to the social development that life increasingly shifts to the online world. Especially attacks via mobile phones have gained importance among criminals and are expected to increase. For instance, smashing attacks increased during the pandemic, where criminals send fraudulent text messages, pretending to be from trusted senders, to financial institutions and their customers.</w:t>
            </w:r>
            <w:r w:rsidRPr="000A18E7">
              <w:rPr>
                <w:rStyle w:val="FootnoteReference"/>
                <w:noProof/>
                <w:sz w:val="18"/>
                <w:szCs w:val="18"/>
              </w:rPr>
              <w:footnoteReference w:id="261"/>
            </w:r>
            <w:r w:rsidRPr="000A18E7">
              <w:rPr>
                <w:noProof/>
                <w:sz w:val="18"/>
                <w:szCs w:val="18"/>
              </w:rPr>
              <w:t xml:space="preserve"> Another recent example of financial crime during the pandemic is the abuse of the support and recovery funds by criminals which some Member States have established to stabilise their economies.</w:t>
            </w:r>
            <w:r w:rsidRPr="000A18E7">
              <w:rPr>
                <w:noProof/>
                <w:sz w:val="18"/>
                <w:szCs w:val="18"/>
                <w:vertAlign w:val="superscript"/>
              </w:rPr>
              <w:footnoteReference w:id="262"/>
            </w:r>
            <w:r w:rsidRPr="000A18E7">
              <w:rPr>
                <w:noProof/>
                <w:sz w:val="18"/>
                <w:szCs w:val="18"/>
              </w:rPr>
              <w:t xml:space="preserve"> In Germany, for instance, no less than 25 000 suspected cases of coronavirus aid fraud are currently investigated.</w:t>
            </w:r>
            <w:r w:rsidRPr="000A18E7">
              <w:rPr>
                <w:rStyle w:val="FootnoteReference"/>
                <w:noProof/>
                <w:sz w:val="18"/>
                <w:szCs w:val="18"/>
              </w:rPr>
              <w:footnoteReference w:id="263"/>
            </w:r>
          </w:p>
          <w:p w14:paraId="202699AE" w14:textId="77777777" w:rsidR="004D7FEE" w:rsidRPr="000A18E7" w:rsidRDefault="004D7FEE" w:rsidP="00DE3425">
            <w:pPr>
              <w:pStyle w:val="Body"/>
              <w:spacing w:after="120"/>
              <w:jc w:val="both"/>
              <w:rPr>
                <w:noProof/>
                <w:sz w:val="18"/>
                <w:szCs w:val="18"/>
              </w:rPr>
            </w:pPr>
            <w:r w:rsidRPr="000A18E7">
              <w:rPr>
                <w:noProof/>
                <w:sz w:val="18"/>
                <w:szCs w:val="18"/>
              </w:rPr>
              <w:t>More specifically, the following types of future trends and dynamics can be identified</w:t>
            </w:r>
          </w:p>
          <w:p w14:paraId="03E26548" w14:textId="77777777" w:rsidR="004D7FEE" w:rsidRPr="000A18E7" w:rsidRDefault="004D7FEE" w:rsidP="00900BC7">
            <w:pPr>
              <w:pStyle w:val="Body"/>
              <w:numPr>
                <w:ilvl w:val="0"/>
                <w:numId w:val="51"/>
              </w:numPr>
              <w:spacing w:before="120" w:after="120"/>
              <w:jc w:val="both"/>
              <w:rPr>
                <w:noProof/>
                <w:sz w:val="18"/>
                <w:szCs w:val="18"/>
              </w:rPr>
            </w:pPr>
            <w:r w:rsidRPr="000A18E7">
              <w:rPr>
                <w:noProof/>
                <w:sz w:val="18"/>
                <w:szCs w:val="18"/>
              </w:rPr>
              <w:t>There is an emerging trend towards fraudulently trading intangible goods and services, such as cloud computing.</w:t>
            </w:r>
          </w:p>
          <w:p w14:paraId="1F54300F" w14:textId="77777777" w:rsidR="004D7FEE" w:rsidRPr="000A18E7" w:rsidRDefault="004D7FEE" w:rsidP="00900BC7">
            <w:pPr>
              <w:pStyle w:val="Body"/>
              <w:numPr>
                <w:ilvl w:val="0"/>
                <w:numId w:val="51"/>
              </w:numPr>
              <w:spacing w:before="120" w:after="120"/>
              <w:jc w:val="both"/>
              <w:rPr>
                <w:noProof/>
                <w:sz w:val="18"/>
                <w:szCs w:val="18"/>
              </w:rPr>
            </w:pPr>
            <w:r w:rsidRPr="000A18E7">
              <w:rPr>
                <w:noProof/>
                <w:sz w:val="18"/>
                <w:szCs w:val="18"/>
              </w:rPr>
              <w:t xml:space="preserve">Due to Brexit, VAT fraud will likely be displaced to other countries. </w:t>
            </w:r>
          </w:p>
        </w:tc>
      </w:tr>
      <w:tr w:rsidR="004D7FEE" w:rsidRPr="000A18E7" w14:paraId="5670C01A" w14:textId="77777777" w:rsidTr="0068616C">
        <w:tc>
          <w:tcPr>
            <w:tcW w:w="1670" w:type="dxa"/>
          </w:tcPr>
          <w:p w14:paraId="39729FFE" w14:textId="77777777" w:rsidR="004D7FEE" w:rsidRPr="000A18E7" w:rsidRDefault="004D7FEE" w:rsidP="00103C29">
            <w:pPr>
              <w:pStyle w:val="Body"/>
              <w:jc w:val="both"/>
              <w:rPr>
                <w:b/>
                <w:bCs/>
                <w:noProof/>
                <w:sz w:val="18"/>
                <w:szCs w:val="18"/>
              </w:rPr>
            </w:pPr>
            <w:r w:rsidRPr="000A18E7">
              <w:rPr>
                <w:bCs/>
                <w:noProof/>
                <w:sz w:val="18"/>
                <w:szCs w:val="18"/>
              </w:rPr>
              <w:t>Drug trafficking</w:t>
            </w:r>
          </w:p>
        </w:tc>
        <w:tc>
          <w:tcPr>
            <w:tcW w:w="7950" w:type="dxa"/>
          </w:tcPr>
          <w:p w14:paraId="7D70A89D" w14:textId="77777777" w:rsidR="004D7FEE" w:rsidRPr="000A18E7" w:rsidRDefault="004D7FEE" w:rsidP="00DE3425">
            <w:pPr>
              <w:pStyle w:val="Body"/>
              <w:spacing w:after="120"/>
              <w:jc w:val="both"/>
              <w:rPr>
                <w:noProof/>
                <w:sz w:val="18"/>
                <w:szCs w:val="18"/>
              </w:rPr>
            </w:pPr>
            <w:r w:rsidRPr="000A18E7">
              <w:rPr>
                <w:noProof/>
                <w:sz w:val="18"/>
                <w:szCs w:val="18"/>
              </w:rPr>
              <w:t>As drugs can be increasingly purchased online in the Dark web and are delivered across Europe via parcel services, it becomes easier for consumers to access drugs. The pandemic has barely impacted this development. Apart from small disruptions during the first lockdown, the drug trafficking has continued as usual.</w:t>
            </w:r>
            <w:r w:rsidRPr="000A18E7">
              <w:rPr>
                <w:rStyle w:val="FootnoteReference"/>
                <w:noProof/>
                <w:sz w:val="18"/>
                <w:szCs w:val="18"/>
              </w:rPr>
              <w:footnoteReference w:id="264"/>
            </w:r>
            <w:r w:rsidRPr="000A18E7">
              <w:rPr>
                <w:noProof/>
                <w:sz w:val="18"/>
                <w:szCs w:val="18"/>
              </w:rPr>
              <w:t xml:space="preserve"> Criminals are expected to remain quick to take advantage of new opportunities and to continue to make the drug market digitally enabled.</w:t>
            </w:r>
            <w:r w:rsidRPr="000A18E7">
              <w:rPr>
                <w:rStyle w:val="FootnoteReference"/>
                <w:noProof/>
                <w:sz w:val="18"/>
                <w:szCs w:val="18"/>
              </w:rPr>
              <w:footnoteReference w:id="265"/>
            </w:r>
            <w:r w:rsidRPr="000A18E7">
              <w:rPr>
                <w:noProof/>
                <w:sz w:val="18"/>
                <w:szCs w:val="18"/>
              </w:rPr>
              <w:t xml:space="preserve"> Also, the drug market is increasingly globalising. For instance, Mexican drug cartels have recently set up crystal meth production with Chinese chemicals in the Netherlands.</w:t>
            </w:r>
            <w:r w:rsidRPr="000A18E7">
              <w:rPr>
                <w:rStyle w:val="FootnoteReference"/>
                <w:noProof/>
                <w:sz w:val="18"/>
                <w:szCs w:val="18"/>
              </w:rPr>
              <w:footnoteReference w:id="266"/>
            </w:r>
            <w:r w:rsidRPr="000A18E7">
              <w:rPr>
                <w:noProof/>
                <w:sz w:val="18"/>
                <w:szCs w:val="18"/>
              </w:rPr>
              <w:t xml:space="preserve"> </w:t>
            </w:r>
          </w:p>
          <w:p w14:paraId="17F2A805" w14:textId="77777777" w:rsidR="004D7FEE" w:rsidRPr="000A18E7" w:rsidRDefault="004D7FEE" w:rsidP="00DE3425">
            <w:pPr>
              <w:pStyle w:val="Body"/>
              <w:spacing w:after="120"/>
              <w:jc w:val="both"/>
              <w:rPr>
                <w:noProof/>
                <w:sz w:val="18"/>
                <w:szCs w:val="18"/>
              </w:rPr>
            </w:pPr>
            <w:r w:rsidRPr="000A18E7">
              <w:rPr>
                <w:noProof/>
                <w:sz w:val="18"/>
                <w:szCs w:val="18"/>
              </w:rPr>
              <w:t xml:space="preserve">More specifically, the following types of future trends and dynamics can be identified: </w:t>
            </w:r>
          </w:p>
          <w:p w14:paraId="532476DF" w14:textId="77777777" w:rsidR="004D7FEE" w:rsidRPr="000A18E7" w:rsidRDefault="004D7FEE" w:rsidP="00900BC7">
            <w:pPr>
              <w:pStyle w:val="Body"/>
              <w:numPr>
                <w:ilvl w:val="0"/>
                <w:numId w:val="45"/>
              </w:numPr>
              <w:spacing w:before="120" w:after="120"/>
              <w:jc w:val="both"/>
              <w:rPr>
                <w:noProof/>
                <w:sz w:val="18"/>
                <w:szCs w:val="18"/>
              </w:rPr>
            </w:pPr>
            <w:r w:rsidRPr="000A18E7">
              <w:rPr>
                <w:noProof/>
                <w:sz w:val="18"/>
                <w:szCs w:val="18"/>
              </w:rPr>
              <w:t>Drug producers are maximising their production outputs by using new technologies, such as climate-control systems or solar-powered tube wells.</w:t>
            </w:r>
          </w:p>
          <w:p w14:paraId="38F1258D" w14:textId="77777777" w:rsidR="004D7FEE" w:rsidRPr="000A18E7" w:rsidRDefault="004D7FEE" w:rsidP="00900BC7">
            <w:pPr>
              <w:pStyle w:val="Body"/>
              <w:numPr>
                <w:ilvl w:val="0"/>
                <w:numId w:val="45"/>
              </w:numPr>
              <w:spacing w:before="120" w:after="120"/>
              <w:jc w:val="both"/>
              <w:rPr>
                <w:noProof/>
                <w:sz w:val="18"/>
                <w:szCs w:val="18"/>
              </w:rPr>
            </w:pPr>
            <w:r w:rsidRPr="000A18E7">
              <w:rPr>
                <w:noProof/>
                <w:sz w:val="18"/>
                <w:szCs w:val="18"/>
              </w:rPr>
              <w:t>Herbal cannabis, synthetic drugs and precursors are increasingly produced illegally in the EU. These drugs markets are becoming more profitable, due to regulatory loopholes and global commercial trafficking routes.</w:t>
            </w:r>
          </w:p>
          <w:p w14:paraId="163A5237" w14:textId="77777777" w:rsidR="004D7FEE" w:rsidRPr="000A18E7" w:rsidRDefault="004D7FEE" w:rsidP="00900BC7">
            <w:pPr>
              <w:pStyle w:val="Body"/>
              <w:numPr>
                <w:ilvl w:val="0"/>
                <w:numId w:val="45"/>
              </w:numPr>
              <w:spacing w:before="120" w:after="120"/>
              <w:jc w:val="both"/>
              <w:rPr>
                <w:noProof/>
                <w:sz w:val="18"/>
                <w:szCs w:val="18"/>
              </w:rPr>
            </w:pPr>
            <w:r w:rsidRPr="000A18E7">
              <w:rPr>
                <w:noProof/>
                <w:sz w:val="18"/>
                <w:szCs w:val="18"/>
              </w:rPr>
              <w:t>Online trade is becoming more prevalent in drug markets in Europe.</w:t>
            </w:r>
          </w:p>
        </w:tc>
      </w:tr>
      <w:tr w:rsidR="004D7FEE" w:rsidRPr="000A18E7" w14:paraId="26480879" w14:textId="77777777" w:rsidTr="0068616C">
        <w:tc>
          <w:tcPr>
            <w:tcW w:w="1670" w:type="dxa"/>
          </w:tcPr>
          <w:p w14:paraId="3E868128" w14:textId="77777777" w:rsidR="004D7FEE" w:rsidRPr="000A18E7" w:rsidRDefault="004D7FEE" w:rsidP="00103C29">
            <w:pPr>
              <w:pStyle w:val="Body"/>
              <w:jc w:val="both"/>
              <w:rPr>
                <w:b/>
                <w:bCs/>
                <w:noProof/>
                <w:sz w:val="18"/>
                <w:szCs w:val="18"/>
              </w:rPr>
            </w:pPr>
            <w:r w:rsidRPr="000A18E7">
              <w:rPr>
                <w:bCs/>
                <w:noProof/>
                <w:sz w:val="18"/>
                <w:szCs w:val="18"/>
              </w:rPr>
              <w:t>Illicit tobacco trade</w:t>
            </w:r>
          </w:p>
        </w:tc>
        <w:tc>
          <w:tcPr>
            <w:tcW w:w="7950" w:type="dxa"/>
          </w:tcPr>
          <w:p w14:paraId="4915C1F5" w14:textId="77777777" w:rsidR="004D7FEE" w:rsidRPr="000A18E7" w:rsidRDefault="004D7FEE" w:rsidP="00DE3425">
            <w:pPr>
              <w:pStyle w:val="Body"/>
              <w:spacing w:after="120"/>
              <w:jc w:val="both"/>
              <w:rPr>
                <w:noProof/>
                <w:sz w:val="18"/>
                <w:szCs w:val="18"/>
              </w:rPr>
            </w:pPr>
            <w:r w:rsidRPr="000A18E7">
              <w:rPr>
                <w:noProof/>
                <w:sz w:val="18"/>
                <w:szCs w:val="18"/>
              </w:rPr>
              <w:t>As markets will continue to increasingly act globally and continue to be increasingly interconnected, criminals are expected to commit smuggling operations at a global scale. For instance, a recent fraud scheme detected by Europol consisted of illegally diverting cigarettes from EU internal and external transit customs procedures to the black market without paying millions in taxes.</w:t>
            </w:r>
            <w:r w:rsidRPr="000A18E7">
              <w:rPr>
                <w:rStyle w:val="FootnoteReference"/>
                <w:noProof/>
                <w:sz w:val="18"/>
                <w:szCs w:val="18"/>
              </w:rPr>
              <w:footnoteReference w:id="267"/>
            </w:r>
            <w:r w:rsidRPr="000A18E7">
              <w:rPr>
                <w:noProof/>
                <w:sz w:val="18"/>
                <w:szCs w:val="18"/>
              </w:rPr>
              <w:t xml:space="preserve"> </w:t>
            </w:r>
          </w:p>
          <w:p w14:paraId="49DD9518" w14:textId="77777777" w:rsidR="004D7FEE" w:rsidRPr="000A18E7" w:rsidRDefault="004D7FEE" w:rsidP="00DE3425">
            <w:pPr>
              <w:pStyle w:val="Body"/>
              <w:spacing w:after="120"/>
              <w:jc w:val="both"/>
              <w:rPr>
                <w:noProof/>
                <w:sz w:val="18"/>
                <w:szCs w:val="18"/>
              </w:rPr>
            </w:pPr>
            <w:r w:rsidRPr="000A18E7">
              <w:rPr>
                <w:noProof/>
                <w:sz w:val="18"/>
                <w:szCs w:val="18"/>
              </w:rPr>
              <w:t xml:space="preserve">More specifically, the following types of future trends and dynamics can be identified: </w:t>
            </w:r>
          </w:p>
          <w:p w14:paraId="54ADA085" w14:textId="77777777" w:rsidR="004D7FEE" w:rsidRPr="000A18E7" w:rsidRDefault="004D7FEE" w:rsidP="00900BC7">
            <w:pPr>
              <w:pStyle w:val="Body"/>
              <w:numPr>
                <w:ilvl w:val="0"/>
                <w:numId w:val="45"/>
              </w:numPr>
              <w:spacing w:before="120" w:after="120"/>
              <w:jc w:val="both"/>
              <w:rPr>
                <w:noProof/>
                <w:sz w:val="18"/>
                <w:szCs w:val="18"/>
              </w:rPr>
            </w:pPr>
            <w:r w:rsidRPr="000A18E7">
              <w:rPr>
                <w:noProof/>
                <w:sz w:val="18"/>
                <w:szCs w:val="18"/>
              </w:rPr>
              <w:t>Tobacco products are more often smuggled in smaller shipment sizes.</w:t>
            </w:r>
          </w:p>
          <w:p w14:paraId="23F3F040" w14:textId="77777777" w:rsidR="004D7FEE" w:rsidRPr="000A18E7" w:rsidRDefault="004D7FEE" w:rsidP="00900BC7">
            <w:pPr>
              <w:pStyle w:val="Body"/>
              <w:numPr>
                <w:ilvl w:val="0"/>
                <w:numId w:val="45"/>
              </w:numPr>
              <w:spacing w:before="120" w:after="120"/>
              <w:jc w:val="both"/>
              <w:rPr>
                <w:noProof/>
                <w:sz w:val="18"/>
                <w:szCs w:val="18"/>
              </w:rPr>
            </w:pPr>
            <w:r w:rsidRPr="000A18E7">
              <w:rPr>
                <w:noProof/>
                <w:sz w:val="18"/>
                <w:szCs w:val="18"/>
              </w:rPr>
              <w:t>There is an increase in illicit domestic manufacturing.</w:t>
            </w:r>
          </w:p>
          <w:p w14:paraId="60548A3C" w14:textId="77777777" w:rsidR="004D7FEE" w:rsidRPr="000A18E7" w:rsidRDefault="004D7FEE" w:rsidP="00900BC7">
            <w:pPr>
              <w:pStyle w:val="Body"/>
              <w:numPr>
                <w:ilvl w:val="0"/>
                <w:numId w:val="45"/>
              </w:numPr>
              <w:spacing w:before="120" w:after="120"/>
              <w:jc w:val="both"/>
              <w:rPr>
                <w:noProof/>
                <w:sz w:val="18"/>
                <w:szCs w:val="18"/>
              </w:rPr>
            </w:pPr>
            <w:r w:rsidRPr="000A18E7">
              <w:rPr>
                <w:noProof/>
                <w:sz w:val="18"/>
                <w:szCs w:val="18"/>
              </w:rPr>
              <w:t>Tobacco products other than cigarettes are expected to increase their market share.</w:t>
            </w:r>
          </w:p>
        </w:tc>
      </w:tr>
      <w:tr w:rsidR="004D7FEE" w:rsidRPr="000A18E7" w14:paraId="4F40C043" w14:textId="77777777" w:rsidTr="0068616C">
        <w:tc>
          <w:tcPr>
            <w:tcW w:w="1670" w:type="dxa"/>
          </w:tcPr>
          <w:p w14:paraId="3479DA48" w14:textId="77777777" w:rsidR="004D7FEE" w:rsidRPr="000A18E7" w:rsidRDefault="004D7FEE" w:rsidP="00103C29">
            <w:pPr>
              <w:pStyle w:val="Body"/>
              <w:jc w:val="both"/>
              <w:rPr>
                <w:b/>
                <w:bCs/>
                <w:noProof/>
                <w:sz w:val="18"/>
                <w:szCs w:val="18"/>
              </w:rPr>
            </w:pPr>
            <w:r w:rsidRPr="000A18E7">
              <w:rPr>
                <w:bCs/>
                <w:noProof/>
                <w:sz w:val="18"/>
                <w:szCs w:val="18"/>
              </w:rPr>
              <w:t>THB</w:t>
            </w:r>
          </w:p>
        </w:tc>
        <w:tc>
          <w:tcPr>
            <w:tcW w:w="7950" w:type="dxa"/>
          </w:tcPr>
          <w:p w14:paraId="41B7CB35" w14:textId="77777777" w:rsidR="004D7FEE" w:rsidRPr="000A18E7" w:rsidRDefault="004D7FEE" w:rsidP="00DE3425">
            <w:pPr>
              <w:pStyle w:val="Body"/>
              <w:spacing w:after="120"/>
              <w:jc w:val="both"/>
              <w:rPr>
                <w:noProof/>
                <w:sz w:val="18"/>
                <w:szCs w:val="18"/>
              </w:rPr>
            </w:pPr>
            <w:r w:rsidRPr="000A18E7">
              <w:rPr>
                <w:noProof/>
                <w:sz w:val="18"/>
                <w:szCs w:val="18"/>
              </w:rPr>
              <w:t>THB has witnessed a constant development in the EU in recent years. In 2018, no less than 14 000 victims were registered in the EU.</w:t>
            </w:r>
            <w:r w:rsidRPr="000A18E7">
              <w:rPr>
                <w:rStyle w:val="FootnoteReference"/>
                <w:noProof/>
                <w:sz w:val="18"/>
                <w:szCs w:val="18"/>
              </w:rPr>
              <w:footnoteReference w:id="268"/>
            </w:r>
            <w:r w:rsidRPr="000A18E7">
              <w:rPr>
                <w:noProof/>
                <w:sz w:val="18"/>
                <w:szCs w:val="18"/>
              </w:rPr>
              <w:t xml:space="preserve"> As long as COVID-19 prevails, the likelihood of THB is expected to decrease. In the long term, the social development that cross-border mobility is increasing and that borders in the Schengen area not subject to controls make it easier for criminals to smuggle human beings from one EU Member State to another. As soon as cross-border mobility reaches at least pre-crisis levels, THB in expected to go up again since there is persistent demand for low-wage workers employed in manual jobs.</w:t>
            </w:r>
            <w:r w:rsidRPr="000A18E7">
              <w:rPr>
                <w:rStyle w:val="FootnoteReference"/>
                <w:noProof/>
                <w:sz w:val="18"/>
                <w:szCs w:val="18"/>
              </w:rPr>
              <w:footnoteReference w:id="269"/>
            </w:r>
            <w:r w:rsidRPr="000A18E7">
              <w:rPr>
                <w:noProof/>
                <w:sz w:val="18"/>
                <w:szCs w:val="18"/>
              </w:rPr>
              <w:t xml:space="preserve"> As concerns technological developments, it is expected that the use of online platforms and services to identify and advertise victims continues to increase in the long term.</w:t>
            </w:r>
            <w:r w:rsidRPr="000A18E7">
              <w:rPr>
                <w:rStyle w:val="FootnoteReference"/>
                <w:noProof/>
                <w:sz w:val="18"/>
                <w:szCs w:val="18"/>
              </w:rPr>
              <w:footnoteReference w:id="270"/>
            </w:r>
            <w:r w:rsidRPr="000A18E7">
              <w:rPr>
                <w:noProof/>
                <w:sz w:val="18"/>
                <w:szCs w:val="18"/>
              </w:rPr>
              <w:t xml:space="preserve"> Furthermore, as identity fraud becomes increasingly sophisticated, traffickers are expected to increasingly use stolen personal data to provide trafficking victims with new identities, which are unlikely to fall within risk categories of LEAs.</w:t>
            </w:r>
            <w:r w:rsidRPr="000A18E7">
              <w:rPr>
                <w:rStyle w:val="FootnoteReference"/>
                <w:noProof/>
                <w:sz w:val="18"/>
                <w:szCs w:val="18"/>
              </w:rPr>
              <w:footnoteReference w:id="271"/>
            </w:r>
          </w:p>
          <w:p w14:paraId="2E80B38E" w14:textId="77777777" w:rsidR="004D7FEE" w:rsidRPr="000A18E7" w:rsidRDefault="004D7FEE" w:rsidP="00DE3425">
            <w:pPr>
              <w:pStyle w:val="Body"/>
              <w:spacing w:after="120"/>
              <w:jc w:val="both"/>
              <w:rPr>
                <w:noProof/>
                <w:sz w:val="18"/>
                <w:szCs w:val="18"/>
              </w:rPr>
            </w:pPr>
            <w:r w:rsidRPr="000A18E7">
              <w:rPr>
                <w:noProof/>
                <w:sz w:val="18"/>
                <w:szCs w:val="18"/>
              </w:rPr>
              <w:t>More specifically, the following types of future trends and dynamics can be identified:</w:t>
            </w:r>
          </w:p>
          <w:p w14:paraId="1A7507E9" w14:textId="77777777" w:rsidR="004D7FEE" w:rsidRPr="000A18E7" w:rsidRDefault="004D7FEE" w:rsidP="00900BC7">
            <w:pPr>
              <w:pStyle w:val="Body"/>
              <w:numPr>
                <w:ilvl w:val="0"/>
                <w:numId w:val="46"/>
              </w:numPr>
              <w:spacing w:before="120" w:after="120"/>
              <w:jc w:val="both"/>
              <w:rPr>
                <w:noProof/>
                <w:sz w:val="18"/>
                <w:szCs w:val="18"/>
              </w:rPr>
            </w:pPr>
            <w:r w:rsidRPr="000A18E7">
              <w:rPr>
                <w:noProof/>
                <w:sz w:val="18"/>
                <w:szCs w:val="18"/>
              </w:rPr>
              <w:t>Traffickers are increasingly making use of psychological and emotional violence and threats, rather than physical abuse, to control victims.</w:t>
            </w:r>
          </w:p>
          <w:p w14:paraId="16BD2766" w14:textId="77777777" w:rsidR="004D7FEE" w:rsidRPr="000A18E7" w:rsidRDefault="004D7FEE" w:rsidP="00900BC7">
            <w:pPr>
              <w:pStyle w:val="Body"/>
              <w:numPr>
                <w:ilvl w:val="0"/>
                <w:numId w:val="46"/>
              </w:numPr>
              <w:spacing w:before="120" w:after="120"/>
              <w:jc w:val="both"/>
              <w:rPr>
                <w:noProof/>
                <w:sz w:val="18"/>
                <w:szCs w:val="18"/>
              </w:rPr>
            </w:pPr>
            <w:r w:rsidRPr="000A18E7">
              <w:rPr>
                <w:noProof/>
                <w:sz w:val="18"/>
                <w:szCs w:val="18"/>
              </w:rPr>
              <w:t>People with developmental and physical disabilities are increasingly being targeted.</w:t>
            </w:r>
          </w:p>
          <w:p w14:paraId="719D3EE8" w14:textId="77777777" w:rsidR="004D7FEE" w:rsidRPr="000A18E7" w:rsidRDefault="004D7FEE" w:rsidP="00900BC7">
            <w:pPr>
              <w:pStyle w:val="Body"/>
              <w:numPr>
                <w:ilvl w:val="0"/>
                <w:numId w:val="46"/>
              </w:numPr>
              <w:spacing w:before="120" w:after="120"/>
              <w:jc w:val="both"/>
              <w:rPr>
                <w:noProof/>
                <w:sz w:val="18"/>
                <w:szCs w:val="18"/>
              </w:rPr>
            </w:pPr>
            <w:r w:rsidRPr="000A18E7">
              <w:rPr>
                <w:noProof/>
                <w:sz w:val="18"/>
                <w:szCs w:val="18"/>
              </w:rPr>
              <w:t>The age of identified victims is decreasing.</w:t>
            </w:r>
          </w:p>
          <w:p w14:paraId="388335BB" w14:textId="77777777" w:rsidR="004D7FEE" w:rsidRPr="000A18E7" w:rsidRDefault="004D7FEE" w:rsidP="00900BC7">
            <w:pPr>
              <w:pStyle w:val="Body"/>
              <w:numPr>
                <w:ilvl w:val="0"/>
                <w:numId w:val="46"/>
              </w:numPr>
              <w:spacing w:before="120" w:after="120"/>
              <w:jc w:val="both"/>
              <w:rPr>
                <w:noProof/>
                <w:sz w:val="18"/>
                <w:szCs w:val="18"/>
              </w:rPr>
            </w:pPr>
            <w:r w:rsidRPr="000A18E7">
              <w:rPr>
                <w:noProof/>
                <w:sz w:val="18"/>
                <w:szCs w:val="18"/>
              </w:rPr>
              <w:t>Traffickers continue to rely on social media, VoIP and instant messaging.</w:t>
            </w:r>
          </w:p>
          <w:p w14:paraId="1CB10CB2" w14:textId="77777777" w:rsidR="004D7FEE" w:rsidRPr="000A18E7" w:rsidRDefault="004D7FEE" w:rsidP="00900BC7">
            <w:pPr>
              <w:pStyle w:val="Body"/>
              <w:numPr>
                <w:ilvl w:val="0"/>
                <w:numId w:val="46"/>
              </w:numPr>
              <w:spacing w:before="120" w:after="120"/>
              <w:jc w:val="both"/>
              <w:rPr>
                <w:noProof/>
                <w:sz w:val="18"/>
                <w:szCs w:val="18"/>
              </w:rPr>
            </w:pPr>
            <w:r w:rsidRPr="000A18E7">
              <w:rPr>
                <w:noProof/>
                <w:sz w:val="18"/>
                <w:szCs w:val="18"/>
              </w:rPr>
              <w:t>Traffickers increasingly use legal businesses that can conceal exploitation, such as hotels and massage parlours.</w:t>
            </w:r>
          </w:p>
        </w:tc>
      </w:tr>
      <w:tr w:rsidR="004D7FEE" w:rsidRPr="000A18E7" w14:paraId="10777345" w14:textId="77777777" w:rsidTr="0068616C">
        <w:tc>
          <w:tcPr>
            <w:tcW w:w="1670" w:type="dxa"/>
          </w:tcPr>
          <w:p w14:paraId="021C9BA4" w14:textId="77777777" w:rsidR="004D7FEE" w:rsidRPr="000A18E7" w:rsidRDefault="004D7FEE" w:rsidP="00103C29">
            <w:pPr>
              <w:pStyle w:val="Body"/>
              <w:jc w:val="both"/>
              <w:rPr>
                <w:b/>
                <w:bCs/>
                <w:noProof/>
                <w:sz w:val="18"/>
                <w:szCs w:val="18"/>
              </w:rPr>
            </w:pPr>
            <w:r w:rsidRPr="000A18E7">
              <w:rPr>
                <w:bCs/>
                <w:noProof/>
                <w:sz w:val="18"/>
                <w:szCs w:val="18"/>
              </w:rPr>
              <w:t>Organised property crime</w:t>
            </w:r>
          </w:p>
        </w:tc>
        <w:tc>
          <w:tcPr>
            <w:tcW w:w="7950" w:type="dxa"/>
          </w:tcPr>
          <w:p w14:paraId="1E8B9921" w14:textId="77777777" w:rsidR="004D7FEE" w:rsidRPr="000A18E7" w:rsidRDefault="004D7FEE" w:rsidP="00DE3425">
            <w:pPr>
              <w:pStyle w:val="Body"/>
              <w:spacing w:after="120"/>
              <w:jc w:val="both"/>
              <w:rPr>
                <w:noProof/>
                <w:sz w:val="18"/>
                <w:szCs w:val="18"/>
              </w:rPr>
            </w:pPr>
            <w:r w:rsidRPr="000A18E7">
              <w:rPr>
                <w:noProof/>
                <w:sz w:val="18"/>
                <w:szCs w:val="18"/>
              </w:rPr>
              <w:t>As long as COVID-19 prevails, the likelihood of organised property crime at private buildings is expected to decrease since people spend more time at their places. Commercial premises and medical facilities, on the other hand, are expected to be increasingly targeted.</w:t>
            </w:r>
            <w:r w:rsidRPr="000A18E7">
              <w:rPr>
                <w:rStyle w:val="FootnoteReference"/>
                <w:noProof/>
                <w:sz w:val="18"/>
                <w:szCs w:val="18"/>
              </w:rPr>
              <w:footnoteReference w:id="272"/>
            </w:r>
            <w:r w:rsidRPr="000A18E7">
              <w:rPr>
                <w:noProof/>
                <w:sz w:val="18"/>
                <w:szCs w:val="18"/>
              </w:rPr>
              <w:t xml:space="preserve"> In the long term, criminals are expected to increasingly use e.g. drones in order to survey residential areas and to look for suitable properties to target.</w:t>
            </w:r>
          </w:p>
          <w:p w14:paraId="42EEC063" w14:textId="77777777" w:rsidR="004D7FEE" w:rsidRPr="000A18E7" w:rsidRDefault="004D7FEE" w:rsidP="00DE3425">
            <w:pPr>
              <w:pStyle w:val="Body"/>
              <w:spacing w:after="120"/>
              <w:jc w:val="both"/>
              <w:rPr>
                <w:noProof/>
                <w:sz w:val="18"/>
                <w:szCs w:val="18"/>
              </w:rPr>
            </w:pPr>
            <w:r w:rsidRPr="000A18E7">
              <w:rPr>
                <w:noProof/>
                <w:sz w:val="18"/>
                <w:szCs w:val="18"/>
              </w:rPr>
              <w:t xml:space="preserve">More specifically, the following types of future trends and dynamics can be identified: </w:t>
            </w:r>
          </w:p>
          <w:p w14:paraId="5C576A8F" w14:textId="77777777" w:rsidR="004D7FEE" w:rsidRPr="000A18E7" w:rsidRDefault="004D7FEE" w:rsidP="00900BC7">
            <w:pPr>
              <w:pStyle w:val="Body"/>
              <w:numPr>
                <w:ilvl w:val="0"/>
                <w:numId w:val="50"/>
              </w:numPr>
              <w:spacing w:before="120" w:after="120"/>
              <w:jc w:val="both"/>
              <w:rPr>
                <w:noProof/>
                <w:sz w:val="18"/>
                <w:szCs w:val="18"/>
              </w:rPr>
            </w:pPr>
            <w:r w:rsidRPr="000A18E7">
              <w:rPr>
                <w:noProof/>
                <w:sz w:val="18"/>
                <w:szCs w:val="18"/>
              </w:rPr>
              <w:t>Domestic burglary, robberies and cargo theft are expected to rise slightly or stabilise.</w:t>
            </w:r>
          </w:p>
          <w:p w14:paraId="209FCC90" w14:textId="77777777" w:rsidR="004D7FEE" w:rsidRPr="000A18E7" w:rsidRDefault="004D7FEE" w:rsidP="00900BC7">
            <w:pPr>
              <w:pStyle w:val="Body"/>
              <w:numPr>
                <w:ilvl w:val="0"/>
                <w:numId w:val="50"/>
              </w:numPr>
              <w:spacing w:before="120" w:after="120"/>
              <w:jc w:val="both"/>
              <w:rPr>
                <w:noProof/>
                <w:sz w:val="18"/>
                <w:szCs w:val="18"/>
              </w:rPr>
            </w:pPr>
            <w:r w:rsidRPr="000A18E7">
              <w:rPr>
                <w:noProof/>
                <w:sz w:val="18"/>
                <w:szCs w:val="18"/>
              </w:rPr>
              <w:t>Motor vehicle theft is expected to stabilise.</w:t>
            </w:r>
          </w:p>
          <w:p w14:paraId="2D777745" w14:textId="77777777" w:rsidR="004D7FEE" w:rsidRPr="000A18E7" w:rsidRDefault="004D7FEE" w:rsidP="00900BC7">
            <w:pPr>
              <w:pStyle w:val="Body"/>
              <w:numPr>
                <w:ilvl w:val="0"/>
                <w:numId w:val="50"/>
              </w:numPr>
              <w:spacing w:before="120" w:after="120"/>
              <w:jc w:val="both"/>
              <w:rPr>
                <w:noProof/>
                <w:sz w:val="18"/>
                <w:szCs w:val="18"/>
              </w:rPr>
            </w:pPr>
            <w:r w:rsidRPr="000A18E7">
              <w:rPr>
                <w:noProof/>
                <w:sz w:val="18"/>
                <w:szCs w:val="18"/>
              </w:rPr>
              <w:t>Profitable and incidences of cultural goods trafficking are expected to continue to grow.</w:t>
            </w:r>
          </w:p>
          <w:p w14:paraId="5B276C6E" w14:textId="77777777" w:rsidR="004D7FEE" w:rsidRPr="000A18E7" w:rsidRDefault="004D7FEE" w:rsidP="00900BC7">
            <w:pPr>
              <w:pStyle w:val="Body"/>
              <w:numPr>
                <w:ilvl w:val="0"/>
                <w:numId w:val="50"/>
              </w:numPr>
              <w:spacing w:before="120" w:after="120"/>
              <w:jc w:val="both"/>
              <w:rPr>
                <w:noProof/>
                <w:sz w:val="18"/>
                <w:szCs w:val="18"/>
              </w:rPr>
            </w:pPr>
            <w:r w:rsidRPr="000A18E7">
              <w:rPr>
                <w:noProof/>
                <w:sz w:val="18"/>
                <w:szCs w:val="18"/>
              </w:rPr>
              <w:t>Social media and GPS allow thieves across all organised property crimes to monitor targets and plan routes.</w:t>
            </w:r>
          </w:p>
          <w:p w14:paraId="1277940D" w14:textId="77777777" w:rsidR="004D7FEE" w:rsidRPr="000A18E7" w:rsidRDefault="004D7FEE" w:rsidP="00900BC7">
            <w:pPr>
              <w:pStyle w:val="Body"/>
              <w:numPr>
                <w:ilvl w:val="0"/>
                <w:numId w:val="50"/>
              </w:numPr>
              <w:spacing w:before="120" w:after="120"/>
              <w:jc w:val="both"/>
              <w:rPr>
                <w:noProof/>
                <w:sz w:val="18"/>
                <w:szCs w:val="18"/>
              </w:rPr>
            </w:pPr>
            <w:r w:rsidRPr="000A18E7">
              <w:rPr>
                <w:noProof/>
                <w:sz w:val="18"/>
                <w:szCs w:val="18"/>
              </w:rPr>
              <w:t>Online platforms are more and more used to sell loot anonymously.</w:t>
            </w:r>
          </w:p>
        </w:tc>
      </w:tr>
      <w:tr w:rsidR="004D7FEE" w:rsidRPr="000A18E7" w14:paraId="2763340A" w14:textId="77777777" w:rsidTr="0068616C">
        <w:tc>
          <w:tcPr>
            <w:tcW w:w="1670" w:type="dxa"/>
          </w:tcPr>
          <w:p w14:paraId="518DC88D" w14:textId="77777777" w:rsidR="004D7FEE" w:rsidRPr="000A18E7" w:rsidRDefault="004D7FEE" w:rsidP="00103C29">
            <w:pPr>
              <w:pStyle w:val="Body"/>
              <w:jc w:val="both"/>
              <w:rPr>
                <w:b/>
                <w:bCs/>
                <w:noProof/>
                <w:sz w:val="18"/>
                <w:szCs w:val="18"/>
              </w:rPr>
            </w:pPr>
            <w:r w:rsidRPr="000A18E7">
              <w:rPr>
                <w:bCs/>
                <w:noProof/>
                <w:sz w:val="18"/>
                <w:szCs w:val="18"/>
              </w:rPr>
              <w:t>Environmental crime</w:t>
            </w:r>
          </w:p>
        </w:tc>
        <w:tc>
          <w:tcPr>
            <w:tcW w:w="7950" w:type="dxa"/>
          </w:tcPr>
          <w:p w14:paraId="4753A2B0" w14:textId="77777777" w:rsidR="004D7FEE" w:rsidRPr="000A18E7" w:rsidRDefault="004D7FEE" w:rsidP="00DE3425">
            <w:pPr>
              <w:pStyle w:val="Body"/>
              <w:spacing w:after="120"/>
              <w:jc w:val="both"/>
              <w:rPr>
                <w:noProof/>
                <w:sz w:val="18"/>
                <w:szCs w:val="18"/>
              </w:rPr>
            </w:pPr>
            <w:r w:rsidRPr="000A18E7">
              <w:rPr>
                <w:noProof/>
                <w:sz w:val="18"/>
                <w:szCs w:val="18"/>
              </w:rPr>
              <w:t>A short-term social development relates to COVID-19 waste crime. Since the outbreak of the COVID-19 pandemic, there has been an increase in growth in unlawful sanitary waste treatment and disposal.</w:t>
            </w:r>
            <w:r w:rsidRPr="000A18E7">
              <w:rPr>
                <w:rStyle w:val="FootnoteReference"/>
                <w:noProof/>
                <w:sz w:val="18"/>
                <w:szCs w:val="18"/>
              </w:rPr>
              <w:footnoteReference w:id="273"/>
            </w:r>
            <w:r w:rsidRPr="000A18E7">
              <w:rPr>
                <w:noProof/>
                <w:sz w:val="18"/>
                <w:szCs w:val="18"/>
              </w:rPr>
              <w:t xml:space="preserve"> In the long term, it is expected that this criminal activity will decrease and go down to pre-crisis levels. As concerns technological developments, the increasing reliance on technology in all areas of life and the built-in obsolescence for many devices generate unprecedented amounts of e-waste in the form of e.g. discarded devices, which is increasingly exploited by OCGs. Electronic devices containing precious metals such as gold or palladium are trafficked on a global scale just like drugs or firearms. In the long term, the illicit trade in e-waste is expected to grow both in terms of quantities traded and in the quality of the methods used by criminals.</w:t>
            </w:r>
            <w:r w:rsidRPr="000A18E7">
              <w:rPr>
                <w:rStyle w:val="FootnoteReference"/>
                <w:noProof/>
                <w:sz w:val="18"/>
                <w:szCs w:val="18"/>
              </w:rPr>
              <w:footnoteReference w:id="274"/>
            </w:r>
          </w:p>
          <w:p w14:paraId="27E659E7" w14:textId="77777777" w:rsidR="004D7FEE" w:rsidRPr="000A18E7" w:rsidRDefault="004D7FEE" w:rsidP="00DE3425">
            <w:pPr>
              <w:pStyle w:val="Body"/>
              <w:spacing w:after="120"/>
              <w:jc w:val="both"/>
              <w:rPr>
                <w:noProof/>
                <w:sz w:val="18"/>
                <w:szCs w:val="18"/>
              </w:rPr>
            </w:pPr>
            <w:r w:rsidRPr="000A18E7">
              <w:rPr>
                <w:noProof/>
                <w:sz w:val="18"/>
                <w:szCs w:val="18"/>
              </w:rPr>
              <w:t xml:space="preserve">More specifically, the following types of future trends and dynamics can be identified: </w:t>
            </w:r>
          </w:p>
          <w:p w14:paraId="4B13A9EA" w14:textId="77777777" w:rsidR="004D7FEE" w:rsidRPr="000A18E7" w:rsidRDefault="004D7FEE" w:rsidP="00900BC7">
            <w:pPr>
              <w:pStyle w:val="Body"/>
              <w:numPr>
                <w:ilvl w:val="0"/>
                <w:numId w:val="47"/>
              </w:numPr>
              <w:spacing w:before="120" w:after="120"/>
              <w:jc w:val="both"/>
              <w:rPr>
                <w:noProof/>
                <w:sz w:val="18"/>
                <w:szCs w:val="18"/>
              </w:rPr>
            </w:pPr>
            <w:r w:rsidRPr="000A18E7">
              <w:rPr>
                <w:noProof/>
                <w:sz w:val="18"/>
                <w:szCs w:val="18"/>
              </w:rPr>
              <w:t>Illegal waste shipments are re-routed to emerging important countries, especially in South and South-East Asia, since the ban of solid waste important by China in 2018.</w:t>
            </w:r>
          </w:p>
          <w:p w14:paraId="4C6A5C49" w14:textId="77777777" w:rsidR="004D7FEE" w:rsidRPr="000A18E7" w:rsidRDefault="004D7FEE" w:rsidP="00900BC7">
            <w:pPr>
              <w:pStyle w:val="Body"/>
              <w:numPr>
                <w:ilvl w:val="0"/>
                <w:numId w:val="47"/>
              </w:numPr>
              <w:spacing w:before="120" w:after="120"/>
              <w:jc w:val="both"/>
              <w:rPr>
                <w:noProof/>
                <w:sz w:val="18"/>
                <w:szCs w:val="18"/>
              </w:rPr>
            </w:pPr>
            <w:r w:rsidRPr="000A18E7">
              <w:rPr>
                <w:noProof/>
                <w:sz w:val="18"/>
                <w:szCs w:val="18"/>
              </w:rPr>
              <w:t>Waste Electrical and Electronic Equipment and end of life vehicles are emerging sub-markets in the illegal waste market.</w:t>
            </w:r>
          </w:p>
        </w:tc>
      </w:tr>
      <w:tr w:rsidR="004D7FEE" w:rsidRPr="000A18E7" w14:paraId="0AA7A38D" w14:textId="77777777" w:rsidTr="0068616C">
        <w:tc>
          <w:tcPr>
            <w:tcW w:w="1670" w:type="dxa"/>
          </w:tcPr>
          <w:p w14:paraId="23D01D1B" w14:textId="77777777" w:rsidR="004D7FEE" w:rsidRPr="000A18E7" w:rsidRDefault="004D7FEE" w:rsidP="00103C29">
            <w:pPr>
              <w:pStyle w:val="Body"/>
              <w:jc w:val="both"/>
              <w:rPr>
                <w:b/>
                <w:bCs/>
                <w:noProof/>
                <w:sz w:val="18"/>
                <w:szCs w:val="18"/>
              </w:rPr>
            </w:pPr>
            <w:r w:rsidRPr="000A18E7">
              <w:rPr>
                <w:bCs/>
                <w:noProof/>
                <w:sz w:val="18"/>
                <w:szCs w:val="18"/>
              </w:rPr>
              <w:t>Trafficking of firearms</w:t>
            </w:r>
          </w:p>
        </w:tc>
        <w:tc>
          <w:tcPr>
            <w:tcW w:w="7950" w:type="dxa"/>
          </w:tcPr>
          <w:p w14:paraId="01F95480" w14:textId="77777777" w:rsidR="004D7FEE" w:rsidRPr="000A18E7" w:rsidRDefault="004D7FEE" w:rsidP="00DE3425">
            <w:pPr>
              <w:pStyle w:val="Body"/>
              <w:spacing w:after="120"/>
              <w:jc w:val="both"/>
              <w:rPr>
                <w:noProof/>
                <w:sz w:val="18"/>
                <w:szCs w:val="18"/>
              </w:rPr>
            </w:pPr>
            <w:r w:rsidRPr="000A18E7">
              <w:rPr>
                <w:noProof/>
                <w:sz w:val="18"/>
                <w:szCs w:val="18"/>
              </w:rPr>
              <w:t>The development of firearms trafficking has been rather constant in the EU in recent years.</w:t>
            </w:r>
            <w:r w:rsidRPr="000A18E7">
              <w:rPr>
                <w:noProof/>
                <w:sz w:val="18"/>
                <w:szCs w:val="18"/>
                <w:vertAlign w:val="superscript"/>
              </w:rPr>
              <w:footnoteReference w:id="275"/>
            </w:r>
            <w:r w:rsidRPr="000A18E7">
              <w:rPr>
                <w:noProof/>
                <w:sz w:val="18"/>
                <w:szCs w:val="18"/>
              </w:rPr>
              <w:t xml:space="preserve"> The increasing trade globalisation, the absence of border controls inside the EU and the availability of new and anonymous payment methods will likely increase trafficking of firearms in the future. Moreover, the technological development of 3D printing enables criminals to exploit new opportunities for firearm trafficking.</w:t>
            </w:r>
            <w:r w:rsidRPr="000A18E7">
              <w:rPr>
                <w:rStyle w:val="FootnoteReference"/>
                <w:noProof/>
                <w:sz w:val="18"/>
                <w:szCs w:val="18"/>
              </w:rPr>
              <w:footnoteReference w:id="276"/>
            </w:r>
            <w:r w:rsidRPr="000A18E7">
              <w:rPr>
                <w:noProof/>
                <w:sz w:val="18"/>
                <w:szCs w:val="18"/>
              </w:rPr>
              <w:t xml:space="preserve"> </w:t>
            </w:r>
          </w:p>
          <w:p w14:paraId="3A46D515" w14:textId="77777777" w:rsidR="004D7FEE" w:rsidRPr="000A18E7" w:rsidRDefault="004D7FEE" w:rsidP="00DE3425">
            <w:pPr>
              <w:pStyle w:val="Body"/>
              <w:spacing w:after="120"/>
              <w:jc w:val="both"/>
              <w:rPr>
                <w:noProof/>
                <w:sz w:val="18"/>
                <w:szCs w:val="18"/>
              </w:rPr>
            </w:pPr>
            <w:r w:rsidRPr="000A18E7">
              <w:rPr>
                <w:noProof/>
                <w:sz w:val="18"/>
                <w:szCs w:val="18"/>
              </w:rPr>
              <w:t>More specifically, the following types of future trends and dynamics can be identified:</w:t>
            </w:r>
          </w:p>
          <w:p w14:paraId="4A694AE3" w14:textId="77777777" w:rsidR="004D7FEE" w:rsidRPr="000A18E7" w:rsidRDefault="004D7FEE" w:rsidP="00900BC7">
            <w:pPr>
              <w:pStyle w:val="Body"/>
              <w:numPr>
                <w:ilvl w:val="0"/>
                <w:numId w:val="48"/>
              </w:numPr>
              <w:spacing w:before="120" w:after="120"/>
              <w:jc w:val="both"/>
              <w:rPr>
                <w:noProof/>
                <w:sz w:val="18"/>
                <w:szCs w:val="18"/>
              </w:rPr>
            </w:pPr>
            <w:r w:rsidRPr="000A18E7">
              <w:rPr>
                <w:noProof/>
                <w:sz w:val="18"/>
                <w:szCs w:val="18"/>
              </w:rPr>
              <w:t>There is an increased availability of weapons.</w:t>
            </w:r>
          </w:p>
          <w:p w14:paraId="446AD283" w14:textId="77777777" w:rsidR="004D7FEE" w:rsidRPr="000A18E7" w:rsidRDefault="004D7FEE" w:rsidP="00900BC7">
            <w:pPr>
              <w:pStyle w:val="Body"/>
              <w:numPr>
                <w:ilvl w:val="0"/>
                <w:numId w:val="48"/>
              </w:numPr>
              <w:spacing w:before="120" w:after="120"/>
              <w:jc w:val="both"/>
              <w:rPr>
                <w:noProof/>
                <w:sz w:val="18"/>
                <w:szCs w:val="18"/>
              </w:rPr>
            </w:pPr>
            <w:r w:rsidRPr="000A18E7">
              <w:rPr>
                <w:noProof/>
                <w:sz w:val="18"/>
                <w:szCs w:val="18"/>
              </w:rPr>
              <w:t>The dark net is increasingly used to sell firearms.</w:t>
            </w:r>
          </w:p>
          <w:p w14:paraId="511AC295" w14:textId="77777777" w:rsidR="004D7FEE" w:rsidRPr="000A18E7" w:rsidRDefault="004D7FEE" w:rsidP="00900BC7">
            <w:pPr>
              <w:pStyle w:val="Body"/>
              <w:numPr>
                <w:ilvl w:val="0"/>
                <w:numId w:val="48"/>
              </w:numPr>
              <w:spacing w:before="120" w:after="120"/>
              <w:jc w:val="both"/>
              <w:rPr>
                <w:noProof/>
                <w:sz w:val="18"/>
                <w:szCs w:val="18"/>
              </w:rPr>
            </w:pPr>
            <w:r w:rsidRPr="000A18E7">
              <w:rPr>
                <w:noProof/>
                <w:sz w:val="18"/>
                <w:szCs w:val="18"/>
              </w:rPr>
              <w:t xml:space="preserve">Conflict areas were and still are a source of illicit firearms. </w:t>
            </w:r>
          </w:p>
        </w:tc>
      </w:tr>
      <w:tr w:rsidR="004D7FEE" w:rsidRPr="000A18E7" w14:paraId="170888AB" w14:textId="77777777" w:rsidTr="0068616C">
        <w:tc>
          <w:tcPr>
            <w:tcW w:w="1670" w:type="dxa"/>
          </w:tcPr>
          <w:p w14:paraId="5C3A0E65" w14:textId="77777777" w:rsidR="004D7FEE" w:rsidRPr="000A18E7" w:rsidRDefault="004D7FEE" w:rsidP="00103C29">
            <w:pPr>
              <w:pStyle w:val="Body"/>
              <w:jc w:val="both"/>
              <w:rPr>
                <w:b/>
                <w:bCs/>
                <w:noProof/>
                <w:sz w:val="18"/>
                <w:szCs w:val="18"/>
              </w:rPr>
            </w:pPr>
            <w:r w:rsidRPr="000A18E7">
              <w:rPr>
                <w:bCs/>
                <w:noProof/>
                <w:sz w:val="18"/>
                <w:szCs w:val="18"/>
              </w:rPr>
              <w:t>Illegal immigration</w:t>
            </w:r>
          </w:p>
        </w:tc>
        <w:tc>
          <w:tcPr>
            <w:tcW w:w="7950" w:type="dxa"/>
          </w:tcPr>
          <w:p w14:paraId="3A471F0B" w14:textId="77777777" w:rsidR="004D7FEE" w:rsidRPr="000A18E7" w:rsidRDefault="004D7FEE" w:rsidP="00DE3425">
            <w:pPr>
              <w:pStyle w:val="Body"/>
              <w:spacing w:after="120"/>
              <w:jc w:val="both"/>
              <w:rPr>
                <w:noProof/>
                <w:sz w:val="18"/>
                <w:szCs w:val="18"/>
              </w:rPr>
            </w:pPr>
            <w:r w:rsidRPr="000A18E7">
              <w:rPr>
                <w:noProof/>
                <w:sz w:val="18"/>
                <w:szCs w:val="18"/>
              </w:rPr>
              <w:t>Illegal immigration has been continuously increasing in the recent past with a peak during the refugee crisis in 2015 and is expected to continue to increase.</w:t>
            </w:r>
            <w:r w:rsidRPr="000A18E7">
              <w:rPr>
                <w:rStyle w:val="FootnoteReference"/>
                <w:noProof/>
                <w:sz w:val="18"/>
                <w:szCs w:val="18"/>
              </w:rPr>
              <w:footnoteReference w:id="277"/>
            </w:r>
            <w:r w:rsidRPr="000A18E7">
              <w:rPr>
                <w:noProof/>
                <w:sz w:val="18"/>
                <w:szCs w:val="18"/>
              </w:rPr>
              <w:t xml:space="preserve"> The increasing exploitation of Big Data and personal data enables criminals to carry out complex identity frauds.</w:t>
            </w:r>
            <w:r w:rsidRPr="000A18E7">
              <w:rPr>
                <w:rStyle w:val="FootnoteReference"/>
                <w:noProof/>
                <w:sz w:val="18"/>
                <w:szCs w:val="18"/>
              </w:rPr>
              <w:footnoteReference w:id="278"/>
            </w:r>
            <w:r w:rsidRPr="000A18E7">
              <w:rPr>
                <w:noProof/>
                <w:sz w:val="18"/>
                <w:szCs w:val="18"/>
              </w:rPr>
              <w:t xml:space="preserve"> For instance, criminals can sell these stolen identities to irregular immigrants who wish to enter the EU. As long as COVID-19 prevails, the likelihood of illegal immigration is expected to slightly decrease. However, in the long term, technological developments in relation to identity frauds enable criminals to increase the severity of crime in the area of illegal immigration.</w:t>
            </w:r>
          </w:p>
          <w:p w14:paraId="4CEB2A1E" w14:textId="77777777" w:rsidR="004D7FEE" w:rsidRPr="000A18E7" w:rsidRDefault="004D7FEE" w:rsidP="00DE3425">
            <w:pPr>
              <w:pStyle w:val="Body"/>
              <w:spacing w:after="120"/>
              <w:jc w:val="both"/>
              <w:rPr>
                <w:noProof/>
                <w:sz w:val="18"/>
                <w:szCs w:val="18"/>
              </w:rPr>
            </w:pPr>
            <w:r w:rsidRPr="000A18E7">
              <w:rPr>
                <w:noProof/>
                <w:sz w:val="18"/>
                <w:szCs w:val="18"/>
              </w:rPr>
              <w:t>More specifically, the following types of future trends and dynamics can be identified:</w:t>
            </w:r>
          </w:p>
          <w:p w14:paraId="74BBA66C" w14:textId="77777777" w:rsidR="004D7FEE" w:rsidRPr="000A18E7" w:rsidRDefault="004D7FEE" w:rsidP="00900BC7">
            <w:pPr>
              <w:pStyle w:val="Body"/>
              <w:numPr>
                <w:ilvl w:val="0"/>
                <w:numId w:val="52"/>
              </w:numPr>
              <w:spacing w:before="120" w:after="120"/>
              <w:jc w:val="both"/>
              <w:rPr>
                <w:noProof/>
                <w:sz w:val="18"/>
                <w:szCs w:val="18"/>
              </w:rPr>
            </w:pPr>
            <w:r w:rsidRPr="000A18E7">
              <w:rPr>
                <w:noProof/>
                <w:sz w:val="18"/>
                <w:szCs w:val="18"/>
              </w:rPr>
              <w:t>The routes taken and country of origin evolve over time. The Eastern Mediterranean route is expected to remain a focus of the smuggling of migrants.</w:t>
            </w:r>
          </w:p>
          <w:p w14:paraId="5DEC8228" w14:textId="77777777" w:rsidR="004D7FEE" w:rsidRPr="000A18E7" w:rsidRDefault="004D7FEE" w:rsidP="00900BC7">
            <w:pPr>
              <w:pStyle w:val="Body"/>
              <w:numPr>
                <w:ilvl w:val="0"/>
                <w:numId w:val="52"/>
              </w:numPr>
              <w:spacing w:before="120" w:after="120"/>
              <w:jc w:val="both"/>
              <w:rPr>
                <w:noProof/>
                <w:sz w:val="18"/>
                <w:szCs w:val="18"/>
              </w:rPr>
            </w:pPr>
            <w:r w:rsidRPr="000A18E7">
              <w:rPr>
                <w:noProof/>
                <w:sz w:val="18"/>
                <w:szCs w:val="18"/>
              </w:rPr>
              <w:t>Hubs where demand and supply of smuggling services meet are rather stable over time.</w:t>
            </w:r>
          </w:p>
          <w:p w14:paraId="554A1B5C" w14:textId="77777777" w:rsidR="004D7FEE" w:rsidRPr="000A18E7" w:rsidRDefault="004D7FEE" w:rsidP="00900BC7">
            <w:pPr>
              <w:pStyle w:val="Body"/>
              <w:numPr>
                <w:ilvl w:val="0"/>
                <w:numId w:val="52"/>
              </w:numPr>
              <w:spacing w:before="120" w:after="120"/>
              <w:jc w:val="both"/>
              <w:rPr>
                <w:noProof/>
                <w:sz w:val="18"/>
                <w:szCs w:val="18"/>
              </w:rPr>
            </w:pPr>
            <w:r w:rsidRPr="000A18E7">
              <w:rPr>
                <w:noProof/>
                <w:sz w:val="18"/>
                <w:szCs w:val="18"/>
              </w:rPr>
              <w:t xml:space="preserve">There can be an increase in the number of fraudulent documents as part of an increase in the abuse of legal channels to get into the EU. </w:t>
            </w:r>
          </w:p>
        </w:tc>
      </w:tr>
    </w:tbl>
    <w:p w14:paraId="3D6FBF58" w14:textId="77777777" w:rsidR="004D7FEE" w:rsidRPr="00970640" w:rsidRDefault="00414CF9" w:rsidP="00103C29">
      <w:pPr>
        <w:jc w:val="both"/>
        <w:rPr>
          <w:rFonts w:ascii="Verdana" w:hAnsi="Verdana"/>
          <w:i/>
          <w:noProof/>
          <w:color w:val="7F7F7F" w:themeColor="text1" w:themeTint="80"/>
          <w:sz w:val="18"/>
          <w:szCs w:val="18"/>
        </w:rPr>
      </w:pPr>
      <w:r w:rsidRPr="00970640">
        <w:rPr>
          <w:rStyle w:val="SubtleEmphasis"/>
          <w:noProof/>
          <w:sz w:val="16"/>
          <w:szCs w:val="18"/>
        </w:rPr>
        <w:t xml:space="preserve">Source: </w:t>
      </w:r>
      <w:r w:rsidRPr="00704502">
        <w:rPr>
          <w:rFonts w:ascii="Verdana" w:hAnsi="Verdana"/>
          <w:i/>
          <w:noProof/>
          <w:color w:val="7F7F7F" w:themeColor="text1" w:themeTint="80"/>
          <w:sz w:val="16"/>
          <w:szCs w:val="18"/>
        </w:rPr>
        <w:t>EY/RAND Europe Study’s elaboration</w:t>
      </w:r>
      <w:r w:rsidRPr="00970640">
        <w:rPr>
          <w:rStyle w:val="SubtleEmphasis"/>
          <w:noProof/>
          <w:sz w:val="16"/>
          <w:szCs w:val="18"/>
        </w:rPr>
        <w:t xml:space="preserve"> </w:t>
      </w:r>
      <w:r w:rsidR="004D7FEE" w:rsidRPr="00704502">
        <w:rPr>
          <w:rStyle w:val="SubtleEmphasis"/>
          <w:noProof/>
          <w:sz w:val="16"/>
          <w:szCs w:val="18"/>
        </w:rPr>
        <w:t>based on desk research</w:t>
      </w:r>
    </w:p>
    <w:p w14:paraId="030C67CB" w14:textId="77777777" w:rsidR="004D7FEE" w:rsidRPr="00103C29" w:rsidRDefault="004D7FEE" w:rsidP="00DE3425">
      <w:pPr>
        <w:pStyle w:val="Body"/>
        <w:spacing w:after="120"/>
        <w:jc w:val="both"/>
        <w:rPr>
          <w:rFonts w:ascii="Times New Roman" w:hAnsi="Times New Roman"/>
          <w:b/>
          <w:i/>
          <w:noProof/>
          <w:sz w:val="24"/>
          <w:u w:val="single"/>
        </w:rPr>
      </w:pPr>
      <w:r w:rsidRPr="00103C29">
        <w:rPr>
          <w:rFonts w:ascii="Times New Roman" w:hAnsi="Times New Roman"/>
          <w:b/>
          <w:i/>
          <w:noProof/>
          <w:sz w:val="24"/>
          <w:u w:val="single"/>
        </w:rPr>
        <w:t>How do LEAs use technological developments and how are they affected by the latest social developments?</w:t>
      </w:r>
    </w:p>
    <w:p w14:paraId="0DF67B8A" w14:textId="77777777"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b/>
          <w:bCs/>
          <w:noProof/>
          <w:sz w:val="24"/>
        </w:rPr>
        <w:t>Social developments</w:t>
      </w:r>
      <w:r w:rsidRPr="00103C29">
        <w:rPr>
          <w:rFonts w:ascii="Times New Roman" w:hAnsi="Times New Roman"/>
          <w:noProof/>
          <w:sz w:val="24"/>
        </w:rPr>
        <w:t xml:space="preserve"> affect to all areas of SOC, requiring LEAs to increasingly cooperate across-borders. Especially in the long-term, social developments such as increased intra-EU mobility and increasingly globalised criminal markets will put LEAs in front of operational challenges. Notably, the increasing prevalence and severity of SOC will likely require LEAs to involve more offices and officials, to invest more time and to handle higher costs caused by more and more intense joint operations. Particularly the shift to the online world will put LEAs in front of operational challenges. The increasing digitalisation and use of social media go hand in hand with the increasing spread of misinformation, fake news and conspiracy theories. Europol anticipates that the use of deep fakes will become a serious challenge for the digital environment.</w:t>
      </w:r>
      <w:r w:rsidRPr="00103C29">
        <w:rPr>
          <w:rStyle w:val="FootnoteReference"/>
          <w:rFonts w:ascii="Times New Roman" w:hAnsi="Times New Roman"/>
          <w:noProof/>
          <w:sz w:val="24"/>
        </w:rPr>
        <w:footnoteReference w:id="279"/>
      </w:r>
      <w:r w:rsidRPr="00103C29">
        <w:rPr>
          <w:rFonts w:ascii="Times New Roman" w:hAnsi="Times New Roman"/>
          <w:noProof/>
          <w:sz w:val="24"/>
        </w:rPr>
        <w:t xml:space="preserve"> However, LEAs have limited powers to counter this information manipulation which can in the end distort political discourse or manipulate elections.</w:t>
      </w:r>
    </w:p>
    <w:p w14:paraId="20112D10" w14:textId="77777777"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 xml:space="preserve">As regards </w:t>
      </w:r>
      <w:r w:rsidRPr="00103C29">
        <w:rPr>
          <w:rFonts w:ascii="Times New Roman" w:hAnsi="Times New Roman"/>
          <w:b/>
          <w:noProof/>
          <w:sz w:val="24"/>
        </w:rPr>
        <w:t>technological developments</w:t>
      </w:r>
      <w:r w:rsidRPr="00103C29">
        <w:rPr>
          <w:rFonts w:ascii="Times New Roman" w:hAnsi="Times New Roman"/>
          <w:noProof/>
          <w:sz w:val="24"/>
        </w:rPr>
        <w:t>, in the short term, LEAs face operational challenges such as limited interoperability of national law enforcement databases</w:t>
      </w:r>
      <w:r w:rsidRPr="00103C29" w:rsidDel="00B43BBC">
        <w:rPr>
          <w:rFonts w:ascii="Times New Roman" w:hAnsi="Times New Roman"/>
          <w:noProof/>
          <w:sz w:val="24"/>
        </w:rPr>
        <w:t xml:space="preserve"> </w:t>
      </w:r>
      <w:r w:rsidRPr="00103C29">
        <w:rPr>
          <w:rFonts w:ascii="Times New Roman" w:hAnsi="Times New Roman"/>
          <w:noProof/>
          <w:sz w:val="24"/>
        </w:rPr>
        <w:t>and limited knowledge of available databases</w:t>
      </w:r>
      <w:r w:rsidRPr="00103C29">
        <w:rPr>
          <w:rStyle w:val="FootnoteReference"/>
          <w:rFonts w:ascii="Times New Roman" w:hAnsi="Times New Roman"/>
          <w:noProof/>
          <w:sz w:val="24"/>
        </w:rPr>
        <w:footnoteReference w:id="280"/>
      </w:r>
      <w:r w:rsidRPr="00103C29">
        <w:rPr>
          <w:rFonts w:ascii="Times New Roman" w:hAnsi="Times New Roman"/>
          <w:noProof/>
          <w:sz w:val="24"/>
        </w:rPr>
        <w:t>. These challenges could reasonably remain prominent in the near future but are expected to decrease in the long term. As these operational technological challenges decrease, LEAs will with some certainty increase their capabilities to fight the prevalence and severity of SOC in the long term, also in light of the increasing availability of advanced technologies which can be used by them. Looking at robotics as a reference, LEAs are expected to increasingly use drones as patrol drones at borders. For instance, Frontex considers observing refugees in the central and eastern Mediterranean with drones developed by the military</w:t>
      </w:r>
      <w:r w:rsidRPr="00103C29">
        <w:rPr>
          <w:rStyle w:val="FootnoteReference"/>
          <w:rFonts w:ascii="Times New Roman" w:hAnsi="Times New Roman"/>
          <w:noProof/>
          <w:sz w:val="24"/>
        </w:rPr>
        <w:footnoteReference w:id="281"/>
      </w:r>
      <w:r w:rsidRPr="00103C29">
        <w:rPr>
          <w:rFonts w:ascii="Times New Roman" w:hAnsi="Times New Roman"/>
          <w:noProof/>
          <w:sz w:val="24"/>
        </w:rPr>
        <w:t>, whereas this form of surveillance is already common practice in the United States.</w:t>
      </w:r>
    </w:p>
    <w:p w14:paraId="4A12BC5C" w14:textId="77777777"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AI has emerged as the most promising technology to enhance law enforcement surveillance.</w:t>
      </w:r>
      <w:r w:rsidRPr="00103C29">
        <w:rPr>
          <w:rStyle w:val="FootnoteReference"/>
          <w:rFonts w:ascii="Times New Roman" w:hAnsi="Times New Roman"/>
          <w:noProof/>
          <w:sz w:val="24"/>
        </w:rPr>
        <w:footnoteReference w:id="282"/>
      </w:r>
      <w:r w:rsidRPr="00103C29">
        <w:rPr>
          <w:rFonts w:ascii="Times New Roman" w:hAnsi="Times New Roman"/>
          <w:noProof/>
          <w:sz w:val="24"/>
        </w:rPr>
        <w:t xml:space="preserve"> The application of AI technology will likely increase as LEAs aim to rely on a more data-driven approach to criminal investigations. The expected result of this is that LEAs will enhance detection rates and will more often succeed in detecting complex structures of criminal activity when combatting serious and OCGs. The following illustrative cases show how AI can be applied in different areas of SOC and how it continues to gain importance in the near future: </w:t>
      </w:r>
    </w:p>
    <w:p w14:paraId="2BF2F26F" w14:textId="77777777" w:rsidR="004D7FEE" w:rsidRPr="000A18E7" w:rsidRDefault="004D7FEE" w:rsidP="00D62BA5">
      <w:pPr>
        <w:pStyle w:val="Caption"/>
        <w:keepNext/>
        <w:jc w:val="center"/>
        <w:rPr>
          <w:noProof/>
          <w:lang w:val="en-GB"/>
        </w:rPr>
      </w:pPr>
      <w:r w:rsidRPr="000A18E7">
        <w:rPr>
          <w:noProof/>
          <w:lang w:val="en-GB"/>
        </w:rPr>
        <w:t>Overview of potential uses of AI by LEAs for different crime areas</w:t>
      </w:r>
    </w:p>
    <w:tbl>
      <w:tblPr>
        <w:tblStyle w:val="TableGrid"/>
        <w:tblW w:w="0" w:type="auto"/>
        <w:tblLook w:val="04A0" w:firstRow="1" w:lastRow="0" w:firstColumn="1" w:lastColumn="0" w:noHBand="0" w:noVBand="1"/>
      </w:tblPr>
      <w:tblGrid>
        <w:gridCol w:w="4810"/>
        <w:gridCol w:w="4810"/>
      </w:tblGrid>
      <w:tr w:rsidR="004D7FEE" w:rsidRPr="000A18E7" w14:paraId="20E585F3" w14:textId="77777777" w:rsidTr="0068616C">
        <w:trPr>
          <w:tblHeader/>
        </w:trPr>
        <w:tc>
          <w:tcPr>
            <w:tcW w:w="0" w:type="dxa"/>
            <w:shd w:val="clear" w:color="auto" w:fill="F2F2F2"/>
          </w:tcPr>
          <w:p w14:paraId="224B4951" w14:textId="77777777" w:rsidR="004D7FEE" w:rsidRPr="000A18E7" w:rsidRDefault="004D7FEE" w:rsidP="00103C29">
            <w:pPr>
              <w:pStyle w:val="Body"/>
              <w:jc w:val="both"/>
              <w:rPr>
                <w:noProof/>
                <w:sz w:val="18"/>
                <w:szCs w:val="18"/>
              </w:rPr>
            </w:pPr>
            <w:r w:rsidRPr="000A18E7">
              <w:rPr>
                <w:noProof/>
                <w:sz w:val="18"/>
                <w:szCs w:val="18"/>
              </w:rPr>
              <w:t>Crime areas</w:t>
            </w:r>
          </w:p>
        </w:tc>
        <w:tc>
          <w:tcPr>
            <w:tcW w:w="0" w:type="dxa"/>
            <w:shd w:val="clear" w:color="auto" w:fill="F2F2F2"/>
          </w:tcPr>
          <w:p w14:paraId="3D487CB8" w14:textId="77777777" w:rsidR="004D7FEE" w:rsidRPr="000A18E7" w:rsidRDefault="004D7FEE" w:rsidP="00103C29">
            <w:pPr>
              <w:pStyle w:val="Body"/>
              <w:jc w:val="both"/>
              <w:rPr>
                <w:noProof/>
                <w:sz w:val="18"/>
                <w:szCs w:val="18"/>
              </w:rPr>
            </w:pPr>
            <w:r w:rsidRPr="000A18E7">
              <w:rPr>
                <w:noProof/>
                <w:sz w:val="18"/>
                <w:szCs w:val="18"/>
              </w:rPr>
              <w:t>Potential use of AI by LEAs</w:t>
            </w:r>
          </w:p>
        </w:tc>
      </w:tr>
      <w:tr w:rsidR="004D7FEE" w:rsidRPr="000A18E7" w14:paraId="39CF26E2" w14:textId="77777777" w:rsidTr="0068616C">
        <w:tc>
          <w:tcPr>
            <w:tcW w:w="4810" w:type="dxa"/>
          </w:tcPr>
          <w:p w14:paraId="20506C5C" w14:textId="77777777" w:rsidR="004D7FEE" w:rsidRPr="00D03B86" w:rsidRDefault="004D7FEE" w:rsidP="00103C29">
            <w:pPr>
              <w:pStyle w:val="Body"/>
              <w:jc w:val="both"/>
              <w:rPr>
                <w:noProof/>
                <w:sz w:val="18"/>
                <w:szCs w:val="18"/>
                <w:lang w:val="fr-BE"/>
              </w:rPr>
            </w:pPr>
            <w:r w:rsidRPr="00D03B86">
              <w:rPr>
                <w:noProof/>
                <w:sz w:val="18"/>
                <w:szCs w:val="18"/>
                <w:lang w:val="fr-BE"/>
              </w:rPr>
              <w:t>Cybercrime, financial crime, THB, illegal immigration</w:t>
            </w:r>
          </w:p>
        </w:tc>
        <w:tc>
          <w:tcPr>
            <w:tcW w:w="4810" w:type="dxa"/>
          </w:tcPr>
          <w:p w14:paraId="4859B7EC" w14:textId="77777777" w:rsidR="004D7FEE" w:rsidRPr="000A18E7" w:rsidRDefault="004D7FEE" w:rsidP="00103C29">
            <w:pPr>
              <w:pStyle w:val="Body"/>
              <w:jc w:val="both"/>
              <w:rPr>
                <w:noProof/>
                <w:sz w:val="18"/>
                <w:szCs w:val="18"/>
              </w:rPr>
            </w:pPr>
            <w:r w:rsidRPr="000A18E7">
              <w:rPr>
                <w:noProof/>
                <w:sz w:val="18"/>
                <w:szCs w:val="18"/>
              </w:rPr>
              <w:t>AI can be used to combat online child sexual abuse or terrorist use of social media.</w:t>
            </w:r>
            <w:r w:rsidRPr="000A18E7">
              <w:rPr>
                <w:rStyle w:val="FootnoteReference"/>
                <w:noProof/>
                <w:sz w:val="18"/>
                <w:szCs w:val="18"/>
              </w:rPr>
              <w:footnoteReference w:id="283"/>
            </w:r>
            <w:r w:rsidRPr="000A18E7">
              <w:rPr>
                <w:noProof/>
                <w:sz w:val="18"/>
                <w:szCs w:val="18"/>
              </w:rPr>
              <w:t xml:space="preserve"> </w:t>
            </w:r>
          </w:p>
        </w:tc>
      </w:tr>
      <w:tr w:rsidR="004D7FEE" w:rsidRPr="000A18E7" w14:paraId="728F8A45" w14:textId="77777777" w:rsidTr="0068616C">
        <w:tc>
          <w:tcPr>
            <w:tcW w:w="4810" w:type="dxa"/>
          </w:tcPr>
          <w:p w14:paraId="5B137574" w14:textId="77777777" w:rsidR="004D7FEE" w:rsidRPr="000A18E7" w:rsidRDefault="004D7FEE" w:rsidP="00103C29">
            <w:pPr>
              <w:pStyle w:val="Body"/>
              <w:jc w:val="both"/>
              <w:rPr>
                <w:noProof/>
                <w:sz w:val="18"/>
                <w:szCs w:val="18"/>
              </w:rPr>
            </w:pPr>
            <w:r w:rsidRPr="000A18E7">
              <w:rPr>
                <w:noProof/>
                <w:sz w:val="18"/>
                <w:szCs w:val="18"/>
              </w:rPr>
              <w:t>Organised property crime, environmental crime, illicit tobacco trade, illegal immigration, THB</w:t>
            </w:r>
          </w:p>
        </w:tc>
        <w:tc>
          <w:tcPr>
            <w:tcW w:w="4810" w:type="dxa"/>
          </w:tcPr>
          <w:p w14:paraId="148DDCAD" w14:textId="77777777" w:rsidR="004D7FEE" w:rsidRPr="000A18E7" w:rsidRDefault="004D7FEE" w:rsidP="00103C29">
            <w:pPr>
              <w:pStyle w:val="Body"/>
              <w:jc w:val="both"/>
              <w:rPr>
                <w:noProof/>
                <w:sz w:val="18"/>
                <w:szCs w:val="18"/>
              </w:rPr>
            </w:pPr>
            <w:r w:rsidRPr="000A18E7">
              <w:rPr>
                <w:noProof/>
                <w:sz w:val="18"/>
                <w:szCs w:val="18"/>
              </w:rPr>
              <w:t>AI and robotics can be used for robotic patrol and surveillance systems.</w:t>
            </w:r>
            <w:r w:rsidRPr="000A18E7">
              <w:rPr>
                <w:rStyle w:val="FootnoteReference"/>
                <w:noProof/>
                <w:sz w:val="18"/>
                <w:szCs w:val="18"/>
              </w:rPr>
              <w:footnoteReference w:id="284"/>
            </w:r>
            <w:r w:rsidRPr="000A18E7">
              <w:rPr>
                <w:noProof/>
                <w:sz w:val="18"/>
                <w:szCs w:val="18"/>
              </w:rPr>
              <w:t xml:space="preserve"> It should be noted that in the recently adopted proposal for an AI Regulation, the use of AI systems for real-time remote biometric identification of natural persons in public spaces – which is considered as particularly intrusive in relation to the rights of freedoms – is allowed in a few narrowly defined situations.</w:t>
            </w:r>
            <w:r w:rsidRPr="000A18E7">
              <w:rPr>
                <w:rStyle w:val="FootnoteReference"/>
                <w:noProof/>
                <w:sz w:val="18"/>
                <w:szCs w:val="18"/>
              </w:rPr>
              <w:footnoteReference w:id="285"/>
            </w:r>
          </w:p>
        </w:tc>
      </w:tr>
      <w:tr w:rsidR="004D7FEE" w:rsidRPr="000A18E7" w14:paraId="5AD5B140" w14:textId="77777777" w:rsidTr="0068616C">
        <w:tc>
          <w:tcPr>
            <w:tcW w:w="4810" w:type="dxa"/>
          </w:tcPr>
          <w:p w14:paraId="07B871B4" w14:textId="77777777" w:rsidR="004D7FEE" w:rsidRPr="000A18E7" w:rsidRDefault="004D7FEE" w:rsidP="00103C29">
            <w:pPr>
              <w:pStyle w:val="Body"/>
              <w:jc w:val="both"/>
              <w:rPr>
                <w:noProof/>
                <w:sz w:val="18"/>
                <w:szCs w:val="18"/>
              </w:rPr>
            </w:pPr>
            <w:r w:rsidRPr="000A18E7">
              <w:rPr>
                <w:noProof/>
                <w:sz w:val="18"/>
                <w:szCs w:val="18"/>
              </w:rPr>
              <w:t>Illicit tobacco trade, drug related crimes, THB, trafficking of firearms</w:t>
            </w:r>
          </w:p>
        </w:tc>
        <w:tc>
          <w:tcPr>
            <w:tcW w:w="4810" w:type="dxa"/>
          </w:tcPr>
          <w:p w14:paraId="49EECAF3" w14:textId="77777777" w:rsidR="004D7FEE" w:rsidRPr="000A18E7" w:rsidRDefault="004D7FEE" w:rsidP="00103C29">
            <w:pPr>
              <w:pStyle w:val="Body"/>
              <w:jc w:val="both"/>
              <w:rPr>
                <w:noProof/>
                <w:sz w:val="18"/>
                <w:szCs w:val="18"/>
              </w:rPr>
            </w:pPr>
            <w:r w:rsidRPr="000A18E7">
              <w:rPr>
                <w:noProof/>
                <w:sz w:val="18"/>
                <w:szCs w:val="18"/>
              </w:rPr>
              <w:t>AI can be used for autonomous research, analysis and reply to requests for international mutual legal assistance.</w:t>
            </w:r>
            <w:r w:rsidRPr="000A18E7">
              <w:rPr>
                <w:rStyle w:val="FootnoteReference"/>
                <w:noProof/>
                <w:sz w:val="18"/>
                <w:szCs w:val="18"/>
              </w:rPr>
              <w:footnoteReference w:id="286"/>
            </w:r>
            <w:r w:rsidRPr="000A18E7">
              <w:rPr>
                <w:noProof/>
                <w:sz w:val="18"/>
                <w:szCs w:val="18"/>
              </w:rPr>
              <w:t xml:space="preserve"> </w:t>
            </w:r>
          </w:p>
        </w:tc>
      </w:tr>
      <w:tr w:rsidR="004D7FEE" w:rsidRPr="000A18E7" w14:paraId="71F8B24A" w14:textId="77777777" w:rsidTr="0068616C">
        <w:tc>
          <w:tcPr>
            <w:tcW w:w="4810" w:type="dxa"/>
          </w:tcPr>
          <w:p w14:paraId="52FDBB2A" w14:textId="77777777" w:rsidR="004D7FEE" w:rsidRPr="000A18E7" w:rsidRDefault="004D7FEE" w:rsidP="00103C29">
            <w:pPr>
              <w:pStyle w:val="Body"/>
              <w:jc w:val="both"/>
              <w:rPr>
                <w:noProof/>
                <w:sz w:val="18"/>
                <w:szCs w:val="18"/>
              </w:rPr>
            </w:pPr>
            <w:r w:rsidRPr="000A18E7">
              <w:rPr>
                <w:noProof/>
                <w:sz w:val="18"/>
                <w:szCs w:val="18"/>
              </w:rPr>
              <w:t>All areas of SOC:</w:t>
            </w:r>
          </w:p>
        </w:tc>
        <w:tc>
          <w:tcPr>
            <w:tcW w:w="4810" w:type="dxa"/>
          </w:tcPr>
          <w:p w14:paraId="6B022F12" w14:textId="77777777" w:rsidR="004D7FEE" w:rsidRPr="000A18E7" w:rsidRDefault="004D7FEE" w:rsidP="00103C29">
            <w:pPr>
              <w:pStyle w:val="Body"/>
              <w:jc w:val="both"/>
              <w:rPr>
                <w:noProof/>
                <w:sz w:val="18"/>
                <w:szCs w:val="18"/>
              </w:rPr>
            </w:pPr>
            <w:r w:rsidRPr="000A18E7">
              <w:rPr>
                <w:noProof/>
                <w:sz w:val="18"/>
                <w:szCs w:val="18"/>
              </w:rPr>
              <w:t>AI can be used to forecast where and what types of crimes are likely to occur in order to optimize law enforcement resources.</w:t>
            </w:r>
            <w:r w:rsidRPr="000A18E7">
              <w:rPr>
                <w:rStyle w:val="FootnoteReference"/>
                <w:noProof/>
                <w:sz w:val="18"/>
                <w:szCs w:val="18"/>
              </w:rPr>
              <w:footnoteReference w:id="287"/>
            </w:r>
          </w:p>
        </w:tc>
      </w:tr>
    </w:tbl>
    <w:p w14:paraId="6CDCB0D3" w14:textId="77777777" w:rsidR="00F2213E" w:rsidRPr="00B77914" w:rsidRDefault="00F2213E" w:rsidP="00F2213E">
      <w:pPr>
        <w:jc w:val="both"/>
        <w:rPr>
          <w:rFonts w:ascii="Verdana" w:hAnsi="Verdana"/>
          <w:i/>
          <w:noProof/>
          <w:color w:val="7F7F7F" w:themeColor="text1" w:themeTint="80"/>
          <w:sz w:val="18"/>
          <w:szCs w:val="18"/>
        </w:rPr>
      </w:pPr>
      <w:r w:rsidRPr="00B77914">
        <w:rPr>
          <w:rStyle w:val="SubtleEmphasis"/>
          <w:noProof/>
          <w:sz w:val="16"/>
          <w:szCs w:val="18"/>
        </w:rPr>
        <w:t xml:space="preserve">Source: </w:t>
      </w:r>
      <w:r w:rsidRPr="00B77914">
        <w:rPr>
          <w:rFonts w:ascii="Verdana" w:hAnsi="Verdana"/>
          <w:i/>
          <w:noProof/>
          <w:color w:val="7F7F7F" w:themeColor="text1" w:themeTint="80"/>
          <w:sz w:val="16"/>
          <w:szCs w:val="18"/>
        </w:rPr>
        <w:t>EY/RAND Europe Study’s elaboration</w:t>
      </w:r>
      <w:r w:rsidRPr="00B77914">
        <w:rPr>
          <w:rStyle w:val="SubtleEmphasis"/>
          <w:noProof/>
          <w:sz w:val="16"/>
          <w:szCs w:val="18"/>
        </w:rPr>
        <w:t xml:space="preserve"> based on desk research</w:t>
      </w:r>
    </w:p>
    <w:p w14:paraId="697876E0" w14:textId="77777777" w:rsidR="004D7FEE" w:rsidRPr="00103C29" w:rsidRDefault="004D7FEE" w:rsidP="00DE3425">
      <w:pPr>
        <w:pStyle w:val="Body"/>
        <w:spacing w:after="120"/>
        <w:jc w:val="both"/>
        <w:rPr>
          <w:rFonts w:ascii="Times New Roman" w:hAnsi="Times New Roman"/>
          <w:b/>
          <w:i/>
          <w:noProof/>
          <w:sz w:val="24"/>
          <w:u w:val="single"/>
        </w:rPr>
      </w:pPr>
      <w:r w:rsidRPr="00103C29">
        <w:rPr>
          <w:rFonts w:ascii="Times New Roman" w:hAnsi="Times New Roman"/>
          <w:b/>
          <w:i/>
          <w:noProof/>
          <w:sz w:val="24"/>
          <w:u w:val="single"/>
        </w:rPr>
        <w:t>How do citizens and businesses use technological developments and how are they affected by the latest social developments?</w:t>
      </w:r>
    </w:p>
    <w:p w14:paraId="4D7562B0" w14:textId="77777777"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 xml:space="preserve">Most sport and mass gathering </w:t>
      </w:r>
      <w:r w:rsidRPr="00103C29">
        <w:rPr>
          <w:rFonts w:ascii="Times New Roman" w:hAnsi="Times New Roman"/>
          <w:bCs/>
          <w:noProof/>
          <w:sz w:val="24"/>
        </w:rPr>
        <w:t>events</w:t>
      </w:r>
      <w:r w:rsidRPr="00103C29">
        <w:rPr>
          <w:rFonts w:ascii="Times New Roman" w:hAnsi="Times New Roman"/>
          <w:noProof/>
          <w:sz w:val="24"/>
        </w:rPr>
        <w:t xml:space="preserve"> have been cancelled since the outbreak of the pandemic and are cancelled or postponed in the upcoming months. It remains unclear to what extent a crowd will be allowed to attend the e.g. European Soccer Championship 2021 or Wimbledon 2021. Due to the pandemic, businesses are expected to increasingly rely on digital tools for visitor management, which can be exploited for criminal purposes, e.g. through cyber-attacks. In the long run, it is assumed that mass sports events will take place without COVID-restrictions in the EU.</w:t>
      </w:r>
      <w:r w:rsidRPr="00103C29">
        <w:rPr>
          <w:rStyle w:val="FootnoteReference"/>
          <w:rFonts w:ascii="Times New Roman" w:hAnsi="Times New Roman"/>
          <w:noProof/>
          <w:sz w:val="24"/>
        </w:rPr>
        <w:footnoteReference w:id="288"/>
      </w:r>
      <w:r w:rsidRPr="00103C29">
        <w:rPr>
          <w:rFonts w:ascii="Times New Roman" w:hAnsi="Times New Roman"/>
          <w:noProof/>
          <w:sz w:val="24"/>
        </w:rPr>
        <w:t xml:space="preserve"> For instance, the 2024 Summer Olympics and the 2023 </w:t>
      </w:r>
      <w:r w:rsidRPr="00103C29">
        <w:rPr>
          <w:rFonts w:ascii="Times New Roman" w:hAnsi="Times New Roman"/>
          <w:i/>
          <w:iCs/>
          <w:noProof/>
          <w:sz w:val="24"/>
        </w:rPr>
        <w:t>Fédération Internationale de Football Association</w:t>
      </w:r>
      <w:r w:rsidRPr="00103C29">
        <w:rPr>
          <w:rFonts w:ascii="Times New Roman" w:hAnsi="Times New Roman"/>
          <w:noProof/>
          <w:sz w:val="24"/>
        </w:rPr>
        <w:t xml:space="preserve"> (FIFA) Women’s World Cup are expected to take place under pre-crisis conditions. As concerns relevant social developments, likely challenges to public order and safety can be primarily linked to increasing cross-border mobility of sports fans travelling to other Member States and SACs in order to attend matches. At the same time, likely challenges to public order and safety could be linked to the use of new technologies such as end-to-end encrypted communication apps, exploited by e.g. hooligans travelling across-borders to attend and riot at football matches as was the case during the Union of European Football Associations (UEFA) Euro 2016 riots.</w:t>
      </w:r>
      <w:r w:rsidRPr="00103C29">
        <w:rPr>
          <w:rStyle w:val="FootnoteReference"/>
          <w:rFonts w:ascii="Times New Roman" w:hAnsi="Times New Roman"/>
          <w:noProof/>
          <w:sz w:val="24"/>
        </w:rPr>
        <w:footnoteReference w:id="289"/>
      </w:r>
      <w:r w:rsidRPr="00103C29">
        <w:rPr>
          <w:rFonts w:ascii="Times New Roman" w:hAnsi="Times New Roman"/>
          <w:noProof/>
          <w:sz w:val="24"/>
        </w:rPr>
        <w:t xml:space="preserve"> </w:t>
      </w:r>
    </w:p>
    <w:p w14:paraId="485A269D" w14:textId="77777777"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 xml:space="preserve">A similar argument applies to </w:t>
      </w:r>
      <w:r w:rsidRPr="00103C29">
        <w:rPr>
          <w:rFonts w:ascii="Times New Roman" w:hAnsi="Times New Roman"/>
          <w:bCs/>
          <w:noProof/>
          <w:sz w:val="24"/>
        </w:rPr>
        <w:t xml:space="preserve">mass </w:t>
      </w:r>
      <w:r w:rsidRPr="00103C29">
        <w:rPr>
          <w:rFonts w:ascii="Times New Roman" w:hAnsi="Times New Roman"/>
          <w:noProof/>
          <w:sz w:val="24"/>
        </w:rPr>
        <w:t>cultural events and political mass gatherings. Likely challenges to public order and safety can be linked, on the one hand, to the use of technologies such as end-to-end encrypted communication apps by event attendees/organisers and, on the other hand, to ransomware attacks by criminals in order to commit identity fraud of ticket purchasers. An example for identity fraud is the online theft of personal details of 64000 visitors of the Tomorrowland festival in Belgium.</w:t>
      </w:r>
      <w:r w:rsidRPr="00103C29">
        <w:rPr>
          <w:rStyle w:val="FootnoteReference"/>
          <w:rFonts w:ascii="Times New Roman" w:hAnsi="Times New Roman"/>
          <w:noProof/>
          <w:sz w:val="24"/>
        </w:rPr>
        <w:footnoteReference w:id="290"/>
      </w:r>
      <w:r w:rsidRPr="00103C29">
        <w:rPr>
          <w:rFonts w:ascii="Times New Roman" w:hAnsi="Times New Roman"/>
          <w:noProof/>
          <w:sz w:val="24"/>
        </w:rPr>
        <w:t xml:space="preserve"> As concerns social developments, likely challenges to public order and safety can be primarily linked to increasing cross-border mobility. For instance, an example of a threat to public order and safety were political activists who travelled to Hamburg from across entire Europe during the G20 summit in 2017.</w:t>
      </w:r>
      <w:r w:rsidRPr="00103C29">
        <w:rPr>
          <w:rStyle w:val="FootnoteReference"/>
          <w:rFonts w:ascii="Times New Roman" w:hAnsi="Times New Roman"/>
          <w:noProof/>
          <w:sz w:val="24"/>
        </w:rPr>
        <w:footnoteReference w:id="291"/>
      </w:r>
      <w:r w:rsidRPr="00103C29">
        <w:rPr>
          <w:rFonts w:ascii="Times New Roman" w:hAnsi="Times New Roman"/>
          <w:noProof/>
          <w:sz w:val="24"/>
        </w:rPr>
        <w:t xml:space="preserve"> </w:t>
      </w:r>
    </w:p>
    <w:p w14:paraId="5CE61321" w14:textId="213E1980"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As previously detailed in this section,</w:t>
      </w:r>
      <w:r w:rsidRPr="00103C29">
        <w:rPr>
          <w:rFonts w:ascii="Times New Roman" w:hAnsi="Times New Roman"/>
          <w:bCs/>
          <w:noProof/>
          <w:sz w:val="24"/>
        </w:rPr>
        <w:t xml:space="preserve"> cross</w:t>
      </w:r>
      <w:r w:rsidRPr="00103C29">
        <w:rPr>
          <w:rFonts w:ascii="Times New Roman" w:hAnsi="Times New Roman"/>
          <w:noProof/>
          <w:sz w:val="24"/>
        </w:rPr>
        <w:t>-border mobility has noticeably increased in the past decade with e.g. increasing cross-border commuting and constantly increasing cross-</w:t>
      </w:r>
      <w:r w:rsidRPr="00103C29">
        <w:rPr>
          <w:rFonts w:ascii="Times New Roman" w:hAnsi="Times New Roman"/>
          <w:iCs/>
          <w:noProof/>
          <w:sz w:val="24"/>
        </w:rPr>
        <w:t xml:space="preserve">border tourism. </w:t>
      </w:r>
      <w:r w:rsidRPr="00103C29">
        <w:rPr>
          <w:rFonts w:ascii="Times New Roman" w:hAnsi="Times New Roman"/>
          <w:noProof/>
          <w:sz w:val="24"/>
        </w:rPr>
        <w:t>As concerns cross-border tourism, it has continuously increased in the last decade but halved in 2020 compared to 2019).</w:t>
      </w:r>
      <w:r w:rsidRPr="00103C29">
        <w:rPr>
          <w:rStyle w:val="FootnoteReference"/>
          <w:rFonts w:ascii="Times New Roman" w:hAnsi="Times New Roman"/>
          <w:noProof/>
          <w:sz w:val="24"/>
        </w:rPr>
        <w:footnoteReference w:id="292"/>
      </w:r>
      <w:r w:rsidRPr="00103C29">
        <w:rPr>
          <w:rFonts w:ascii="Times New Roman" w:hAnsi="Times New Roman"/>
          <w:noProof/>
          <w:sz w:val="24"/>
        </w:rPr>
        <w:t xml:space="preserve"> After the COVID-19 crisis, it is expected that tourism will be at least back to pre-crisis levels once borders are open again and quarantine rules are manageable for tourists.</w:t>
      </w:r>
    </w:p>
    <w:p w14:paraId="13146B47" w14:textId="77777777" w:rsidR="004D7FEE" w:rsidRPr="000A18E7" w:rsidRDefault="004D7FEE" w:rsidP="00D62BA5">
      <w:pPr>
        <w:pStyle w:val="Caption"/>
        <w:keepNext/>
        <w:jc w:val="center"/>
        <w:rPr>
          <w:noProof/>
          <w:lang w:val="en-GB"/>
        </w:rPr>
      </w:pPr>
      <w:bookmarkStart w:id="203" w:name="_Ref69403469"/>
      <w:bookmarkEnd w:id="203"/>
      <w:r w:rsidRPr="000A18E7">
        <w:rPr>
          <w:noProof/>
          <w:lang w:val="en-GB"/>
        </w:rPr>
        <w:t xml:space="preserve">Development of the number of nights spent at tourist accommodation establishments by non-residents in the EU-27 </w:t>
      </w:r>
    </w:p>
    <w:p w14:paraId="11644E2D" w14:textId="77777777" w:rsidR="004D7FEE" w:rsidRPr="000A18E7" w:rsidRDefault="004D7FEE" w:rsidP="00DE3425">
      <w:pPr>
        <w:jc w:val="center"/>
        <w:rPr>
          <w:noProof/>
        </w:rPr>
      </w:pPr>
      <w:r w:rsidRPr="000A18E7">
        <w:rPr>
          <w:noProof/>
          <w:lang w:val="en-GB" w:eastAsia="en-GB"/>
        </w:rPr>
        <w:drawing>
          <wp:inline distT="0" distB="0" distL="0" distR="0" wp14:anchorId="0F0079BD" wp14:editId="3C5D7B6E">
            <wp:extent cx="5326380" cy="2247900"/>
            <wp:effectExtent l="0" t="0" r="7620" b="0"/>
            <wp:docPr id="5" name="Chart 5">
              <a:extLst xmlns:a="http://schemas.openxmlformats.org/drawingml/2006/main">
                <a:ext uri="{FF2B5EF4-FFF2-40B4-BE49-F238E27FC236}">
                  <a16:creationId xmlns:a16="http://schemas.microsoft.com/office/drawing/2014/main" id="{C27AA091-35C1-4B1F-A679-7AE374B142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017C8FC" w14:textId="77777777" w:rsidR="004D7FEE" w:rsidRPr="000A18E7" w:rsidRDefault="004D7FEE" w:rsidP="00103C29">
      <w:pPr>
        <w:pStyle w:val="Body"/>
        <w:ind w:left="720"/>
        <w:jc w:val="both"/>
        <w:rPr>
          <w:rStyle w:val="SubtleEmphasis"/>
          <w:rFonts w:eastAsiaTheme="minorHAnsi" w:cstheme="minorBidi"/>
          <w:noProof/>
          <w:lang w:val="en-US"/>
        </w:rPr>
      </w:pPr>
      <w:r w:rsidRPr="000A18E7">
        <w:rPr>
          <w:rStyle w:val="SubtleEmphasis"/>
          <w:noProof/>
        </w:rPr>
        <w:t>Source: Eurostat (2021)</w:t>
      </w:r>
    </w:p>
    <w:p w14:paraId="3B864952" w14:textId="77777777"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As concerns cross-border commuting,</w:t>
      </w:r>
      <w:r w:rsidRPr="00103C29" w:rsidDel="00317EC6">
        <w:rPr>
          <w:rFonts w:ascii="Times New Roman" w:hAnsi="Times New Roman"/>
          <w:noProof/>
          <w:sz w:val="24"/>
        </w:rPr>
        <w:t xml:space="preserve"> </w:t>
      </w:r>
      <w:r w:rsidRPr="00103C29">
        <w:rPr>
          <w:rFonts w:ascii="Times New Roman" w:hAnsi="Times New Roman"/>
          <w:noProof/>
          <w:sz w:val="24"/>
        </w:rPr>
        <w:t>it is assumed that cross-border commuting will likely to go back to increasing pre-crisis levels in the long run since important parts of cross-border commuters work in the construction field.</w:t>
      </w:r>
      <w:r w:rsidRPr="00103C29">
        <w:rPr>
          <w:rStyle w:val="FootnoteReference"/>
          <w:rFonts w:ascii="Times New Roman" w:hAnsi="Times New Roman"/>
          <w:noProof/>
          <w:sz w:val="24"/>
        </w:rPr>
        <w:footnoteReference w:id="293"/>
      </w:r>
      <w:r w:rsidRPr="00103C29">
        <w:rPr>
          <w:rFonts w:ascii="Times New Roman" w:hAnsi="Times New Roman"/>
          <w:noProof/>
          <w:sz w:val="24"/>
        </w:rPr>
        <w:t xml:space="preserve"> Thus, one expected result related to the social developments is that businesses will increasingly struggle to cope with the increasing numbers of foreign visitors. For instance, businesses in Venice could reasonably increasingly struggle with waste management during tourist season</w:t>
      </w:r>
      <w:r w:rsidRPr="00103C29">
        <w:rPr>
          <w:rStyle w:val="FootnoteReference"/>
          <w:rFonts w:ascii="Times New Roman" w:hAnsi="Times New Roman"/>
          <w:noProof/>
          <w:sz w:val="24"/>
        </w:rPr>
        <w:footnoteReference w:id="294"/>
      </w:r>
      <w:r w:rsidRPr="00103C29">
        <w:rPr>
          <w:rFonts w:ascii="Times New Roman" w:hAnsi="Times New Roman"/>
          <w:noProof/>
          <w:sz w:val="24"/>
        </w:rPr>
        <w:t xml:space="preserve"> and with citizens increasingly overrunning cities like Dubrovnik with Games of Thrones tourism.</w:t>
      </w:r>
      <w:r w:rsidRPr="00103C29">
        <w:rPr>
          <w:rStyle w:val="FootnoteReference"/>
          <w:rFonts w:ascii="Times New Roman" w:hAnsi="Times New Roman"/>
          <w:noProof/>
          <w:sz w:val="24"/>
        </w:rPr>
        <w:footnoteReference w:id="295"/>
      </w:r>
      <w:r w:rsidRPr="00103C29">
        <w:rPr>
          <w:rFonts w:ascii="Times New Roman" w:hAnsi="Times New Roman"/>
          <w:noProof/>
          <w:sz w:val="24"/>
        </w:rPr>
        <w:t xml:space="preserve"> </w:t>
      </w:r>
    </w:p>
    <w:p w14:paraId="7F13CC4A" w14:textId="77777777" w:rsidR="004D7FEE" w:rsidRPr="00103C29" w:rsidRDefault="004D7FEE" w:rsidP="00DE3425">
      <w:pPr>
        <w:pStyle w:val="Body"/>
        <w:spacing w:after="120"/>
        <w:jc w:val="both"/>
        <w:rPr>
          <w:rFonts w:ascii="Times New Roman" w:hAnsi="Times New Roman"/>
          <w:b/>
          <w:i/>
          <w:noProof/>
          <w:sz w:val="24"/>
          <w:u w:val="single"/>
        </w:rPr>
      </w:pPr>
      <w:r w:rsidRPr="00103C29">
        <w:rPr>
          <w:rFonts w:ascii="Times New Roman" w:hAnsi="Times New Roman"/>
          <w:b/>
          <w:i/>
          <w:noProof/>
          <w:sz w:val="24"/>
          <w:u w:val="single"/>
        </w:rPr>
        <w:t>How do LEAs use the latest technological developments and how are they affected by the latest social developments?</w:t>
      </w:r>
    </w:p>
    <w:p w14:paraId="359132A3" w14:textId="77777777" w:rsidR="004D7FEE" w:rsidRPr="00103C29" w:rsidRDefault="004D7FEE" w:rsidP="00DE3425">
      <w:pPr>
        <w:pStyle w:val="Body"/>
        <w:spacing w:after="120"/>
        <w:jc w:val="both"/>
        <w:rPr>
          <w:rFonts w:ascii="Times New Roman" w:hAnsi="Times New Roman"/>
          <w:i/>
          <w:iCs/>
          <w:noProof/>
          <w:sz w:val="24"/>
        </w:rPr>
      </w:pPr>
      <w:r w:rsidRPr="00103C29">
        <w:rPr>
          <w:rFonts w:ascii="Times New Roman" w:hAnsi="Times New Roman"/>
          <w:noProof/>
          <w:sz w:val="24"/>
        </w:rPr>
        <w:t>As stated in the previous section, it is assumed that mass sports events will take place without COVID-restrictions in the EU in the long term and hence require substantial preparation of joint operations and law enforcement cooperation of LEAs</w:t>
      </w:r>
      <w:r w:rsidRPr="00103C29">
        <w:rPr>
          <w:rStyle w:val="FootnoteReference"/>
          <w:rFonts w:ascii="Times New Roman" w:hAnsi="Times New Roman"/>
          <w:noProof/>
          <w:sz w:val="24"/>
        </w:rPr>
        <w:footnoteReference w:id="296"/>
      </w:r>
      <w:r w:rsidRPr="00103C29">
        <w:rPr>
          <w:rFonts w:ascii="Times New Roman" w:hAnsi="Times New Roman"/>
          <w:noProof/>
          <w:sz w:val="24"/>
        </w:rPr>
        <w:t xml:space="preserve"> in order to prevent e.g. football hooliganism and terrorism. In recent years, the nature of terrorist attacks at mass gatherings has shifted to attacks being carried out by single individuals with little preparation and easily available weaponry such as in the case of the attacks at the football match at the Stade de France in 2015.</w:t>
      </w:r>
      <w:r w:rsidRPr="00103C29">
        <w:rPr>
          <w:rStyle w:val="FootnoteReference"/>
          <w:rFonts w:ascii="Times New Roman" w:hAnsi="Times New Roman"/>
          <w:noProof/>
          <w:sz w:val="24"/>
        </w:rPr>
        <w:footnoteReference w:id="297"/>
      </w:r>
      <w:r w:rsidRPr="00103C29">
        <w:rPr>
          <w:rFonts w:ascii="Times New Roman" w:hAnsi="Times New Roman"/>
          <w:noProof/>
          <w:sz w:val="24"/>
        </w:rPr>
        <w:t xml:space="preserve"> It is expected that this threat increases, particularly as the latest technologies can be misused, e.g. in the case of malicious use of drones.</w:t>
      </w:r>
      <w:r w:rsidRPr="00103C29">
        <w:rPr>
          <w:rStyle w:val="FootnoteReference"/>
          <w:rFonts w:ascii="Times New Roman" w:hAnsi="Times New Roman"/>
          <w:noProof/>
          <w:sz w:val="24"/>
        </w:rPr>
        <w:footnoteReference w:id="298"/>
      </w:r>
      <w:r w:rsidRPr="00103C29">
        <w:rPr>
          <w:rFonts w:ascii="Times New Roman" w:hAnsi="Times New Roman"/>
          <w:noProof/>
          <w:sz w:val="24"/>
        </w:rPr>
        <w:t xml:space="preserve"> In difference to citizens and businesses, a result of this for LEAs is that LEAs have to cooperate across the entire EU to prepare for threats from single actor attacks as well as more sophisticated attacks. Similarly to the argument made in the section for SOC, it is expected that the social developments relating to e.g. the increasingly global value chains will with some certainty require LEAs to increasingly cooperate across-borders. </w:t>
      </w:r>
    </w:p>
    <w:p w14:paraId="20B421A6" w14:textId="77777777" w:rsidR="004D7FEE" w:rsidRPr="00103C29"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A similar argument applies to mass cultural events and political mass gatherings. In difference to the way citizens and businesses are affected, LEAs face operational technological challenges for cross-border cooperation which stem from limited interoperability of the databases and IT systems in place.</w:t>
      </w:r>
      <w:r w:rsidRPr="00103C29">
        <w:rPr>
          <w:rStyle w:val="FootnoteReference"/>
          <w:rFonts w:ascii="Times New Roman" w:hAnsi="Times New Roman"/>
          <w:noProof/>
          <w:sz w:val="24"/>
        </w:rPr>
        <w:footnoteReference w:id="299"/>
      </w:r>
      <w:r w:rsidRPr="00103C29">
        <w:rPr>
          <w:rFonts w:ascii="Times New Roman" w:hAnsi="Times New Roman"/>
          <w:noProof/>
          <w:sz w:val="24"/>
        </w:rPr>
        <w:t xml:space="preserve"> As is the case for mass sports events, LEAs are expected to increasingly cooperate to ensure public order and safety during mass cultural events and political mass gatherings and to prepare for terrorist attacks. In the long term, it is expected that the usage of technological developments by LEAs such as AI will reduce the severity of disruption of public order and safety.</w:t>
      </w:r>
    </w:p>
    <w:p w14:paraId="58DAA75F" w14:textId="77777777" w:rsidR="004D7FEE" w:rsidRDefault="004D7FEE" w:rsidP="00DE3425">
      <w:pPr>
        <w:pStyle w:val="Body"/>
        <w:spacing w:after="120"/>
        <w:jc w:val="both"/>
        <w:rPr>
          <w:rFonts w:ascii="Times New Roman" w:hAnsi="Times New Roman"/>
          <w:noProof/>
          <w:sz w:val="24"/>
        </w:rPr>
      </w:pPr>
      <w:r w:rsidRPr="00103C29">
        <w:rPr>
          <w:rFonts w:ascii="Times New Roman" w:hAnsi="Times New Roman"/>
          <w:noProof/>
          <w:sz w:val="24"/>
        </w:rPr>
        <w:t xml:space="preserve">As regards cross-border tourism and cross-border commuting, as long as the crisis prevails, the prevalence of tourism and cross-border commuting are expected to remain at lower levels in comparison to the pre-crisis increases in tourism and commuting. In difference to citizens and businesses, LEAs have to ensure that public order is not disrupted by e.g. terrorism in the public sphere and are expected to increasingly rely on the use of technological developments such as shared databases or cross-border radio-telecommunication solutions to ensure that public order and safety – and in the short run especially health safety – is guaranteed. In the long run, where it is expected that cross-border tourism and cross-border commuting to increase, LEAs will likely use technological developments such as AI (a) to reduce the severity of disruption of public order and safety and (b) to enhance cross-border cooperation. </w:t>
      </w:r>
    </w:p>
    <w:p w14:paraId="5753DAD3" w14:textId="77777777" w:rsidR="002034CD" w:rsidRPr="00103C29" w:rsidRDefault="002034CD" w:rsidP="00DE3425">
      <w:pPr>
        <w:pStyle w:val="Body"/>
        <w:spacing w:after="120"/>
        <w:jc w:val="both"/>
        <w:rPr>
          <w:rFonts w:ascii="Times New Roman" w:hAnsi="Times New Roman"/>
          <w:noProof/>
          <w:sz w:val="24"/>
        </w:rPr>
      </w:pPr>
    </w:p>
    <w:p w14:paraId="46FEBF65" w14:textId="77777777" w:rsidR="004E2E92" w:rsidRDefault="004D7FEE" w:rsidP="00EC61ED">
      <w:pPr>
        <w:spacing w:after="160" w:line="259" w:lineRule="auto"/>
        <w:jc w:val="center"/>
        <w:rPr>
          <w:b/>
          <w:noProof/>
          <w:sz w:val="22"/>
          <w:szCs w:val="24"/>
        </w:rPr>
      </w:pPr>
      <w:r>
        <w:rPr>
          <w:b/>
          <w:noProof/>
          <w:sz w:val="22"/>
          <w:szCs w:val="24"/>
        </w:rPr>
        <w:t>*******</w:t>
      </w:r>
    </w:p>
    <w:p w14:paraId="3601715D" w14:textId="172DF520" w:rsidR="005B3636" w:rsidRDefault="005B3636">
      <w:pPr>
        <w:spacing w:after="160" w:line="259" w:lineRule="auto"/>
        <w:rPr>
          <w:rFonts w:ascii="Times New Roman" w:eastAsia="Times New Roman" w:hAnsi="Times New Roman" w:cs="Times New Roman"/>
          <w:b/>
          <w:noProof/>
          <w:sz w:val="22"/>
          <w:szCs w:val="24"/>
        </w:rPr>
      </w:pPr>
      <w:r>
        <w:rPr>
          <w:rFonts w:ascii="Times New Roman" w:eastAsia="Times New Roman" w:hAnsi="Times New Roman" w:cs="Times New Roman"/>
          <w:b/>
          <w:noProof/>
          <w:sz w:val="22"/>
          <w:szCs w:val="24"/>
        </w:rPr>
        <w:br w:type="page"/>
      </w:r>
    </w:p>
    <w:p w14:paraId="7066D74C" w14:textId="396A787C" w:rsidR="00BC02CC" w:rsidRPr="00AE777C" w:rsidRDefault="00BC02CC" w:rsidP="00AE777C">
      <w:pPr>
        <w:pStyle w:val="AnnexHeading1"/>
        <w:rPr>
          <w:noProof/>
        </w:rPr>
      </w:pPr>
      <w:bookmarkStart w:id="206" w:name="_Toc83801056"/>
      <w:r w:rsidRPr="00AE777C">
        <w:rPr>
          <w:noProof/>
        </w:rPr>
        <w:t xml:space="preserve">Annex </w:t>
      </w:r>
      <w:r w:rsidR="00CA5EE7">
        <w:rPr>
          <w:noProof/>
        </w:rPr>
        <w:t>5</w:t>
      </w:r>
      <w:r w:rsidRPr="00AE777C">
        <w:rPr>
          <w:noProof/>
        </w:rPr>
        <w:t>: Supporting information on the problems 1, 2 &amp; 3</w:t>
      </w:r>
      <w:bookmarkEnd w:id="206"/>
    </w:p>
    <w:p w14:paraId="345E68A2" w14:textId="77777777" w:rsidR="00BE10A5" w:rsidRPr="00BE10A5" w:rsidRDefault="0068616C" w:rsidP="00D62BA5">
      <w:pPr>
        <w:pStyle w:val="ListParagraph"/>
        <w:numPr>
          <w:ilvl w:val="6"/>
          <w:numId w:val="3"/>
        </w:numPr>
        <w:spacing w:after="120" w:line="240" w:lineRule="auto"/>
        <w:ind w:left="357" w:hanging="357"/>
        <w:contextualSpacing w:val="0"/>
        <w:jc w:val="both"/>
        <w:rPr>
          <w:rFonts w:ascii="Times New Roman" w:hAnsi="Times New Roman" w:cs="Times New Roman"/>
          <w:b/>
          <w:smallCaps/>
          <w:noProof/>
          <w:sz w:val="32"/>
          <w:szCs w:val="24"/>
        </w:rPr>
      </w:pPr>
      <w:r>
        <w:rPr>
          <w:rFonts w:ascii="Times New Roman" w:hAnsi="Times New Roman" w:cs="Times New Roman"/>
          <w:b/>
          <w:smallCaps/>
          <w:noProof/>
          <w:sz w:val="24"/>
        </w:rPr>
        <w:t>Horizontal s</w:t>
      </w:r>
      <w:r w:rsidR="00BE10A5" w:rsidRPr="00BE10A5">
        <w:rPr>
          <w:rFonts w:ascii="Times New Roman" w:hAnsi="Times New Roman" w:cs="Times New Roman"/>
          <w:b/>
          <w:smallCaps/>
          <w:noProof/>
          <w:sz w:val="24"/>
        </w:rPr>
        <w:t>upporting information regarding</w:t>
      </w:r>
      <w:r>
        <w:rPr>
          <w:rFonts w:ascii="Times New Roman" w:hAnsi="Times New Roman" w:cs="Times New Roman"/>
          <w:b/>
          <w:smallCaps/>
          <w:noProof/>
          <w:sz w:val="24"/>
        </w:rPr>
        <w:t xml:space="preserve"> </w:t>
      </w:r>
      <w:r w:rsidR="00BE10A5" w:rsidRPr="00BE10A5">
        <w:rPr>
          <w:rFonts w:ascii="Times New Roman" w:hAnsi="Times New Roman" w:cs="Times New Roman"/>
          <w:b/>
          <w:smallCaps/>
          <w:noProof/>
          <w:sz w:val="24"/>
        </w:rPr>
        <w:t>the problem</w:t>
      </w:r>
      <w:r w:rsidR="005C596A">
        <w:rPr>
          <w:rFonts w:ascii="Times New Roman" w:hAnsi="Times New Roman" w:cs="Times New Roman"/>
          <w:b/>
          <w:smallCaps/>
          <w:noProof/>
          <w:sz w:val="24"/>
        </w:rPr>
        <w:t>s</w:t>
      </w:r>
      <w:r w:rsidR="00BE10A5" w:rsidRPr="00BE10A5">
        <w:rPr>
          <w:rFonts w:ascii="Times New Roman" w:hAnsi="Times New Roman" w:cs="Times New Roman"/>
          <w:b/>
          <w:smallCaps/>
          <w:noProof/>
          <w:sz w:val="24"/>
        </w:rPr>
        <w:t xml:space="preserve"> 1</w:t>
      </w:r>
      <w:r>
        <w:rPr>
          <w:rFonts w:ascii="Times New Roman" w:hAnsi="Times New Roman" w:cs="Times New Roman"/>
          <w:b/>
          <w:smallCaps/>
          <w:noProof/>
          <w:sz w:val="24"/>
        </w:rPr>
        <w:t>, 2 &amp; 3</w:t>
      </w:r>
      <w:r w:rsidR="00BE10A5" w:rsidRPr="00BE10A5">
        <w:rPr>
          <w:rFonts w:ascii="Times New Roman" w:hAnsi="Times New Roman" w:cs="Times New Roman"/>
          <w:b/>
          <w:smallCaps/>
          <w:noProof/>
          <w:sz w:val="24"/>
        </w:rPr>
        <w:t xml:space="preserve"> </w:t>
      </w:r>
    </w:p>
    <w:p w14:paraId="24E0E997" w14:textId="77777777" w:rsidR="00D44CF0" w:rsidRPr="00DE1389" w:rsidRDefault="00D44CF0" w:rsidP="00725A8C">
      <w:pPr>
        <w:spacing w:after="120" w:line="240" w:lineRule="auto"/>
        <w:rPr>
          <w:rFonts w:ascii="Times New Roman" w:hAnsi="Times New Roman" w:cs="Times New Roman"/>
          <w:b/>
          <w:noProof/>
          <w:sz w:val="24"/>
        </w:rPr>
      </w:pPr>
      <w:bookmarkStart w:id="207" w:name="_Ref69302717"/>
      <w:bookmarkStart w:id="208" w:name="_Ref71011432"/>
      <w:r w:rsidRPr="00DE1389">
        <w:rPr>
          <w:rFonts w:ascii="Times New Roman" w:hAnsi="Times New Roman" w:cs="Times New Roman"/>
          <w:b/>
          <w:noProof/>
          <w:sz w:val="24"/>
        </w:rPr>
        <w:t>Overview</w:t>
      </w:r>
      <w:bookmarkEnd w:id="207"/>
      <w:r w:rsidRPr="00DE1389">
        <w:rPr>
          <w:rFonts w:ascii="Times New Roman" w:hAnsi="Times New Roman" w:cs="Times New Roman"/>
          <w:b/>
          <w:noProof/>
          <w:sz w:val="24"/>
        </w:rPr>
        <w:t xml:space="preserve"> </w:t>
      </w:r>
      <w:bookmarkEnd w:id="208"/>
    </w:p>
    <w:p w14:paraId="636E1E6B" w14:textId="77777777" w:rsidR="00D44CF0" w:rsidRPr="00141DCF" w:rsidRDefault="00D44CF0" w:rsidP="00725A8C">
      <w:pPr>
        <w:pStyle w:val="Body"/>
        <w:spacing w:beforeLines="1" w:before="2" w:after="120"/>
        <w:jc w:val="both"/>
        <w:rPr>
          <w:rFonts w:ascii="Times New Roman" w:hAnsi="Times New Roman"/>
          <w:noProof/>
          <w:sz w:val="24"/>
          <w:szCs w:val="24"/>
        </w:rPr>
      </w:pPr>
      <w:r w:rsidRPr="00141DCF">
        <w:rPr>
          <w:rFonts w:ascii="Times New Roman" w:hAnsi="Times New Roman"/>
          <w:b/>
          <w:bCs/>
          <w:noProof/>
          <w:sz w:val="24"/>
          <w:szCs w:val="24"/>
        </w:rPr>
        <w:t>The</w:t>
      </w:r>
      <w:r w:rsidRPr="00141DCF">
        <w:rPr>
          <w:rFonts w:ascii="Times New Roman" w:hAnsi="Times New Roman"/>
          <w:b/>
          <w:noProof/>
          <w:sz w:val="24"/>
          <w:szCs w:val="24"/>
        </w:rPr>
        <w:t xml:space="preserve"> </w:t>
      </w:r>
      <w:r w:rsidRPr="00141DCF">
        <w:rPr>
          <w:rFonts w:ascii="Times New Roman" w:hAnsi="Times New Roman"/>
          <w:b/>
          <w:bCs/>
          <w:noProof/>
          <w:sz w:val="24"/>
          <w:szCs w:val="24"/>
        </w:rPr>
        <w:t>EU framework for facilitating cross-border law enforcement cooperation</w:t>
      </w:r>
      <w:r w:rsidRPr="00141DCF">
        <w:rPr>
          <w:rFonts w:ascii="Times New Roman" w:hAnsi="Times New Roman"/>
          <w:b/>
          <w:noProof/>
          <w:sz w:val="24"/>
          <w:szCs w:val="24"/>
        </w:rPr>
        <w:t xml:space="preserve"> </w:t>
      </w:r>
      <w:r w:rsidRPr="00141DCF">
        <w:rPr>
          <w:rFonts w:ascii="Times New Roman" w:hAnsi="Times New Roman"/>
          <w:b/>
          <w:bCs/>
          <w:noProof/>
          <w:sz w:val="24"/>
          <w:szCs w:val="24"/>
        </w:rPr>
        <w:t>is spread across a range of legislative texts and non-binding policy initiatives.</w:t>
      </w:r>
      <w:r w:rsidRPr="00141DCF">
        <w:rPr>
          <w:rFonts w:ascii="Times New Roman" w:hAnsi="Times New Roman"/>
          <w:b/>
          <w:noProof/>
          <w:sz w:val="24"/>
          <w:szCs w:val="24"/>
        </w:rPr>
        <w:t xml:space="preserve"> </w:t>
      </w:r>
      <w:r w:rsidRPr="00141DCF">
        <w:rPr>
          <w:rFonts w:ascii="Times New Roman" w:hAnsi="Times New Roman"/>
          <w:noProof/>
          <w:sz w:val="24"/>
          <w:szCs w:val="24"/>
        </w:rPr>
        <w:t xml:space="preserve">The documentary review identified </w:t>
      </w:r>
      <w:r w:rsidR="005D5627" w:rsidRPr="00141DCF">
        <w:rPr>
          <w:rFonts w:ascii="Times New Roman" w:hAnsi="Times New Roman"/>
          <w:noProof/>
          <w:sz w:val="24"/>
          <w:szCs w:val="24"/>
        </w:rPr>
        <w:t>22</w:t>
      </w:r>
      <w:r w:rsidRPr="00141DCF">
        <w:rPr>
          <w:rFonts w:ascii="Times New Roman" w:hAnsi="Times New Roman"/>
          <w:noProof/>
          <w:sz w:val="24"/>
          <w:szCs w:val="24"/>
        </w:rPr>
        <w:t xml:space="preserve"> relevant EU measures that cover to different extent the three main areas of analysis of the study. More specifically, </w:t>
      </w:r>
      <w:r w:rsidR="005D5627" w:rsidRPr="00141DCF">
        <w:rPr>
          <w:rFonts w:ascii="Times New Roman" w:hAnsi="Times New Roman"/>
          <w:noProof/>
          <w:sz w:val="24"/>
          <w:szCs w:val="24"/>
        </w:rPr>
        <w:t>15</w:t>
      </w:r>
      <w:r w:rsidRPr="00141DCF">
        <w:rPr>
          <w:rFonts w:ascii="Times New Roman" w:hAnsi="Times New Roman"/>
          <w:noProof/>
          <w:sz w:val="24"/>
          <w:szCs w:val="24"/>
        </w:rPr>
        <w:t xml:space="preserve"> legislative measures (i.e. Regulations, Directives and Council Decisions) and </w:t>
      </w:r>
      <w:r w:rsidR="005D5627" w:rsidRPr="00141DCF">
        <w:rPr>
          <w:rFonts w:ascii="Times New Roman" w:hAnsi="Times New Roman"/>
          <w:noProof/>
          <w:sz w:val="24"/>
          <w:szCs w:val="24"/>
        </w:rPr>
        <w:t>7</w:t>
      </w:r>
      <w:r w:rsidRPr="00141DCF">
        <w:rPr>
          <w:rFonts w:ascii="Times New Roman" w:hAnsi="Times New Roman"/>
          <w:noProof/>
          <w:sz w:val="24"/>
          <w:szCs w:val="24"/>
        </w:rPr>
        <w:t xml:space="preserve"> non-binding measures (i.e. manuals, handbooks, guidelines and factsheets) have been identified.</w:t>
      </w:r>
    </w:p>
    <w:p w14:paraId="1291E38A" w14:textId="77777777" w:rsidR="00D44CF0" w:rsidRPr="00141DCF" w:rsidRDefault="00D44CF0" w:rsidP="00DE1389">
      <w:pPr>
        <w:pStyle w:val="Body"/>
        <w:spacing w:beforeLines="1" w:before="2" w:afterLines="1" w:after="2"/>
        <w:jc w:val="both"/>
        <w:rPr>
          <w:rFonts w:ascii="Times New Roman" w:hAnsi="Times New Roman"/>
          <w:noProof/>
          <w:sz w:val="24"/>
          <w:szCs w:val="24"/>
        </w:rPr>
      </w:pPr>
      <w:r w:rsidRPr="00141DCF">
        <w:rPr>
          <w:rFonts w:ascii="Times New Roman" w:hAnsi="Times New Roman"/>
          <w:noProof/>
          <w:sz w:val="24"/>
          <w:szCs w:val="24"/>
        </w:rPr>
        <w:t xml:space="preserve">The EU legal framework for facilitating cross-border law enforcement cooperation between EU Member States and the Schengen area precedes the TFEU and includes </w:t>
      </w:r>
      <w:r w:rsidRPr="00141DCF">
        <w:rPr>
          <w:rFonts w:ascii="Times New Roman" w:hAnsi="Times New Roman"/>
          <w:b/>
          <w:bCs/>
          <w:noProof/>
          <w:sz w:val="24"/>
          <w:szCs w:val="24"/>
        </w:rPr>
        <w:t>foundational legal agreements,</w:t>
      </w:r>
      <w:r w:rsidRPr="00141DCF">
        <w:rPr>
          <w:rFonts w:ascii="Times New Roman" w:hAnsi="Times New Roman"/>
          <w:noProof/>
          <w:sz w:val="24"/>
          <w:szCs w:val="24"/>
        </w:rPr>
        <w:t xml:space="preserve"> such as: </w:t>
      </w:r>
    </w:p>
    <w:p w14:paraId="01D2D17F"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 xml:space="preserve">The </w:t>
      </w:r>
      <w:r w:rsidRPr="00141DCF">
        <w:rPr>
          <w:rFonts w:ascii="Times New Roman" w:hAnsi="Times New Roman"/>
          <w:b/>
          <w:noProof/>
          <w:sz w:val="24"/>
          <w:szCs w:val="24"/>
        </w:rPr>
        <w:t xml:space="preserve">Schengen </w:t>
      </w:r>
      <w:r w:rsidRPr="00141DCF">
        <w:rPr>
          <w:rFonts w:ascii="Times New Roman" w:hAnsi="Times New Roman"/>
          <w:b/>
          <w:i/>
          <w:noProof/>
          <w:sz w:val="24"/>
          <w:szCs w:val="24"/>
        </w:rPr>
        <w:t>acquis</w:t>
      </w:r>
      <w:r w:rsidRPr="00141DCF">
        <w:rPr>
          <w:rFonts w:ascii="Times New Roman" w:hAnsi="Times New Roman"/>
          <w:b/>
          <w:noProof/>
          <w:sz w:val="24"/>
          <w:szCs w:val="24"/>
        </w:rPr>
        <w:t xml:space="preserve"> – the 1990 CISA</w:t>
      </w:r>
      <w:r w:rsidRPr="00141DCF">
        <w:rPr>
          <w:rFonts w:ascii="Times New Roman" w:hAnsi="Times New Roman"/>
          <w:noProof/>
          <w:sz w:val="24"/>
          <w:szCs w:val="24"/>
        </w:rPr>
        <w:t>,</w:t>
      </w:r>
      <w:r w:rsidRPr="00141DCF">
        <w:rPr>
          <w:rStyle w:val="FootnoteReference"/>
          <w:rFonts w:ascii="Times New Roman" w:hAnsi="Times New Roman"/>
          <w:noProof/>
          <w:sz w:val="24"/>
          <w:szCs w:val="24"/>
        </w:rPr>
        <w:footnoteReference w:id="300"/>
      </w:r>
      <w:r w:rsidRPr="00141DCF">
        <w:rPr>
          <w:rFonts w:ascii="Times New Roman" w:hAnsi="Times New Roman"/>
          <w:noProof/>
          <w:sz w:val="24"/>
          <w:szCs w:val="24"/>
        </w:rPr>
        <w:t xml:space="preserve"> which sets out the terms to establish common standards for controls of the EU’s external borders and removed border checks between the signature countries.</w:t>
      </w:r>
      <w:r w:rsidRPr="00141DCF">
        <w:rPr>
          <w:rStyle w:val="FootnoteReference"/>
          <w:rFonts w:ascii="Times New Roman" w:hAnsi="Times New Roman"/>
          <w:noProof/>
          <w:sz w:val="24"/>
          <w:szCs w:val="24"/>
        </w:rPr>
        <w:footnoteReference w:id="301"/>
      </w:r>
      <w:r w:rsidRPr="00141DCF">
        <w:rPr>
          <w:rFonts w:ascii="Times New Roman" w:hAnsi="Times New Roman"/>
          <w:noProof/>
          <w:sz w:val="24"/>
          <w:szCs w:val="24"/>
        </w:rPr>
        <w:t xml:space="preserve"> </w:t>
      </w:r>
    </w:p>
    <w:p w14:paraId="37C7AA63"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 xml:space="preserve">The </w:t>
      </w:r>
      <w:r w:rsidRPr="00141DCF">
        <w:rPr>
          <w:rFonts w:ascii="Times New Roman" w:hAnsi="Times New Roman"/>
          <w:b/>
          <w:noProof/>
          <w:sz w:val="24"/>
          <w:szCs w:val="24"/>
        </w:rPr>
        <w:t>1998 Naples II Convention</w:t>
      </w:r>
      <w:r w:rsidRPr="00141DCF">
        <w:rPr>
          <w:rFonts w:ascii="Times New Roman" w:hAnsi="Times New Roman"/>
          <w:noProof/>
          <w:sz w:val="24"/>
          <w:szCs w:val="24"/>
        </w:rPr>
        <w:t xml:space="preserve"> on mutual assistance and cooperation between customs administrations,</w:t>
      </w:r>
      <w:r w:rsidRPr="00141DCF">
        <w:rPr>
          <w:rStyle w:val="FootnoteReference"/>
          <w:rFonts w:ascii="Times New Roman" w:hAnsi="Times New Roman"/>
          <w:noProof/>
          <w:sz w:val="24"/>
          <w:szCs w:val="24"/>
        </w:rPr>
        <w:footnoteReference w:id="302"/>
      </w:r>
      <w:r w:rsidRPr="00141DCF">
        <w:rPr>
          <w:rFonts w:ascii="Times New Roman" w:hAnsi="Times New Roman"/>
          <w:noProof/>
          <w:sz w:val="24"/>
          <w:szCs w:val="24"/>
        </w:rPr>
        <w:t xml:space="preserve"> which includes some provisions on criminal law enforcement cooperation. The Convention enables central coordinating units appointed within each national customs administration to exchange requests (in principle in writing) for information, surveillance, and enquiries.</w:t>
      </w:r>
      <w:r w:rsidRPr="00141DCF">
        <w:rPr>
          <w:rStyle w:val="FootnoteReference"/>
          <w:rFonts w:ascii="Times New Roman" w:hAnsi="Times New Roman"/>
          <w:noProof/>
          <w:sz w:val="24"/>
          <w:szCs w:val="24"/>
        </w:rPr>
        <w:footnoteReference w:id="303"/>
      </w:r>
      <w:r w:rsidRPr="00141DCF">
        <w:rPr>
          <w:rFonts w:ascii="Times New Roman" w:hAnsi="Times New Roman"/>
          <w:noProof/>
          <w:sz w:val="24"/>
          <w:szCs w:val="24"/>
        </w:rPr>
        <w:t xml:space="preserve"> Moreover, the Convention establishes that customs administrations must provide each other with the necessary staff and organisational support when cooperating on cross-border issues.</w:t>
      </w:r>
      <w:r w:rsidRPr="00141DCF">
        <w:rPr>
          <w:rStyle w:val="FootnoteReference"/>
          <w:rFonts w:ascii="Times New Roman" w:hAnsi="Times New Roman"/>
          <w:noProof/>
          <w:sz w:val="24"/>
          <w:szCs w:val="24"/>
        </w:rPr>
        <w:footnoteReference w:id="304"/>
      </w:r>
    </w:p>
    <w:p w14:paraId="732547CA"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 xml:space="preserve">Part of the </w:t>
      </w:r>
      <w:r w:rsidRPr="00141DCF">
        <w:rPr>
          <w:rFonts w:ascii="Times New Roman" w:hAnsi="Times New Roman"/>
          <w:b/>
          <w:noProof/>
          <w:sz w:val="24"/>
          <w:szCs w:val="24"/>
        </w:rPr>
        <w:t>Prüm Decisions</w:t>
      </w:r>
      <w:r w:rsidRPr="00141DCF">
        <w:rPr>
          <w:rFonts w:ascii="Times New Roman" w:hAnsi="Times New Roman"/>
          <w:noProof/>
          <w:sz w:val="24"/>
          <w:szCs w:val="24"/>
        </w:rPr>
        <w:t xml:space="preserve"> related to operational cooperation.</w:t>
      </w:r>
      <w:r w:rsidRPr="00141DCF">
        <w:rPr>
          <w:rStyle w:val="FootnoteReference"/>
          <w:rFonts w:ascii="Times New Roman" w:hAnsi="Times New Roman"/>
          <w:noProof/>
          <w:sz w:val="24"/>
          <w:szCs w:val="24"/>
        </w:rPr>
        <w:footnoteReference w:id="305"/>
      </w:r>
      <w:r w:rsidRPr="00141DCF">
        <w:rPr>
          <w:rFonts w:ascii="Times New Roman" w:hAnsi="Times New Roman"/>
          <w:noProof/>
          <w:sz w:val="24"/>
          <w:szCs w:val="24"/>
        </w:rPr>
        <w:t xml:space="preserve"> The Prüm Treaty was fully introduced at Union level by </w:t>
      </w:r>
      <w:r w:rsidRPr="00141DCF">
        <w:rPr>
          <w:rFonts w:ascii="Times New Roman" w:hAnsi="Times New Roman"/>
          <w:b/>
          <w:noProof/>
          <w:sz w:val="24"/>
          <w:szCs w:val="24"/>
        </w:rPr>
        <w:t>Council Decision 2008/615/JHA</w:t>
      </w:r>
      <w:r w:rsidRPr="00141DCF">
        <w:rPr>
          <w:rFonts w:ascii="Times New Roman" w:hAnsi="Times New Roman"/>
          <w:noProof/>
          <w:sz w:val="24"/>
          <w:szCs w:val="24"/>
        </w:rPr>
        <w:t xml:space="preserve"> on the stepping up of cross-border cooperation, particularly in combating terrorism and cross-border crime and by </w:t>
      </w:r>
      <w:r w:rsidRPr="00141DCF">
        <w:rPr>
          <w:rFonts w:ascii="Times New Roman" w:hAnsi="Times New Roman"/>
          <w:b/>
          <w:noProof/>
          <w:sz w:val="24"/>
          <w:szCs w:val="24"/>
        </w:rPr>
        <w:t>Council Decision 2008/616/JHA</w:t>
      </w:r>
      <w:r w:rsidRPr="00141DCF">
        <w:rPr>
          <w:rFonts w:ascii="Times New Roman" w:hAnsi="Times New Roman"/>
          <w:noProof/>
          <w:sz w:val="24"/>
          <w:szCs w:val="24"/>
        </w:rPr>
        <w:t xml:space="preserve"> on the implementation of Decision 2008/615/JHA.</w:t>
      </w:r>
    </w:p>
    <w:p w14:paraId="4C2543AF"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b/>
          <w:noProof/>
          <w:sz w:val="24"/>
          <w:szCs w:val="24"/>
        </w:rPr>
        <w:t>Council Framework Decision 2006/960/JHA</w:t>
      </w:r>
      <w:r w:rsidRPr="00141DCF">
        <w:rPr>
          <w:rFonts w:ascii="Times New Roman" w:hAnsi="Times New Roman"/>
          <w:noProof/>
          <w:sz w:val="24"/>
          <w:szCs w:val="24"/>
        </w:rPr>
        <w:t xml:space="preserve"> of 18 December 2006 (or so-called </w:t>
      </w:r>
      <w:r w:rsidRPr="00141DCF">
        <w:rPr>
          <w:rFonts w:ascii="Times New Roman" w:hAnsi="Times New Roman"/>
          <w:b/>
          <w:noProof/>
          <w:sz w:val="24"/>
          <w:szCs w:val="24"/>
        </w:rPr>
        <w:t xml:space="preserve">Swedish Framework Decision </w:t>
      </w:r>
      <w:r w:rsidRPr="00141DCF">
        <w:rPr>
          <w:rFonts w:ascii="Times New Roman" w:hAnsi="Times New Roman"/>
          <w:noProof/>
          <w:sz w:val="24"/>
          <w:szCs w:val="24"/>
        </w:rPr>
        <w:t>(</w:t>
      </w:r>
      <w:r w:rsidRPr="00141DCF">
        <w:rPr>
          <w:rFonts w:ascii="Times New Roman" w:hAnsi="Times New Roman"/>
          <w:b/>
          <w:noProof/>
          <w:sz w:val="24"/>
          <w:szCs w:val="24"/>
        </w:rPr>
        <w:t>SFD</w:t>
      </w:r>
      <w:r w:rsidRPr="00141DCF">
        <w:rPr>
          <w:rFonts w:ascii="Times New Roman" w:hAnsi="Times New Roman"/>
          <w:noProof/>
          <w:sz w:val="24"/>
          <w:szCs w:val="24"/>
        </w:rPr>
        <w:t>))</w:t>
      </w:r>
      <w:r w:rsidRPr="00141DCF">
        <w:rPr>
          <w:rStyle w:val="FootnoteReference"/>
          <w:rFonts w:ascii="Times New Roman" w:hAnsi="Times New Roman"/>
          <w:noProof/>
          <w:sz w:val="24"/>
          <w:szCs w:val="24"/>
        </w:rPr>
        <w:footnoteReference w:id="306"/>
      </w:r>
      <w:r w:rsidRPr="00141DCF">
        <w:rPr>
          <w:rFonts w:ascii="Times New Roman" w:hAnsi="Times New Roman"/>
          <w:noProof/>
          <w:sz w:val="24"/>
          <w:szCs w:val="24"/>
        </w:rPr>
        <w:t xml:space="preserve"> on simplifying the exchange of information and intelligence between LEAs of the Member States of the European Union. Adopted in the wake of the 2004 Madrid attacks, it institutes a new legal system improving information exchange, for example, by establishing a time-frame for responding to requests. According to the SFD, the exchange of information between LEAs of different Member States should not be subject to stricter conditions than those that apply between LEAs within a State.</w:t>
      </w:r>
    </w:p>
    <w:p w14:paraId="109696A1"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b/>
          <w:noProof/>
          <w:sz w:val="24"/>
          <w:szCs w:val="24"/>
        </w:rPr>
        <w:t>Council Decision 2007/412/JHA</w:t>
      </w:r>
      <w:r w:rsidRPr="00141DCF">
        <w:rPr>
          <w:rFonts w:ascii="Times New Roman" w:hAnsi="Times New Roman"/>
          <w:noProof/>
          <w:sz w:val="24"/>
          <w:szCs w:val="24"/>
        </w:rPr>
        <w:t xml:space="preserve"> of 12 June 2007 amending Decision 2002/348/JHA concerning security in connection with football matches with an international dimension. The Decision aims to prevent and combat football-related violence in order to ensure the safety of EU citizens, by outlining methods for internationally coordinated policing of football events.</w:t>
      </w:r>
    </w:p>
    <w:p w14:paraId="7C1D496B"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b/>
          <w:noProof/>
          <w:sz w:val="24"/>
          <w:szCs w:val="24"/>
        </w:rPr>
        <w:t>Council Decision 2006/560/JHA</w:t>
      </w:r>
      <w:r w:rsidRPr="00141DCF">
        <w:rPr>
          <w:rFonts w:ascii="Times New Roman" w:hAnsi="Times New Roman"/>
          <w:noProof/>
          <w:sz w:val="24"/>
          <w:szCs w:val="24"/>
        </w:rPr>
        <w:t xml:space="preserve"> of 24 July 2006 amending Decision 2003/170/JHA on the common use of liaison officers posted abroad by the law enforcement agencies of the Member States, which amends the provision of Decision 2003/170/JHA establishing a common framework for liaison officers seconded from the Member States with the aim of improving cooperation in preventing and combating all forms of international crime.</w:t>
      </w:r>
      <w:r w:rsidRPr="00141DCF">
        <w:rPr>
          <w:rStyle w:val="FootnoteReference"/>
          <w:rFonts w:ascii="Times New Roman" w:hAnsi="Times New Roman"/>
          <w:noProof/>
          <w:sz w:val="24"/>
          <w:szCs w:val="24"/>
        </w:rPr>
        <w:footnoteReference w:id="307"/>
      </w:r>
    </w:p>
    <w:p w14:paraId="4D4B1B45" w14:textId="77777777" w:rsidR="00D44CF0" w:rsidRPr="00141DCF" w:rsidRDefault="00D44CF0" w:rsidP="00D44CF0">
      <w:pPr>
        <w:pStyle w:val="Body"/>
        <w:spacing w:beforeLines="1" w:before="2" w:afterLines="1" w:after="2"/>
        <w:rPr>
          <w:rFonts w:ascii="Times New Roman" w:hAnsi="Times New Roman"/>
          <w:noProof/>
          <w:sz w:val="24"/>
          <w:szCs w:val="24"/>
        </w:rPr>
      </w:pPr>
    </w:p>
    <w:p w14:paraId="5562164F" w14:textId="77777777" w:rsidR="00D44CF0" w:rsidRPr="00141DCF" w:rsidRDefault="00D44CF0" w:rsidP="00725A8C">
      <w:pPr>
        <w:pStyle w:val="Body"/>
        <w:spacing w:beforeLines="1" w:before="2" w:after="120"/>
        <w:jc w:val="both"/>
        <w:rPr>
          <w:rFonts w:ascii="Times New Roman" w:hAnsi="Times New Roman"/>
          <w:b/>
          <w:bCs/>
          <w:noProof/>
          <w:sz w:val="24"/>
          <w:szCs w:val="24"/>
        </w:rPr>
      </w:pPr>
      <w:r w:rsidRPr="00141DCF">
        <w:rPr>
          <w:rFonts w:ascii="Times New Roman" w:hAnsi="Times New Roman"/>
          <w:noProof/>
          <w:sz w:val="24"/>
          <w:szCs w:val="24"/>
        </w:rPr>
        <w:t xml:space="preserve">While these conventions and decisions contribute to consolidating the EU legal framework in the area of Freedom, Security and Justice, </w:t>
      </w:r>
      <w:r w:rsidRPr="00141DCF">
        <w:rPr>
          <w:rFonts w:ascii="Times New Roman" w:hAnsi="Times New Roman"/>
          <w:b/>
          <w:bCs/>
          <w:noProof/>
          <w:sz w:val="24"/>
          <w:szCs w:val="24"/>
        </w:rPr>
        <w:t>they do not apply to all EU Member States and SACs and leave considerable flexibility to the Member States</w:t>
      </w:r>
      <w:r w:rsidRPr="00141DCF">
        <w:rPr>
          <w:rStyle w:val="CommentReference"/>
          <w:rFonts w:ascii="Times New Roman" w:hAnsi="Times New Roman"/>
          <w:noProof/>
          <w:sz w:val="24"/>
          <w:szCs w:val="24"/>
        </w:rPr>
        <w:t xml:space="preserve"> </w:t>
      </w:r>
      <w:r w:rsidRPr="00141DCF">
        <w:rPr>
          <w:rFonts w:ascii="Times New Roman" w:hAnsi="Times New Roman"/>
          <w:b/>
          <w:bCs/>
          <w:noProof/>
          <w:sz w:val="24"/>
          <w:szCs w:val="24"/>
        </w:rPr>
        <w:t>in implementing them at the national level</w:t>
      </w:r>
      <w:r w:rsidRPr="00141DCF">
        <w:rPr>
          <w:rFonts w:ascii="Times New Roman" w:hAnsi="Times New Roman"/>
          <w:noProof/>
          <w:sz w:val="24"/>
          <w:szCs w:val="24"/>
        </w:rPr>
        <w:t>. For example, some EU Member States, including Bulgaria, Croatia, Cyprus and Romania, have not fully integrated the Schengen area, and Ireland has opted out of the Schengen Agreement.</w:t>
      </w:r>
    </w:p>
    <w:p w14:paraId="2EFEB249" w14:textId="77777777" w:rsidR="00D44CF0" w:rsidRPr="00141DCF" w:rsidRDefault="00D44CF0" w:rsidP="00725A8C">
      <w:pPr>
        <w:pStyle w:val="Body"/>
        <w:spacing w:beforeLines="1" w:before="2" w:after="120"/>
        <w:jc w:val="both"/>
        <w:rPr>
          <w:rFonts w:ascii="Times New Roman" w:hAnsi="Times New Roman"/>
          <w:noProof/>
          <w:sz w:val="24"/>
          <w:szCs w:val="24"/>
        </w:rPr>
      </w:pPr>
      <w:r w:rsidRPr="00141DCF">
        <w:rPr>
          <w:rFonts w:ascii="Times New Roman" w:hAnsi="Times New Roman"/>
          <w:noProof/>
          <w:sz w:val="24"/>
          <w:szCs w:val="24"/>
        </w:rPr>
        <w:t xml:space="preserve">Additional EU legislation has been introduced since the TFEU to further harmonise EU LEAs’ approach and cooperation to tackle cross-border crimes and ensure the safety and security of EU citizens. These legislative tools include, among others, </w:t>
      </w:r>
      <w:r w:rsidRPr="00141DCF">
        <w:rPr>
          <w:rFonts w:ascii="Times New Roman" w:hAnsi="Times New Roman"/>
          <w:b/>
          <w:bCs/>
          <w:noProof/>
          <w:sz w:val="24"/>
          <w:szCs w:val="24"/>
        </w:rPr>
        <w:t>Regulations on the creation of EU decentralised agencies in the area of Freedom, Security and Justice</w:t>
      </w:r>
      <w:r w:rsidRPr="00141DCF">
        <w:rPr>
          <w:rFonts w:ascii="Times New Roman" w:hAnsi="Times New Roman"/>
          <w:noProof/>
          <w:sz w:val="24"/>
          <w:szCs w:val="24"/>
        </w:rPr>
        <w:t xml:space="preserve"> such as Europol, Frontex, Eurojust and eu-LISA. These agencies play a crucial role in facilitating information sharing and supporting operational cooperation between Member States and SACs. More specifically, they contribute to the assessment of common security threats, help define common priorities for operational action, and promote and facilitate cross-border cooperation and prosecution. However, Member States’ and SACs’ engagement and contribution to the work of these agencies varies and the EU decentralised agencies have limited decision-making power and competences on operational matters.</w:t>
      </w:r>
    </w:p>
    <w:p w14:paraId="7C0A6F56" w14:textId="77777777" w:rsidR="00D44CF0" w:rsidRPr="00141DCF" w:rsidRDefault="00D44CF0" w:rsidP="00725A8C">
      <w:pPr>
        <w:pStyle w:val="Body"/>
        <w:spacing w:beforeLines="1" w:before="2" w:after="120"/>
        <w:jc w:val="both"/>
        <w:rPr>
          <w:rFonts w:ascii="Times New Roman" w:hAnsi="Times New Roman"/>
          <w:noProof/>
          <w:sz w:val="24"/>
          <w:szCs w:val="24"/>
        </w:rPr>
      </w:pPr>
      <w:r w:rsidRPr="00141DCF">
        <w:rPr>
          <w:rFonts w:ascii="Times New Roman" w:hAnsi="Times New Roman"/>
          <w:noProof/>
          <w:sz w:val="24"/>
          <w:szCs w:val="24"/>
        </w:rPr>
        <w:t xml:space="preserve">Besides the establishment of a legislative framework facilitating cross-border law enforcement cooperation within the EU and the Schengen Area, </w:t>
      </w:r>
      <w:r w:rsidRPr="00141DCF">
        <w:rPr>
          <w:rFonts w:ascii="Times New Roman" w:hAnsi="Times New Roman"/>
          <w:b/>
          <w:bCs/>
          <w:noProof/>
          <w:sz w:val="24"/>
          <w:szCs w:val="24"/>
        </w:rPr>
        <w:t>the EU has also fostered greater cooperation between law enforcement bodies through the publication of recommendations and guidelines, as well as a series of strategic and operational initiatives</w:t>
      </w:r>
      <w:r w:rsidRPr="00141DCF">
        <w:rPr>
          <w:rFonts w:ascii="Times New Roman" w:hAnsi="Times New Roman"/>
          <w:noProof/>
          <w:sz w:val="24"/>
          <w:szCs w:val="24"/>
        </w:rPr>
        <w:t>.</w:t>
      </w:r>
    </w:p>
    <w:p w14:paraId="375E27C2" w14:textId="77777777" w:rsidR="00D44CF0" w:rsidRPr="00141DCF" w:rsidRDefault="00D44CF0" w:rsidP="00725A8C">
      <w:pPr>
        <w:pStyle w:val="Body"/>
        <w:spacing w:beforeLines="1" w:before="2" w:after="120"/>
        <w:jc w:val="both"/>
        <w:rPr>
          <w:rFonts w:ascii="Times New Roman" w:hAnsi="Times New Roman"/>
          <w:noProof/>
          <w:sz w:val="24"/>
          <w:szCs w:val="24"/>
        </w:rPr>
      </w:pPr>
      <w:r w:rsidRPr="00141DCF">
        <w:rPr>
          <w:rFonts w:ascii="Times New Roman" w:hAnsi="Times New Roman"/>
          <w:b/>
          <w:noProof/>
          <w:sz w:val="24"/>
          <w:szCs w:val="24"/>
        </w:rPr>
        <w:t>Recommendations and guidelines</w:t>
      </w:r>
      <w:r w:rsidRPr="00141DCF">
        <w:rPr>
          <w:rFonts w:ascii="Times New Roman" w:hAnsi="Times New Roman"/>
          <w:noProof/>
          <w:sz w:val="24"/>
          <w:szCs w:val="24"/>
        </w:rPr>
        <w:t xml:space="preserve"> developed at the EU level are non-binding documents, which seek to record good practices for law enforcement cooperation within the EU and Schengen area and provide additional clarification. These non-binding measures provide, among the others, on instructions to implement the SFD and Naples II Convention, recommendations for the correct application of the Schengen Acquis, on Single Point of Contacts (SPOCs) and Police Customs Cooperation Centres (PCCCs) and measures to prevent and control violence and disturbances in connection with football matches with an international dimension. While these recommendations and guidelines lay out the grounds for adopting common approaches to tackling cross-border crimes, they are not legally binding for EU Member States or SACs. As such, they do not participate in harmonising the legal framework for cross-border cooperation in the strict sense, but may still serve to align the approaches of the Member States and SACs based on an increased common understanding of and approach to the implementation and application of existing provisions.</w:t>
      </w:r>
    </w:p>
    <w:p w14:paraId="32281E83" w14:textId="77777777" w:rsidR="00D44CF0" w:rsidRPr="00141DCF" w:rsidRDefault="00D44CF0" w:rsidP="00A61835">
      <w:pPr>
        <w:pStyle w:val="Body"/>
        <w:spacing w:beforeLines="1" w:before="2" w:after="120"/>
        <w:jc w:val="both"/>
        <w:rPr>
          <w:rFonts w:ascii="Times New Roman" w:hAnsi="Times New Roman"/>
          <w:noProof/>
          <w:sz w:val="24"/>
          <w:szCs w:val="24"/>
        </w:rPr>
      </w:pPr>
      <w:r w:rsidRPr="00141DCF">
        <w:rPr>
          <w:rFonts w:ascii="Times New Roman" w:hAnsi="Times New Roman"/>
          <w:noProof/>
          <w:sz w:val="24"/>
          <w:szCs w:val="24"/>
        </w:rPr>
        <w:t xml:space="preserve">The following sections provide a descriptive overview of the nature and content of the EU measures related to the three dimensions of analysis of the study, i.e. access to/exchange of information, operational cooperation for public order and safety, and operational cooperation to combat SOC and terrorism. Moreover, specific EU measures have been identified in relation to data protection during cross-border law enforcement operations. These are also described. Finally, the last section focuses on EU measures establishing EU decentralised agencies relevant to intra-EU law enforcement cooperation. </w:t>
      </w:r>
    </w:p>
    <w:p w14:paraId="482743AF" w14:textId="77777777" w:rsidR="00D44CF0" w:rsidRDefault="00725A8C" w:rsidP="00A61835">
      <w:pPr>
        <w:pStyle w:val="Body"/>
        <w:spacing w:beforeLines="1" w:before="2" w:after="120"/>
        <w:jc w:val="both"/>
        <w:rPr>
          <w:noProof/>
        </w:rPr>
      </w:pPr>
      <w:r w:rsidRPr="00141DCF">
        <w:rPr>
          <w:rFonts w:ascii="Times New Roman" w:hAnsi="Times New Roman"/>
          <w:noProof/>
          <w:sz w:val="24"/>
          <w:szCs w:val="24"/>
        </w:rPr>
        <w:t xml:space="preserve">The table below </w:t>
      </w:r>
      <w:r w:rsidR="00D44CF0" w:rsidRPr="00141DCF">
        <w:rPr>
          <w:rFonts w:ascii="Times New Roman" w:hAnsi="Times New Roman"/>
          <w:noProof/>
          <w:sz w:val="24"/>
          <w:szCs w:val="24"/>
        </w:rPr>
        <w:t xml:space="preserve">provides an overview of all identified relevant EU measures along with the relevant dimension(s) of analysis covered by each measure. It shall be noted that some EU measures include provisions that are relevant for more than one dimension of analysis. Given the horizontal nature of exchange of information, most of the measures analysed under this dimension also include provisions that are relevant to SOC and public order. </w:t>
      </w:r>
    </w:p>
    <w:p w14:paraId="255C5DFA" w14:textId="77777777" w:rsidR="00D44CF0" w:rsidRPr="00141DCF" w:rsidRDefault="00D44CF0" w:rsidP="00D44CF0">
      <w:pPr>
        <w:pStyle w:val="Caption"/>
        <w:keepNext/>
        <w:keepLines/>
        <w:widowControl w:val="0"/>
        <w:spacing w:beforeLines="50" w:afterLines="50"/>
        <w:jc w:val="center"/>
        <w:rPr>
          <w:rFonts w:ascii="Times New Roman" w:hAnsi="Times New Roman"/>
          <w:noProof/>
          <w:sz w:val="24"/>
          <w:szCs w:val="24"/>
          <w:lang w:val="en-GB"/>
        </w:rPr>
      </w:pPr>
      <w:bookmarkStart w:id="209" w:name="_Ref69373081"/>
      <w:bookmarkEnd w:id="209"/>
      <w:r w:rsidRPr="00141DCF">
        <w:rPr>
          <w:rFonts w:ascii="Times New Roman" w:hAnsi="Times New Roman"/>
          <w:noProof/>
          <w:sz w:val="24"/>
          <w:szCs w:val="24"/>
          <w:lang w:val="en-GB"/>
        </w:rPr>
        <w:t>EU measures by dimension of analysis</w:t>
      </w:r>
    </w:p>
    <w:tbl>
      <w:tblPr>
        <w:tblStyle w:val="none4"/>
        <w:tblW w:w="5000" w:type="pct"/>
        <w:tblInd w:w="0" w:type="dxa"/>
        <w:tblLook w:val="04A0" w:firstRow="1" w:lastRow="0" w:firstColumn="1" w:lastColumn="0" w:noHBand="0" w:noVBand="1"/>
      </w:tblPr>
      <w:tblGrid>
        <w:gridCol w:w="9854"/>
      </w:tblGrid>
      <w:tr w:rsidR="005D5627" w:rsidRPr="00141DCF" w14:paraId="5B61B240" w14:textId="77777777" w:rsidTr="00DE1389">
        <w:trPr>
          <w:cnfStyle w:val="100000000000" w:firstRow="1" w:lastRow="0" w:firstColumn="0" w:lastColumn="0" w:oddVBand="0" w:evenVBand="0" w:oddHBand="0" w:evenHBand="0" w:firstRowFirstColumn="0" w:firstRowLastColumn="0" w:lastRowFirstColumn="0" w:lastRowLastColumn="0"/>
          <w:trHeight w:val="294"/>
          <w:tblHeader/>
        </w:trPr>
        <w:tc>
          <w:tcPr>
            <w:tcW w:w="5000" w:type="pct"/>
            <w:vMerge w:val="restart"/>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638E0BA5" w14:textId="77777777" w:rsidR="005D5627" w:rsidRPr="00704502" w:rsidRDefault="005D5627" w:rsidP="005F2038">
            <w:pPr>
              <w:pStyle w:val="Body"/>
              <w:spacing w:beforeLines="1" w:before="2" w:afterLines="1" w:after="2"/>
              <w:jc w:val="center"/>
              <w:rPr>
                <w:noProof/>
                <w:sz w:val="20"/>
                <w:szCs w:val="20"/>
              </w:rPr>
            </w:pPr>
            <w:r w:rsidRPr="00704502">
              <w:rPr>
                <w:noProof/>
                <w:sz w:val="20"/>
                <w:szCs w:val="20"/>
              </w:rPr>
              <w:t>Measures</w:t>
            </w:r>
          </w:p>
        </w:tc>
      </w:tr>
      <w:tr w:rsidR="005D5627" w:rsidRPr="00141DCF" w14:paraId="758C2DFB" w14:textId="77777777" w:rsidTr="00DE1389">
        <w:trPr>
          <w:cnfStyle w:val="100000000000" w:firstRow="1" w:lastRow="0" w:firstColumn="0" w:lastColumn="0" w:oddVBand="0" w:evenVBand="0" w:oddHBand="0" w:evenHBand="0" w:firstRowFirstColumn="0" w:firstRowLastColumn="0" w:lastRowFirstColumn="0" w:lastRowLastColumn="0"/>
          <w:trHeight w:val="335"/>
          <w:tblHeader/>
        </w:trPr>
        <w:tc>
          <w:tcPr>
            <w:tcW w:w="5000" w:type="pct"/>
            <w:vMerge/>
            <w:tcBorders>
              <w:top w:val="single" w:sz="4" w:space="0" w:color="FFFFFF"/>
              <w:left w:val="single" w:sz="4" w:space="0" w:color="FFFFFF"/>
              <w:bottom w:val="single" w:sz="4" w:space="0" w:color="FFFFFF"/>
              <w:right w:val="single" w:sz="4" w:space="0" w:color="FFFFFF"/>
            </w:tcBorders>
            <w:vAlign w:val="center"/>
            <w:hideMark/>
          </w:tcPr>
          <w:p w14:paraId="4E001E03" w14:textId="77777777" w:rsidR="005D5627" w:rsidRPr="00704502" w:rsidRDefault="005D5627" w:rsidP="005F2038">
            <w:pPr>
              <w:spacing w:after="0"/>
              <w:rPr>
                <w:noProof/>
                <w:sz w:val="20"/>
                <w:szCs w:val="20"/>
                <w:lang w:val="en-GB"/>
              </w:rPr>
            </w:pPr>
          </w:p>
        </w:tc>
      </w:tr>
      <w:tr w:rsidR="005D5627" w:rsidRPr="00141DCF" w14:paraId="59ECF2F5" w14:textId="77777777" w:rsidTr="00DE1389">
        <w:tc>
          <w:tcPr>
            <w:tcW w:w="5000" w:type="pct"/>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center"/>
            <w:hideMark/>
          </w:tcPr>
          <w:p w14:paraId="1DCCEEAC" w14:textId="77777777" w:rsidR="005D5627" w:rsidRPr="00704502" w:rsidRDefault="005D5627" w:rsidP="005F2038">
            <w:pPr>
              <w:pStyle w:val="Body"/>
              <w:spacing w:beforeLines="1" w:before="2" w:afterLines="1" w:after="2"/>
              <w:rPr>
                <w:b/>
                <w:bCs/>
                <w:noProof/>
                <w:szCs w:val="18"/>
              </w:rPr>
            </w:pPr>
            <w:r w:rsidRPr="00704502">
              <w:rPr>
                <w:b/>
                <w:bCs/>
                <w:noProof/>
                <w:sz w:val="20"/>
                <w:szCs w:val="18"/>
              </w:rPr>
              <w:t xml:space="preserve">Binding measures </w:t>
            </w:r>
          </w:p>
        </w:tc>
      </w:tr>
      <w:tr w:rsidR="005D5627" w:rsidRPr="00141DCF" w14:paraId="6F901EA5"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72317CDD" w14:textId="77777777" w:rsidR="005D5627" w:rsidRPr="00704502" w:rsidRDefault="005D5627" w:rsidP="005F2038">
            <w:pPr>
              <w:pStyle w:val="Body"/>
              <w:spacing w:beforeLines="1" w:before="2" w:afterLines="1" w:after="2"/>
              <w:rPr>
                <w:noProof/>
                <w:szCs w:val="18"/>
              </w:rPr>
            </w:pPr>
            <w:r w:rsidRPr="00704502">
              <w:rPr>
                <w:noProof/>
                <w:sz w:val="20"/>
                <w:szCs w:val="18"/>
              </w:rPr>
              <w:t>CISA 1990</w:t>
            </w:r>
          </w:p>
        </w:tc>
      </w:tr>
      <w:tr w:rsidR="005D5627" w:rsidRPr="00141DCF" w14:paraId="7234B73D"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06F4A398" w14:textId="77777777" w:rsidR="005D5627" w:rsidRPr="00704502" w:rsidRDefault="005D5627" w:rsidP="005F2038">
            <w:pPr>
              <w:pStyle w:val="Body"/>
              <w:spacing w:beforeLines="1" w:before="2" w:afterLines="1" w:after="2"/>
              <w:rPr>
                <w:noProof/>
                <w:szCs w:val="18"/>
              </w:rPr>
            </w:pPr>
            <w:r w:rsidRPr="00704502">
              <w:rPr>
                <w:noProof/>
                <w:sz w:val="20"/>
                <w:szCs w:val="18"/>
              </w:rPr>
              <w:t>Convention on mutual assistance and cooperation between customs administrations (Naples II Convention) - OJ C 24 1998</w:t>
            </w:r>
          </w:p>
        </w:tc>
      </w:tr>
      <w:tr w:rsidR="005D5627" w:rsidRPr="00141DCF" w14:paraId="568D178A"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6B6681C3" w14:textId="77777777" w:rsidR="005D5627" w:rsidRPr="00704502" w:rsidRDefault="005D5627" w:rsidP="005F2038">
            <w:pPr>
              <w:pStyle w:val="Body"/>
              <w:spacing w:beforeLines="1" w:before="2" w:afterLines="1" w:after="2"/>
              <w:rPr>
                <w:noProof/>
                <w:szCs w:val="18"/>
              </w:rPr>
            </w:pPr>
            <w:r w:rsidRPr="00704502">
              <w:rPr>
                <w:noProof/>
                <w:sz w:val="20"/>
                <w:szCs w:val="18"/>
              </w:rPr>
              <w:t xml:space="preserve">Council Decision 2002/348/JHA concerning security in connection with football matches with an international dimension </w:t>
            </w:r>
          </w:p>
        </w:tc>
      </w:tr>
      <w:tr w:rsidR="005D5627" w:rsidRPr="00141DCF" w14:paraId="3A992032"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7DCCF327" w14:textId="77777777" w:rsidR="005D5627" w:rsidRPr="00704502" w:rsidRDefault="005D5627" w:rsidP="005F2038">
            <w:pPr>
              <w:pStyle w:val="Body"/>
              <w:spacing w:beforeLines="1" w:before="2" w:afterLines="1" w:after="2"/>
              <w:rPr>
                <w:noProof/>
                <w:szCs w:val="18"/>
              </w:rPr>
            </w:pPr>
            <w:r w:rsidRPr="00704502">
              <w:rPr>
                <w:noProof/>
                <w:sz w:val="20"/>
                <w:szCs w:val="18"/>
              </w:rPr>
              <w:t>Council Decision 2005/671/JHA on the exchange of information and cooperation concerning terrorist offences</w:t>
            </w:r>
          </w:p>
        </w:tc>
      </w:tr>
      <w:tr w:rsidR="005D5627" w:rsidRPr="00141DCF" w14:paraId="64249E00"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1F74EFEA" w14:textId="77777777" w:rsidR="005D5627" w:rsidRPr="00704502" w:rsidRDefault="005D5627" w:rsidP="005F2038">
            <w:pPr>
              <w:pStyle w:val="Body"/>
              <w:spacing w:beforeLines="1" w:before="2" w:afterLines="1" w:after="2"/>
              <w:rPr>
                <w:noProof/>
                <w:szCs w:val="18"/>
              </w:rPr>
            </w:pPr>
            <w:r w:rsidRPr="00704502">
              <w:rPr>
                <w:noProof/>
                <w:sz w:val="20"/>
                <w:szCs w:val="18"/>
              </w:rPr>
              <w:t xml:space="preserve">Council Decision 2006/560/JHA of 24 July 2006 amending Decision 2003/170/JHA on the common use of liaison officers posted abroad by the law enforcement agencies of the Member States </w:t>
            </w:r>
          </w:p>
        </w:tc>
      </w:tr>
      <w:tr w:rsidR="005D5627" w:rsidRPr="00141DCF" w14:paraId="65D805B8"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6BCE5677" w14:textId="77777777" w:rsidR="005D5627" w:rsidRPr="00704502" w:rsidRDefault="005D5627" w:rsidP="005F2038">
            <w:pPr>
              <w:pStyle w:val="Body"/>
              <w:spacing w:beforeLines="1" w:before="2" w:afterLines="1" w:after="2"/>
              <w:rPr>
                <w:noProof/>
                <w:szCs w:val="18"/>
              </w:rPr>
            </w:pPr>
            <w:r w:rsidRPr="00704502">
              <w:rPr>
                <w:noProof/>
                <w:sz w:val="20"/>
                <w:szCs w:val="18"/>
              </w:rPr>
              <w:t>Council Decision 2007/412/JHA concerning security in connection with football matches with an international dimension</w:t>
            </w:r>
          </w:p>
        </w:tc>
      </w:tr>
      <w:tr w:rsidR="005D5627" w:rsidRPr="00141DCF" w14:paraId="29501009"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2B6052AA" w14:textId="77777777" w:rsidR="005D5627" w:rsidRPr="00704502" w:rsidRDefault="005D5627" w:rsidP="005F2038">
            <w:pPr>
              <w:pStyle w:val="Body"/>
              <w:spacing w:beforeLines="1" w:before="2" w:afterLines="1" w:after="2"/>
              <w:rPr>
                <w:noProof/>
                <w:szCs w:val="18"/>
              </w:rPr>
            </w:pPr>
            <w:r w:rsidRPr="00704502">
              <w:rPr>
                <w:noProof/>
                <w:sz w:val="20"/>
                <w:szCs w:val="18"/>
              </w:rPr>
              <w:t xml:space="preserve">Council Decision 2008/615/JHA on the stepping up of cross-border cooperation, particularly in combating terrorism and cross-border crime </w:t>
            </w:r>
          </w:p>
        </w:tc>
      </w:tr>
      <w:tr w:rsidR="005D5627" w:rsidRPr="00141DCF" w14:paraId="05F3E0CC"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7F83FFA9" w14:textId="77777777" w:rsidR="005D5627" w:rsidRPr="00704502" w:rsidRDefault="005D5627" w:rsidP="005F2038">
            <w:pPr>
              <w:pStyle w:val="Body"/>
              <w:spacing w:beforeLines="1" w:before="2" w:afterLines="1" w:after="2"/>
              <w:rPr>
                <w:noProof/>
                <w:szCs w:val="18"/>
              </w:rPr>
            </w:pPr>
            <w:r w:rsidRPr="00704502">
              <w:rPr>
                <w:noProof/>
                <w:sz w:val="20"/>
                <w:szCs w:val="18"/>
              </w:rPr>
              <w:t>Council Decision 2008/616/JHA of 23 June 2008 on the implementation of Decision 2008/615/JHA on the stepping up of cross-border cooperation, particularly in combating terrorism and cross-border crime</w:t>
            </w:r>
          </w:p>
        </w:tc>
      </w:tr>
      <w:tr w:rsidR="005D5627" w:rsidRPr="00141DCF" w14:paraId="3E8CC1D2"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7803A2E2" w14:textId="77777777" w:rsidR="005D5627" w:rsidRPr="00704502" w:rsidRDefault="005D5627" w:rsidP="005F2038">
            <w:pPr>
              <w:pStyle w:val="Body"/>
              <w:spacing w:beforeLines="1" w:before="2" w:afterLines="1" w:after="2"/>
              <w:rPr>
                <w:noProof/>
                <w:szCs w:val="18"/>
              </w:rPr>
            </w:pPr>
            <w:r w:rsidRPr="00704502">
              <w:rPr>
                <w:noProof/>
                <w:sz w:val="20"/>
                <w:szCs w:val="18"/>
              </w:rPr>
              <w:t>Council Decision 2008/633/JHA concerning access for consultation of the Visa Information System (VIS) by designated authorities of Member States and by Europol for the purposes of the prevention, detection and investigation of terrorist offences and of other serious criminal offences</w:t>
            </w:r>
          </w:p>
        </w:tc>
      </w:tr>
      <w:tr w:rsidR="005D5627" w:rsidRPr="00141DCF" w14:paraId="13891FFA"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38F469BC" w14:textId="77777777" w:rsidR="005D5627" w:rsidRPr="00704502" w:rsidRDefault="005D5627" w:rsidP="005F2038">
            <w:pPr>
              <w:pStyle w:val="Body"/>
              <w:spacing w:beforeLines="1" w:before="2" w:afterLines="1" w:after="2"/>
              <w:rPr>
                <w:noProof/>
                <w:szCs w:val="18"/>
              </w:rPr>
            </w:pPr>
            <w:r w:rsidRPr="00704502">
              <w:rPr>
                <w:noProof/>
                <w:sz w:val="20"/>
                <w:szCs w:val="18"/>
              </w:rPr>
              <w:t>Council Decision 2009/917/JHA on the use of information technology for customs purposes</w:t>
            </w:r>
          </w:p>
        </w:tc>
      </w:tr>
      <w:tr w:rsidR="005D5627" w:rsidRPr="00141DCF" w14:paraId="2081A0A6"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0E9C62A9" w14:textId="77777777" w:rsidR="005D5627" w:rsidRPr="00704502" w:rsidRDefault="005D5627" w:rsidP="005F2038">
            <w:pPr>
              <w:pStyle w:val="Body"/>
              <w:spacing w:beforeLines="1" w:before="2" w:afterLines="1" w:after="2"/>
              <w:rPr>
                <w:noProof/>
                <w:szCs w:val="18"/>
              </w:rPr>
            </w:pPr>
            <w:r w:rsidRPr="00704502">
              <w:rPr>
                <w:noProof/>
                <w:sz w:val="20"/>
                <w:szCs w:val="18"/>
              </w:rPr>
              <w:t>Council Framework Decision 2006/960/JHA on simplifying the exchange of information and intelligence (SFD)</w:t>
            </w:r>
          </w:p>
        </w:tc>
      </w:tr>
      <w:tr w:rsidR="005D5627" w:rsidRPr="00141DCF" w14:paraId="25EE414B"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27FCBD13" w14:textId="77777777" w:rsidR="005D5627" w:rsidRPr="00704502" w:rsidRDefault="005D5627" w:rsidP="005F2038">
            <w:pPr>
              <w:pStyle w:val="Body"/>
              <w:spacing w:beforeLines="1" w:before="2" w:afterLines="1" w:after="2"/>
              <w:rPr>
                <w:noProof/>
                <w:szCs w:val="18"/>
              </w:rPr>
            </w:pPr>
            <w:r w:rsidRPr="00704502">
              <w:rPr>
                <w:noProof/>
                <w:sz w:val="20"/>
                <w:szCs w:val="18"/>
              </w:rPr>
              <w:t>Regulation (EU) 2018/1860 on the use of the SIS for the return of illegally staying third-country nationals</w:t>
            </w:r>
          </w:p>
        </w:tc>
      </w:tr>
      <w:tr w:rsidR="005D5627" w:rsidRPr="00141DCF" w14:paraId="315FD7A7"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404BA759" w14:textId="77777777" w:rsidR="005D5627" w:rsidRPr="00704502" w:rsidRDefault="005D5627" w:rsidP="005F2038">
            <w:pPr>
              <w:pStyle w:val="Body"/>
              <w:spacing w:beforeLines="1" w:before="2" w:afterLines="1" w:after="2"/>
              <w:rPr>
                <w:noProof/>
                <w:szCs w:val="18"/>
              </w:rPr>
            </w:pPr>
            <w:r w:rsidRPr="00704502">
              <w:rPr>
                <w:noProof/>
                <w:sz w:val="20"/>
                <w:szCs w:val="18"/>
              </w:rPr>
              <w:t>Regulation (EU) 2018/1861 on the establishment, operation and use of the SIS in the field of border check</w:t>
            </w:r>
          </w:p>
        </w:tc>
      </w:tr>
      <w:tr w:rsidR="005D5627" w:rsidRPr="00141DCF" w14:paraId="01CDAD90"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44E0DEBC" w14:textId="77777777" w:rsidR="005D5627" w:rsidRPr="00704502" w:rsidRDefault="005D5627" w:rsidP="005F2038">
            <w:pPr>
              <w:pStyle w:val="Body"/>
              <w:spacing w:beforeLines="1" w:before="2" w:afterLines="1" w:after="2"/>
              <w:rPr>
                <w:noProof/>
                <w:szCs w:val="18"/>
              </w:rPr>
            </w:pPr>
            <w:r w:rsidRPr="00704502">
              <w:rPr>
                <w:noProof/>
                <w:sz w:val="20"/>
                <w:szCs w:val="18"/>
              </w:rPr>
              <w:t>Regulation (EU) 2018/1862 on the establishment, operation and use of the SIS in the field of police cooperation</w:t>
            </w:r>
          </w:p>
        </w:tc>
      </w:tr>
      <w:tr w:rsidR="005D5627" w:rsidRPr="00141DCF" w14:paraId="64BD6747" w14:textId="77777777" w:rsidTr="00DE1389">
        <w:trPr>
          <w:trHeight w:val="339"/>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4A8829EE" w14:textId="77777777" w:rsidR="005D5627" w:rsidRPr="00704502" w:rsidRDefault="005D5627" w:rsidP="005F2038">
            <w:pPr>
              <w:pStyle w:val="Body"/>
              <w:spacing w:beforeLines="1" w:before="2" w:afterLines="1" w:after="2"/>
              <w:rPr>
                <w:noProof/>
                <w:szCs w:val="18"/>
                <w:highlight w:val="yellow"/>
              </w:rPr>
            </w:pPr>
            <w:r w:rsidRPr="00704502">
              <w:rPr>
                <w:noProof/>
                <w:sz w:val="20"/>
                <w:szCs w:val="18"/>
              </w:rPr>
              <w:t xml:space="preserve">Regulation (EU) 2019/818 on establishing a framework for interoperability between EU information systems in the field of police and judicial cooperation, asylum and migration </w:t>
            </w:r>
          </w:p>
        </w:tc>
      </w:tr>
      <w:tr w:rsidR="005D5627" w:rsidRPr="00141DCF" w14:paraId="38C26095" w14:textId="77777777" w:rsidTr="00DE1389">
        <w:tc>
          <w:tcPr>
            <w:tcW w:w="5000" w:type="pct"/>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center"/>
            <w:hideMark/>
          </w:tcPr>
          <w:p w14:paraId="512FFB23" w14:textId="77777777" w:rsidR="005D5627" w:rsidRPr="00704502" w:rsidRDefault="005D5627" w:rsidP="005F2038">
            <w:pPr>
              <w:pStyle w:val="Body"/>
              <w:widowControl w:val="0"/>
              <w:spacing w:beforeLines="1" w:before="2" w:afterLines="1" w:after="2"/>
              <w:rPr>
                <w:b/>
                <w:bCs/>
                <w:noProof/>
                <w:szCs w:val="18"/>
              </w:rPr>
            </w:pPr>
            <w:r w:rsidRPr="00704502">
              <w:rPr>
                <w:b/>
                <w:bCs/>
                <w:noProof/>
                <w:sz w:val="20"/>
                <w:szCs w:val="18"/>
              </w:rPr>
              <w:t>Non-binding measures</w:t>
            </w:r>
          </w:p>
        </w:tc>
      </w:tr>
      <w:tr w:rsidR="005D5627" w:rsidRPr="00141DCF" w14:paraId="5E02B8D9"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13FFF911" w14:textId="77777777" w:rsidR="005D5627" w:rsidRPr="00704502" w:rsidRDefault="005D5627" w:rsidP="005F2038">
            <w:pPr>
              <w:pStyle w:val="Body"/>
              <w:spacing w:beforeLines="1" w:before="2" w:afterLines="1" w:after="2"/>
              <w:rPr>
                <w:noProof/>
                <w:szCs w:val="18"/>
              </w:rPr>
            </w:pPr>
            <w:r w:rsidRPr="00704502">
              <w:rPr>
                <w:noProof/>
                <w:sz w:val="20"/>
                <w:szCs w:val="18"/>
              </w:rPr>
              <w:t>Council Document 10000/07 - Proposal for a Council Recommendation on a standard procedure in Member States for cross-border enquiries by police authorities in investigating supply channels for seized or recovered crime-related firearms</w:t>
            </w:r>
          </w:p>
        </w:tc>
      </w:tr>
      <w:tr w:rsidR="005D5627" w:rsidRPr="00141DCF" w14:paraId="5053D8DF"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297A3519" w14:textId="77777777" w:rsidR="005D5627" w:rsidRPr="00704502" w:rsidRDefault="005D5627" w:rsidP="005F2038">
            <w:pPr>
              <w:pStyle w:val="Body"/>
              <w:spacing w:beforeLines="1" w:before="2" w:afterLines="1" w:after="2"/>
              <w:rPr>
                <w:noProof/>
                <w:szCs w:val="18"/>
              </w:rPr>
            </w:pPr>
            <w:r w:rsidRPr="00704502">
              <w:rPr>
                <w:noProof/>
                <w:sz w:val="20"/>
                <w:szCs w:val="18"/>
              </w:rPr>
              <w:t>Council Document 9512/10 - Guidelines on the implementation of Council Framework Decision 2006/960/JHA</w:t>
            </w:r>
          </w:p>
        </w:tc>
      </w:tr>
      <w:tr w:rsidR="005D5627" w:rsidRPr="00141DCF" w14:paraId="7AC818B3"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3BB3C638" w14:textId="77777777" w:rsidR="005D5627" w:rsidRPr="00704502" w:rsidRDefault="005D5627" w:rsidP="005F2038">
            <w:pPr>
              <w:pStyle w:val="Body"/>
              <w:spacing w:beforeLines="1" w:before="2" w:afterLines="1" w:after="2"/>
              <w:rPr>
                <w:noProof/>
                <w:szCs w:val="18"/>
              </w:rPr>
            </w:pPr>
            <w:r w:rsidRPr="00704502">
              <w:rPr>
                <w:noProof/>
                <w:sz w:val="20"/>
                <w:szCs w:val="18"/>
              </w:rPr>
              <w:t>Council Document 9105/11 - PCCCs guidelines</w:t>
            </w:r>
          </w:p>
        </w:tc>
      </w:tr>
      <w:tr w:rsidR="005D5627" w:rsidRPr="00141DCF" w14:paraId="682B655A"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69687A5E" w14:textId="77777777" w:rsidR="005D5627" w:rsidRPr="00704502" w:rsidRDefault="005D5627" w:rsidP="005F2038">
            <w:pPr>
              <w:pStyle w:val="Body"/>
              <w:spacing w:beforeLines="1" w:before="2" w:afterLines="1" w:after="2"/>
              <w:rPr>
                <w:noProof/>
                <w:szCs w:val="18"/>
              </w:rPr>
            </w:pPr>
            <w:r w:rsidRPr="00704502">
              <w:rPr>
                <w:noProof/>
                <w:sz w:val="20"/>
                <w:szCs w:val="18"/>
              </w:rPr>
              <w:t>Council Document 6721/3/14 - Draft SPOC Guidelines for international law enforcement information exchange</w:t>
            </w:r>
          </w:p>
        </w:tc>
      </w:tr>
      <w:tr w:rsidR="005D5627" w:rsidRPr="00141DCF" w14:paraId="0E1961EA"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63DC1B8A" w14:textId="77777777" w:rsidR="005D5627" w:rsidRPr="00704502" w:rsidRDefault="005D5627" w:rsidP="005F2038">
            <w:pPr>
              <w:pStyle w:val="Body"/>
              <w:spacing w:beforeLines="1" w:before="2" w:afterLines="1" w:after="2"/>
              <w:rPr>
                <w:noProof/>
                <w:szCs w:val="18"/>
              </w:rPr>
            </w:pPr>
            <w:r w:rsidRPr="00704502">
              <w:rPr>
                <w:noProof/>
                <w:sz w:val="20"/>
                <w:szCs w:val="18"/>
              </w:rPr>
              <w:t>Council Document 10492/14 - Guidelines for a SPOC</w:t>
            </w:r>
          </w:p>
        </w:tc>
      </w:tr>
      <w:tr w:rsidR="005D5627" w:rsidRPr="00141DCF" w14:paraId="41DF0F6A"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7ECE0D3E" w14:textId="77777777" w:rsidR="005D5627" w:rsidRPr="00704502" w:rsidRDefault="005D5627" w:rsidP="005F2038">
            <w:pPr>
              <w:pStyle w:val="Body"/>
              <w:spacing w:beforeLines="1" w:before="2" w:afterLines="1" w:after="2"/>
              <w:rPr>
                <w:noProof/>
                <w:szCs w:val="18"/>
              </w:rPr>
            </w:pPr>
            <w:r w:rsidRPr="00704502">
              <w:rPr>
                <w:noProof/>
                <w:sz w:val="20"/>
                <w:szCs w:val="18"/>
              </w:rPr>
              <w:t>Council Document 13034/14 - Guidelines on the implementation of SFD</w:t>
            </w:r>
          </w:p>
        </w:tc>
      </w:tr>
      <w:tr w:rsidR="005D5627" w:rsidRPr="00141DCF" w14:paraId="506032BA"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255F3425" w14:textId="77777777" w:rsidR="005D5627" w:rsidRPr="00704502" w:rsidRDefault="005D5627" w:rsidP="005F2038">
            <w:pPr>
              <w:pStyle w:val="Body"/>
              <w:spacing w:beforeLines="1" w:before="2" w:afterLines="1" w:after="2"/>
              <w:rPr>
                <w:noProof/>
                <w:szCs w:val="18"/>
              </w:rPr>
            </w:pPr>
            <w:r w:rsidRPr="00704502">
              <w:rPr>
                <w:noProof/>
                <w:sz w:val="20"/>
                <w:szCs w:val="18"/>
              </w:rPr>
              <w:t>Council Document 5825/20, 2 December 2020 (Manual on Law Enforcement Information Exchange)</w:t>
            </w:r>
          </w:p>
        </w:tc>
      </w:tr>
      <w:tr w:rsidR="005D5627" w:rsidRPr="00141DCF" w14:paraId="7375BD50"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1586E7C2" w14:textId="77777777" w:rsidR="005D5627" w:rsidRPr="00704502" w:rsidRDefault="005D5627" w:rsidP="005F2038">
            <w:pPr>
              <w:pStyle w:val="Body"/>
              <w:spacing w:beforeLines="1" w:before="2" w:afterLines="1" w:after="2"/>
              <w:rPr>
                <w:noProof/>
                <w:szCs w:val="18"/>
              </w:rPr>
            </w:pPr>
            <w:r w:rsidRPr="00704502">
              <w:rPr>
                <w:noProof/>
                <w:sz w:val="20"/>
                <w:szCs w:val="18"/>
              </w:rPr>
              <w:t>Council Resolution concerning an updated handbook with recommendations for international police cooperation and measures to prevent and control violence and disturbances in connection with football matches with an international dimension (2006/C 322/01- Football Handbook)</w:t>
            </w:r>
          </w:p>
        </w:tc>
      </w:tr>
      <w:tr w:rsidR="005D5627" w:rsidRPr="00141DCF" w14:paraId="3E4EE07D" w14:textId="77777777" w:rsidTr="00DE1389">
        <w:tc>
          <w:tcPr>
            <w:tcW w:w="5000" w:type="pct"/>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center"/>
            <w:hideMark/>
          </w:tcPr>
          <w:p w14:paraId="06EC9CFA" w14:textId="77777777" w:rsidR="005D5627" w:rsidRPr="00704502" w:rsidRDefault="005D5627" w:rsidP="005F2038">
            <w:pPr>
              <w:pStyle w:val="Body"/>
              <w:spacing w:beforeLines="1" w:before="2" w:afterLines="1" w:after="2"/>
              <w:rPr>
                <w:rFonts w:eastAsia="Wingdings"/>
                <w:b/>
                <w:bCs/>
                <w:noProof/>
                <w:szCs w:val="18"/>
              </w:rPr>
            </w:pPr>
            <w:r w:rsidRPr="00704502">
              <w:rPr>
                <w:rFonts w:eastAsia="Wingdings"/>
                <w:b/>
                <w:bCs/>
                <w:noProof/>
                <w:sz w:val="20"/>
                <w:szCs w:val="18"/>
              </w:rPr>
              <w:t>Data Protection (binding)</w:t>
            </w:r>
          </w:p>
        </w:tc>
      </w:tr>
      <w:tr w:rsidR="005D5627" w:rsidRPr="00141DCF" w14:paraId="6A0D2BAC"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7306E1B1" w14:textId="77777777" w:rsidR="005D5627" w:rsidRPr="00704502" w:rsidRDefault="005D5627" w:rsidP="005F2038">
            <w:pPr>
              <w:pStyle w:val="Body"/>
              <w:spacing w:beforeLines="1" w:before="2" w:afterLines="1" w:after="2"/>
              <w:rPr>
                <w:noProof/>
                <w:szCs w:val="18"/>
              </w:rPr>
            </w:pPr>
            <w:r w:rsidRPr="00704502">
              <w:rPr>
                <w:noProof/>
                <w:sz w:val="20"/>
                <w:szCs w:val="18"/>
              </w:rPr>
              <w:t>Directive 2002/58/EC concerning the processing of personal data and the protection of privacy in the electronic communications sector</w:t>
            </w:r>
          </w:p>
        </w:tc>
      </w:tr>
      <w:tr w:rsidR="005D5627" w:rsidRPr="00141DCF" w14:paraId="4BDF20CC"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165166BD" w14:textId="77777777" w:rsidR="005D5627" w:rsidRPr="00704502" w:rsidRDefault="005D5627" w:rsidP="005F2038">
            <w:pPr>
              <w:pStyle w:val="Body"/>
              <w:spacing w:beforeLines="1" w:before="2" w:afterLines="1" w:after="2"/>
              <w:rPr>
                <w:noProof/>
                <w:szCs w:val="18"/>
              </w:rPr>
            </w:pPr>
            <w:r w:rsidRPr="00704502">
              <w:rPr>
                <w:noProof/>
                <w:sz w:val="20"/>
                <w:szCs w:val="18"/>
              </w:rPr>
              <w:t xml:space="preserve">Directive (EU) 2016/680 on the protection of natural persons with regard to the processing of personal data </w:t>
            </w:r>
          </w:p>
        </w:tc>
      </w:tr>
      <w:tr w:rsidR="005D5627" w:rsidRPr="00141DCF" w14:paraId="1B721AE1"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49FA1E88" w14:textId="77777777" w:rsidR="005D5627" w:rsidRPr="00704502" w:rsidRDefault="005D5627" w:rsidP="005F2038">
            <w:pPr>
              <w:pStyle w:val="Body"/>
              <w:spacing w:beforeLines="1" w:before="2" w:afterLines="1" w:after="2"/>
              <w:rPr>
                <w:noProof/>
                <w:szCs w:val="18"/>
              </w:rPr>
            </w:pPr>
            <w:r w:rsidRPr="00704502">
              <w:rPr>
                <w:noProof/>
                <w:sz w:val="20"/>
                <w:szCs w:val="18"/>
              </w:rPr>
              <w:t>Regulation (EU) 2016/679 on the protection of natural persons with regard to the processing of personal data and on the free movement of such data</w:t>
            </w:r>
          </w:p>
        </w:tc>
      </w:tr>
      <w:tr w:rsidR="005D5627" w:rsidRPr="00141DCF" w14:paraId="109C01A3"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037DEA8E" w14:textId="77777777" w:rsidR="005D5627" w:rsidRPr="00704502" w:rsidRDefault="005D5627" w:rsidP="005F2038">
            <w:pPr>
              <w:pStyle w:val="Body"/>
              <w:spacing w:beforeLines="1" w:before="2" w:afterLines="1" w:after="2"/>
              <w:rPr>
                <w:noProof/>
                <w:szCs w:val="18"/>
              </w:rPr>
            </w:pPr>
            <w:r w:rsidRPr="00704502">
              <w:rPr>
                <w:noProof/>
                <w:sz w:val="20"/>
                <w:szCs w:val="18"/>
              </w:rPr>
              <w:t>Regulation (EU) 2018/1725 on the processing of personal data by the Union institutions, bodies, offices and agencies</w:t>
            </w:r>
          </w:p>
        </w:tc>
      </w:tr>
      <w:tr w:rsidR="005D5627" w:rsidRPr="00141DCF" w14:paraId="6FDA49C4" w14:textId="77777777" w:rsidTr="00DE1389">
        <w:tc>
          <w:tcPr>
            <w:tcW w:w="5000" w:type="pct"/>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center"/>
            <w:hideMark/>
          </w:tcPr>
          <w:p w14:paraId="4BF77898" w14:textId="77777777" w:rsidR="005D5627" w:rsidRPr="00704502" w:rsidRDefault="005D5627" w:rsidP="005F2038">
            <w:pPr>
              <w:pStyle w:val="Body"/>
              <w:spacing w:beforeLines="1" w:before="2" w:afterLines="1" w:after="2"/>
              <w:rPr>
                <w:b/>
                <w:bCs/>
                <w:noProof/>
                <w:szCs w:val="18"/>
              </w:rPr>
            </w:pPr>
            <w:r w:rsidRPr="00704502">
              <w:rPr>
                <w:b/>
                <w:bCs/>
                <w:noProof/>
                <w:sz w:val="20"/>
                <w:szCs w:val="18"/>
              </w:rPr>
              <w:t xml:space="preserve">EU Agencies’ legal basis </w:t>
            </w:r>
            <w:r w:rsidRPr="00704502">
              <w:rPr>
                <w:rFonts w:eastAsia="Wingdings"/>
                <w:b/>
                <w:bCs/>
                <w:noProof/>
                <w:sz w:val="20"/>
                <w:szCs w:val="18"/>
              </w:rPr>
              <w:t>(binding)</w:t>
            </w:r>
          </w:p>
        </w:tc>
      </w:tr>
      <w:tr w:rsidR="005D5627" w:rsidRPr="00141DCF" w14:paraId="30D2AA58"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244CC949" w14:textId="77777777" w:rsidR="005D5627" w:rsidRPr="00704502" w:rsidRDefault="005D5627" w:rsidP="005F2038">
            <w:pPr>
              <w:pStyle w:val="Body"/>
              <w:spacing w:beforeLines="1" w:before="2" w:afterLines="1" w:after="2"/>
              <w:rPr>
                <w:noProof/>
                <w:szCs w:val="18"/>
              </w:rPr>
            </w:pPr>
            <w:r w:rsidRPr="00704502">
              <w:rPr>
                <w:noProof/>
                <w:sz w:val="20"/>
                <w:szCs w:val="18"/>
              </w:rPr>
              <w:t>Regulation (EU) 2015/2219 of the European Parliament and of the Council of 25 November 2015 on CEPOL</w:t>
            </w:r>
          </w:p>
        </w:tc>
      </w:tr>
      <w:tr w:rsidR="005D5627" w:rsidRPr="00141DCF" w14:paraId="0433F220" w14:textId="77777777" w:rsidTr="00DE1389">
        <w:tc>
          <w:tcPr>
            <w:tcW w:w="5000" w:type="pct"/>
            <w:tcBorders>
              <w:top w:val="single" w:sz="4" w:space="0" w:color="FFFFFF"/>
              <w:left w:val="single" w:sz="4" w:space="0" w:color="FFFFFF"/>
              <w:bottom w:val="single" w:sz="4" w:space="0" w:color="FFFFFF"/>
              <w:right w:val="single" w:sz="4" w:space="0" w:color="FFFFFF"/>
            </w:tcBorders>
            <w:vAlign w:val="center"/>
            <w:hideMark/>
          </w:tcPr>
          <w:p w14:paraId="1CDDCDFC" w14:textId="77777777" w:rsidR="005D5627" w:rsidRPr="00704502" w:rsidRDefault="005D5627" w:rsidP="005F2038">
            <w:pPr>
              <w:pStyle w:val="Body"/>
              <w:spacing w:beforeLines="1" w:before="2" w:afterLines="1" w:after="2"/>
              <w:rPr>
                <w:noProof/>
                <w:szCs w:val="18"/>
              </w:rPr>
            </w:pPr>
            <w:r w:rsidRPr="00704502">
              <w:rPr>
                <w:noProof/>
                <w:sz w:val="20"/>
                <w:szCs w:val="18"/>
              </w:rPr>
              <w:t>Regulation (EC) No 1920/2006 on EMCDDA</w:t>
            </w:r>
          </w:p>
        </w:tc>
      </w:tr>
      <w:tr w:rsidR="005D5627" w:rsidRPr="00141DCF" w14:paraId="3CFE0486" w14:textId="77777777" w:rsidTr="00DE1389">
        <w:trPr>
          <w:trHeight w:val="50"/>
        </w:trPr>
        <w:tc>
          <w:tcPr>
            <w:tcW w:w="5000" w:type="pct"/>
            <w:tcBorders>
              <w:top w:val="single" w:sz="4" w:space="0" w:color="FFFFFF"/>
              <w:left w:val="single" w:sz="4" w:space="0" w:color="FFFFFF"/>
              <w:bottom w:val="single" w:sz="4" w:space="0" w:color="FFFFFF"/>
              <w:right w:val="single" w:sz="4" w:space="0" w:color="FFFFFF"/>
            </w:tcBorders>
            <w:vAlign w:val="center"/>
            <w:hideMark/>
          </w:tcPr>
          <w:p w14:paraId="57DC643B" w14:textId="77777777" w:rsidR="005D5627" w:rsidRPr="00704502" w:rsidRDefault="005D5627" w:rsidP="005F2038">
            <w:pPr>
              <w:pStyle w:val="Body"/>
              <w:spacing w:beforeLines="1" w:before="2" w:afterLines="1" w:after="2"/>
              <w:rPr>
                <w:noProof/>
                <w:szCs w:val="18"/>
              </w:rPr>
            </w:pPr>
            <w:r w:rsidRPr="00704502">
              <w:rPr>
                <w:noProof/>
                <w:sz w:val="20"/>
                <w:szCs w:val="18"/>
              </w:rPr>
              <w:t xml:space="preserve">Regulation (EU) 2016/794 on Europol </w:t>
            </w:r>
          </w:p>
        </w:tc>
      </w:tr>
      <w:tr w:rsidR="005D5627" w:rsidRPr="00141DCF" w14:paraId="41A53BEE" w14:textId="77777777" w:rsidTr="00DE1389">
        <w:tc>
          <w:tcPr>
            <w:tcW w:w="5000" w:type="pct"/>
            <w:tcBorders>
              <w:top w:val="single" w:sz="4" w:space="0" w:color="FFFFFF"/>
              <w:left w:val="single" w:sz="4" w:space="0" w:color="FFFFFF"/>
              <w:bottom w:val="single" w:sz="4" w:space="0" w:color="FFFFFF"/>
              <w:right w:val="single" w:sz="4" w:space="0" w:color="FFFFFF"/>
            </w:tcBorders>
            <w:shd w:val="clear" w:color="auto" w:fill="F2F2F2" w:themeFill="background1" w:themeFillShade="F2"/>
            <w:vAlign w:val="center"/>
            <w:hideMark/>
          </w:tcPr>
          <w:p w14:paraId="78006164" w14:textId="77777777" w:rsidR="005D5627" w:rsidRPr="00704502" w:rsidRDefault="005D5627" w:rsidP="005F2038">
            <w:pPr>
              <w:pStyle w:val="Body"/>
              <w:spacing w:beforeLines="1" w:before="2" w:afterLines="1" w:after="2"/>
              <w:rPr>
                <w:noProof/>
                <w:szCs w:val="18"/>
              </w:rPr>
            </w:pPr>
            <w:r w:rsidRPr="00704502">
              <w:rPr>
                <w:noProof/>
                <w:sz w:val="20"/>
                <w:szCs w:val="18"/>
              </w:rPr>
              <w:t xml:space="preserve">Regulation (EU) 2018/1726 on the European Union Agency for the Operational Management of Large-Scale IT Systems in the Area of Freedom, Security and Justice (eu-LISA) </w:t>
            </w:r>
          </w:p>
        </w:tc>
      </w:tr>
      <w:tr w:rsidR="005D5627" w:rsidRPr="00141DCF" w14:paraId="39503D07" w14:textId="77777777" w:rsidTr="00DE1389">
        <w:tc>
          <w:tcPr>
            <w:tcW w:w="5000" w:type="pct"/>
            <w:tcBorders>
              <w:top w:val="single" w:sz="4" w:space="0" w:color="FFFFFF"/>
              <w:left w:val="single" w:sz="4" w:space="0" w:color="FFFFFF"/>
              <w:bottom w:val="single" w:sz="4" w:space="0" w:color="FFFFFF"/>
              <w:right w:val="single" w:sz="4" w:space="0" w:color="FFFFFF"/>
            </w:tcBorders>
            <w:shd w:val="clear" w:color="auto" w:fill="F2F2F2" w:themeFill="background1" w:themeFillShade="F2"/>
            <w:vAlign w:val="center"/>
            <w:hideMark/>
          </w:tcPr>
          <w:p w14:paraId="7AF8E403" w14:textId="77777777" w:rsidR="005D5627" w:rsidRPr="00704502" w:rsidRDefault="005D5627" w:rsidP="005F2038">
            <w:pPr>
              <w:pStyle w:val="Body"/>
              <w:spacing w:beforeLines="1" w:before="2" w:afterLines="1" w:after="2"/>
              <w:rPr>
                <w:noProof/>
                <w:szCs w:val="18"/>
              </w:rPr>
            </w:pPr>
            <w:r w:rsidRPr="00704502">
              <w:rPr>
                <w:noProof/>
                <w:sz w:val="20"/>
                <w:szCs w:val="18"/>
              </w:rPr>
              <w:t>Regulation (EU) 2018/1727 on Eurojust</w:t>
            </w:r>
          </w:p>
        </w:tc>
      </w:tr>
      <w:tr w:rsidR="005D5627" w:rsidRPr="00141DCF" w14:paraId="3ECAFA7B" w14:textId="77777777" w:rsidTr="00DE1389">
        <w:tc>
          <w:tcPr>
            <w:tcW w:w="5000" w:type="pct"/>
            <w:tcBorders>
              <w:top w:val="single" w:sz="4" w:space="0" w:color="FFFFFF"/>
              <w:left w:val="single" w:sz="4" w:space="0" w:color="FFFFFF"/>
              <w:bottom w:val="single" w:sz="4" w:space="0" w:color="FFFFFF"/>
              <w:right w:val="single" w:sz="4" w:space="0" w:color="FFFFFF"/>
            </w:tcBorders>
            <w:shd w:val="clear" w:color="auto" w:fill="F2F2F2" w:themeFill="background1" w:themeFillShade="F2"/>
            <w:vAlign w:val="center"/>
            <w:hideMark/>
          </w:tcPr>
          <w:p w14:paraId="56420BC9" w14:textId="77777777" w:rsidR="005D5627" w:rsidRPr="00704502" w:rsidRDefault="005D5627" w:rsidP="005F2038">
            <w:pPr>
              <w:pStyle w:val="Body"/>
              <w:spacing w:beforeLines="1" w:before="2" w:afterLines="1" w:after="2"/>
              <w:rPr>
                <w:noProof/>
                <w:szCs w:val="18"/>
              </w:rPr>
            </w:pPr>
            <w:r w:rsidRPr="00704502">
              <w:rPr>
                <w:noProof/>
                <w:sz w:val="20"/>
                <w:szCs w:val="18"/>
              </w:rPr>
              <w:t>Regulation (EU) 2019/1896 on EBCGA</w:t>
            </w:r>
          </w:p>
        </w:tc>
      </w:tr>
    </w:tbl>
    <w:p w14:paraId="0BF82012" w14:textId="77777777" w:rsidR="00F2213E" w:rsidRPr="00B77914" w:rsidRDefault="00F2213E" w:rsidP="00F2213E">
      <w:pPr>
        <w:jc w:val="both"/>
        <w:rPr>
          <w:rFonts w:ascii="Verdana" w:hAnsi="Verdana"/>
          <w:i/>
          <w:noProof/>
          <w:color w:val="7F7F7F" w:themeColor="text1" w:themeTint="80"/>
          <w:sz w:val="18"/>
          <w:szCs w:val="18"/>
        </w:rPr>
      </w:pPr>
      <w:r w:rsidRPr="00B77914">
        <w:rPr>
          <w:rStyle w:val="SubtleEmphasis"/>
          <w:noProof/>
          <w:sz w:val="16"/>
          <w:szCs w:val="18"/>
        </w:rPr>
        <w:t xml:space="preserve">Source: </w:t>
      </w:r>
      <w:r w:rsidRPr="00B77914">
        <w:rPr>
          <w:rFonts w:ascii="Verdana" w:hAnsi="Verdana"/>
          <w:i/>
          <w:noProof/>
          <w:color w:val="7F7F7F" w:themeColor="text1" w:themeTint="80"/>
          <w:sz w:val="16"/>
          <w:szCs w:val="18"/>
        </w:rPr>
        <w:t>EY/RAND Europe Study’s elaboration</w:t>
      </w:r>
      <w:r w:rsidRPr="00B77914">
        <w:rPr>
          <w:rStyle w:val="SubtleEmphasis"/>
          <w:noProof/>
          <w:sz w:val="16"/>
          <w:szCs w:val="18"/>
        </w:rPr>
        <w:t xml:space="preserve"> based on desk research</w:t>
      </w:r>
    </w:p>
    <w:p w14:paraId="48F30EC8" w14:textId="77777777" w:rsidR="000D6E86" w:rsidRPr="00141DCF" w:rsidRDefault="00D44CF0" w:rsidP="00704502">
      <w:pPr>
        <w:spacing w:line="240" w:lineRule="auto"/>
        <w:jc w:val="both"/>
        <w:rPr>
          <w:rFonts w:ascii="Times New Roman" w:hAnsi="Times New Roman" w:cs="Times New Roman"/>
          <w:noProof/>
          <w:sz w:val="24"/>
          <w:szCs w:val="24"/>
        </w:rPr>
      </w:pPr>
      <w:r w:rsidRPr="00141DCF">
        <w:rPr>
          <w:rFonts w:ascii="Times New Roman" w:hAnsi="Times New Roman" w:cs="Times New Roman"/>
          <w:b/>
          <w:i/>
          <w:noProof/>
          <w:sz w:val="24"/>
          <w:szCs w:val="24"/>
        </w:rPr>
        <w:t>Access to/exchange of information</w:t>
      </w:r>
      <w:r w:rsidR="00A61835" w:rsidRPr="00141DCF">
        <w:rPr>
          <w:rFonts w:ascii="Times New Roman" w:hAnsi="Times New Roman" w:cs="Times New Roman"/>
          <w:b/>
          <w:i/>
          <w:noProof/>
          <w:sz w:val="24"/>
          <w:szCs w:val="24"/>
        </w:rPr>
        <w:t xml:space="preserve">. </w:t>
      </w:r>
      <w:r w:rsidRPr="00141DCF">
        <w:rPr>
          <w:rFonts w:ascii="Times New Roman" w:hAnsi="Times New Roman" w:cs="Times New Roman"/>
          <w:noProof/>
          <w:sz w:val="24"/>
          <w:szCs w:val="24"/>
        </w:rPr>
        <w:t xml:space="preserve">Most efforts to harmonise national legislation focus on improving information sharing between LEAs across the EU and the Schengen area. There are several binding measures that establish provisions on the access to and exchange of information between Member States and SACs. Together, these legislative instruments were introduced as an attempt to reconcile Member States’ and SACs’ fragmented law enforcement approaches with the growing need to jointly tackle shared cross-border threats. As such, legislative efforts have sought to ensure that information available to LEAs in one Member State is also available to other Member States or SACs. These legal texts have thus introduced cooperation instruments to centralise intelligence used for law enforcement and facilitate the exchange of information. </w:t>
      </w:r>
    </w:p>
    <w:p w14:paraId="2F8AE9FF" w14:textId="77777777" w:rsidR="00D44CF0" w:rsidRPr="00141DCF" w:rsidRDefault="00D44CF0" w:rsidP="00704502">
      <w:pPr>
        <w:spacing w:line="240" w:lineRule="auto"/>
        <w:jc w:val="both"/>
        <w:rPr>
          <w:rFonts w:ascii="Times New Roman" w:hAnsi="Times New Roman" w:cs="Times New Roman"/>
          <w:noProof/>
          <w:sz w:val="24"/>
          <w:szCs w:val="24"/>
        </w:rPr>
      </w:pPr>
      <w:r w:rsidRPr="00141DCF">
        <w:rPr>
          <w:rFonts w:ascii="Times New Roman" w:hAnsi="Times New Roman" w:cs="Times New Roman"/>
          <w:noProof/>
          <w:sz w:val="24"/>
          <w:szCs w:val="24"/>
        </w:rPr>
        <w:t>To this end, a "</w:t>
      </w:r>
      <w:r w:rsidRPr="00141DCF">
        <w:rPr>
          <w:rFonts w:ascii="Times New Roman" w:hAnsi="Times New Roman" w:cs="Times New Roman"/>
          <w:b/>
          <w:bCs/>
          <w:noProof/>
          <w:sz w:val="24"/>
          <w:szCs w:val="24"/>
        </w:rPr>
        <w:t>one stop shop" (OSS) strategy</w:t>
      </w:r>
      <w:r w:rsidRPr="00141DCF">
        <w:rPr>
          <w:rFonts w:ascii="Times New Roman" w:hAnsi="Times New Roman" w:cs="Times New Roman"/>
          <w:noProof/>
          <w:sz w:val="24"/>
          <w:szCs w:val="24"/>
        </w:rPr>
        <w:t xml:space="preserve"> has been promoted at the EU level to increase cross-border information exchange, simplify and centralise information sharing and access to information.</w:t>
      </w:r>
      <w:r w:rsidRPr="00141DCF">
        <w:rPr>
          <w:rStyle w:val="FootnoteReference"/>
          <w:rFonts w:ascii="Times New Roman" w:hAnsi="Times New Roman" w:cs="Times New Roman"/>
          <w:noProof/>
          <w:sz w:val="24"/>
          <w:szCs w:val="24"/>
        </w:rPr>
        <w:footnoteReference w:id="308"/>
      </w:r>
      <w:r w:rsidRPr="00141DCF">
        <w:rPr>
          <w:rFonts w:ascii="Times New Roman" w:hAnsi="Times New Roman" w:cs="Times New Roman"/>
          <w:noProof/>
          <w:sz w:val="24"/>
          <w:szCs w:val="24"/>
        </w:rPr>
        <w:t xml:space="preserve"> Pursuant the OSS strategy, Member States’ and SACs’ Lead Supervisory Authorities</w:t>
      </w:r>
      <w:r w:rsidRPr="00141DCF">
        <w:rPr>
          <w:rStyle w:val="FootnoteReference"/>
          <w:rFonts w:ascii="Times New Roman" w:hAnsi="Times New Roman" w:cs="Times New Roman"/>
          <w:noProof/>
          <w:sz w:val="24"/>
          <w:szCs w:val="24"/>
        </w:rPr>
        <w:footnoteReference w:id="309"/>
      </w:r>
      <w:r w:rsidRPr="00141DCF">
        <w:rPr>
          <w:rFonts w:ascii="Times New Roman" w:hAnsi="Times New Roman" w:cs="Times New Roman"/>
          <w:noProof/>
          <w:sz w:val="24"/>
          <w:szCs w:val="24"/>
        </w:rPr>
        <w:t xml:space="preserve"> may request/provide mutual assistance and conduct joint operations for carrying out investigations or for monitoring the implementation of a measure concerning a data controller or processor established in another Member State. In doing so, “Member States shall ensure that conditions not stricter than those applicable at the national level for providing and requesting information and intelligence are applied for providing information and intelligence to competent LEAs of other Member States”.</w:t>
      </w:r>
      <w:r w:rsidRPr="00141DCF">
        <w:rPr>
          <w:rStyle w:val="FootnoteReference"/>
          <w:rFonts w:ascii="Times New Roman" w:hAnsi="Times New Roman" w:cs="Times New Roman"/>
          <w:noProof/>
          <w:sz w:val="24"/>
          <w:szCs w:val="24"/>
        </w:rPr>
        <w:footnoteReference w:id="310"/>
      </w:r>
      <w:r w:rsidRPr="00141DCF">
        <w:rPr>
          <w:rFonts w:ascii="Times New Roman" w:hAnsi="Times New Roman" w:cs="Times New Roman"/>
          <w:noProof/>
          <w:sz w:val="24"/>
          <w:szCs w:val="24"/>
        </w:rPr>
        <w:t xml:space="preserve"> </w:t>
      </w:r>
    </w:p>
    <w:p w14:paraId="103AEAA3" w14:textId="77777777" w:rsidR="00D44CF0" w:rsidRPr="00141DCF" w:rsidRDefault="00D44CF0" w:rsidP="00A61835">
      <w:pPr>
        <w:pStyle w:val="Body"/>
        <w:spacing w:beforeLines="1" w:before="2" w:after="120"/>
        <w:jc w:val="both"/>
        <w:rPr>
          <w:rFonts w:ascii="Times New Roman" w:hAnsi="Times New Roman"/>
          <w:noProof/>
          <w:sz w:val="24"/>
          <w:szCs w:val="24"/>
        </w:rPr>
      </w:pPr>
      <w:r w:rsidRPr="00141DCF">
        <w:rPr>
          <w:rFonts w:ascii="Times New Roman" w:hAnsi="Times New Roman"/>
          <w:b/>
          <w:bCs/>
          <w:noProof/>
          <w:sz w:val="24"/>
          <w:szCs w:val="24"/>
        </w:rPr>
        <w:t>EU legislative measures</w:t>
      </w:r>
      <w:r w:rsidRPr="00141DCF">
        <w:rPr>
          <w:rFonts w:ascii="Times New Roman" w:hAnsi="Times New Roman"/>
          <w:b/>
          <w:noProof/>
          <w:sz w:val="24"/>
          <w:szCs w:val="24"/>
        </w:rPr>
        <w:t xml:space="preserve"> mainly focus on the types of information to be exchanged and the actors in charge of such an exchange</w:t>
      </w:r>
      <w:r w:rsidRPr="00141DCF">
        <w:rPr>
          <w:rFonts w:ascii="Times New Roman" w:hAnsi="Times New Roman"/>
          <w:noProof/>
          <w:sz w:val="24"/>
          <w:szCs w:val="24"/>
        </w:rPr>
        <w:t>. With regard to the types of information, different EU measures cover specific types of information, such as personal data, travel documents, information concerning and resulting from criminal investigations, terrorism offences, VISA data, road traffic data, firearm data, immigration data. These legislative instruments are accompanied by non-binding measures aimed at providing recommendations related to their implementation. For example, Council Document 10000/07</w:t>
      </w:r>
      <w:r w:rsidRPr="00141DCF">
        <w:rPr>
          <w:rStyle w:val="FootnoteReference"/>
          <w:rFonts w:ascii="Times New Roman" w:hAnsi="Times New Roman"/>
          <w:noProof/>
          <w:sz w:val="24"/>
          <w:szCs w:val="24"/>
        </w:rPr>
        <w:footnoteReference w:id="311"/>
      </w:r>
      <w:r w:rsidRPr="00141DCF">
        <w:rPr>
          <w:rFonts w:ascii="Times New Roman" w:hAnsi="Times New Roman"/>
          <w:noProof/>
          <w:sz w:val="24"/>
          <w:szCs w:val="24"/>
        </w:rPr>
        <w:t xml:space="preserve"> provides a Manual that shall be applied to a systematic tracking of firearms aiming at combating illicit manufacturing and illicit trafficking and using means and methods commonly agreed on and established by the EU Member States.</w:t>
      </w:r>
    </w:p>
    <w:p w14:paraId="4C313FF0" w14:textId="77777777" w:rsidR="00D44CF0" w:rsidRPr="00141DCF" w:rsidRDefault="00D44CF0" w:rsidP="00A61835">
      <w:pPr>
        <w:pStyle w:val="Body"/>
        <w:spacing w:beforeLines="1" w:before="2" w:after="120"/>
        <w:jc w:val="both"/>
        <w:rPr>
          <w:rFonts w:ascii="Times New Roman" w:hAnsi="Times New Roman"/>
          <w:noProof/>
          <w:sz w:val="24"/>
          <w:szCs w:val="24"/>
        </w:rPr>
      </w:pPr>
      <w:r w:rsidRPr="00141DCF">
        <w:rPr>
          <w:rFonts w:ascii="Times New Roman" w:hAnsi="Times New Roman"/>
          <w:noProof/>
          <w:sz w:val="24"/>
          <w:szCs w:val="24"/>
        </w:rPr>
        <w:t>Also with regard to the actors in charge of exchanging information, different measures focus on different types of actors responsible for exchanging specific types of information</w:t>
      </w:r>
      <w:r w:rsidR="00E559F9">
        <w:rPr>
          <w:rFonts w:ascii="Times New Roman" w:hAnsi="Times New Roman"/>
          <w:noProof/>
          <w:sz w:val="24"/>
          <w:szCs w:val="24"/>
        </w:rPr>
        <w:t>.</w:t>
      </w:r>
      <w:r w:rsidRPr="00141DCF">
        <w:rPr>
          <w:rFonts w:ascii="Times New Roman" w:hAnsi="Times New Roman"/>
          <w:noProof/>
          <w:sz w:val="24"/>
          <w:szCs w:val="24"/>
        </w:rPr>
        <w:t xml:space="preserve"> For instance, the SIS framework – built on Regulation (EU) 2018/1860, Regulation (EU) 2018/1861 and</w:t>
      </w:r>
      <w:r w:rsidRPr="00141DCF">
        <w:rPr>
          <w:rStyle w:val="CommentReference"/>
          <w:rFonts w:ascii="Times New Roman" w:hAnsi="Times New Roman"/>
          <w:noProof/>
          <w:sz w:val="24"/>
          <w:szCs w:val="24"/>
        </w:rPr>
        <w:t xml:space="preserve"> </w:t>
      </w:r>
      <w:r w:rsidRPr="00141DCF">
        <w:rPr>
          <w:rFonts w:ascii="Times New Roman" w:hAnsi="Times New Roman"/>
          <w:noProof/>
          <w:sz w:val="24"/>
          <w:szCs w:val="24"/>
        </w:rPr>
        <w:t xml:space="preserve">Regulation (EU) 2018/1862 </w:t>
      </w:r>
      <w:r w:rsidR="00E559F9" w:rsidRPr="00141DCF">
        <w:rPr>
          <w:rFonts w:ascii="Times New Roman" w:hAnsi="Times New Roman"/>
          <w:noProof/>
          <w:sz w:val="24"/>
          <w:szCs w:val="24"/>
        </w:rPr>
        <w:t>–</w:t>
      </w:r>
      <w:r w:rsidRPr="00141DCF">
        <w:rPr>
          <w:rFonts w:ascii="Times New Roman" w:hAnsi="Times New Roman"/>
          <w:noProof/>
          <w:sz w:val="24"/>
          <w:szCs w:val="24"/>
        </w:rPr>
        <w:t>on the establishment, operation and use of the SIS</w:t>
      </w:r>
      <w:r w:rsidRPr="00141DCF">
        <w:rPr>
          <w:rStyle w:val="FootnoteReference"/>
          <w:rFonts w:ascii="Times New Roman" w:hAnsi="Times New Roman"/>
          <w:noProof/>
          <w:sz w:val="24"/>
          <w:szCs w:val="24"/>
        </w:rPr>
        <w:footnoteReference w:id="312"/>
      </w:r>
      <w:r w:rsidRPr="00141DCF">
        <w:rPr>
          <w:rFonts w:ascii="Times New Roman" w:hAnsi="Times New Roman"/>
          <w:noProof/>
          <w:sz w:val="24"/>
          <w:szCs w:val="24"/>
        </w:rPr>
        <w:t xml:space="preserve"> focuses on the exchange of supplementary information</w:t>
      </w:r>
      <w:r w:rsidRPr="00141DCF">
        <w:rPr>
          <w:rStyle w:val="CommentReference"/>
          <w:rFonts w:ascii="Times New Roman" w:hAnsi="Times New Roman"/>
          <w:noProof/>
          <w:sz w:val="24"/>
          <w:szCs w:val="24"/>
        </w:rPr>
        <w:t xml:space="preserve">, </w:t>
      </w:r>
      <w:r w:rsidRPr="00141DCF">
        <w:rPr>
          <w:rFonts w:ascii="Times New Roman" w:hAnsi="Times New Roman"/>
          <w:noProof/>
          <w:sz w:val="24"/>
          <w:szCs w:val="24"/>
        </w:rPr>
        <w:t>such as information connected to alerts in SIS, via a dedicated channel (SIRENE mail relay) and the SIRENE Bureaux. Regulation (EU) 2019/818 on establishing a framework for interoperability between EU information systems in the field of police and judicial cooperation, asylum and migration</w:t>
      </w:r>
      <w:r w:rsidRPr="00141DCF">
        <w:rPr>
          <w:rStyle w:val="FootnoteReference"/>
          <w:rFonts w:ascii="Times New Roman" w:hAnsi="Times New Roman"/>
          <w:noProof/>
          <w:sz w:val="24"/>
          <w:szCs w:val="24"/>
        </w:rPr>
        <w:footnoteReference w:id="313"/>
      </w:r>
      <w:r w:rsidRPr="00141DCF">
        <w:rPr>
          <w:rFonts w:ascii="Times New Roman" w:hAnsi="Times New Roman"/>
          <w:noProof/>
          <w:sz w:val="24"/>
          <w:szCs w:val="24"/>
        </w:rPr>
        <w:t xml:space="preserve"> establishes a framework for interoperability across different systems,</w:t>
      </w:r>
      <w:r w:rsidRPr="00141DCF">
        <w:rPr>
          <w:rStyle w:val="FootnoteReference"/>
          <w:rFonts w:ascii="Times New Roman" w:hAnsi="Times New Roman"/>
          <w:noProof/>
          <w:sz w:val="24"/>
          <w:szCs w:val="24"/>
        </w:rPr>
        <w:footnoteReference w:id="314"/>
      </w:r>
      <w:r w:rsidRPr="00141DCF">
        <w:rPr>
          <w:rFonts w:ascii="Times New Roman" w:hAnsi="Times New Roman"/>
          <w:noProof/>
          <w:sz w:val="24"/>
          <w:szCs w:val="24"/>
        </w:rPr>
        <w:t xml:space="preserve"> allowing for better detection of security threats and identity fraud, and helps preventing and combating illegal immigration through the establishment of:</w:t>
      </w:r>
    </w:p>
    <w:p w14:paraId="66C7D50C" w14:textId="77777777" w:rsidR="00D44CF0" w:rsidRPr="00141DCF" w:rsidRDefault="00D44CF0" w:rsidP="00900BC7">
      <w:pPr>
        <w:pStyle w:val="Body"/>
        <w:numPr>
          <w:ilvl w:val="0"/>
          <w:numId w:val="63"/>
        </w:numPr>
        <w:spacing w:beforeLines="1" w:before="2" w:afterLines="1" w:after="2"/>
        <w:jc w:val="both"/>
        <w:rPr>
          <w:rFonts w:ascii="Times New Roman" w:hAnsi="Times New Roman"/>
          <w:noProof/>
          <w:sz w:val="24"/>
          <w:szCs w:val="24"/>
        </w:rPr>
      </w:pPr>
      <w:r w:rsidRPr="00141DCF">
        <w:rPr>
          <w:rFonts w:ascii="Times New Roman" w:hAnsi="Times New Roman"/>
          <w:noProof/>
          <w:sz w:val="24"/>
          <w:szCs w:val="24"/>
        </w:rPr>
        <w:t>A European search portal (ESP), allowing competent authorities to search multiple information systems simultaneously, using both biographical and biometric data;</w:t>
      </w:r>
    </w:p>
    <w:p w14:paraId="1B450AB9" w14:textId="77777777" w:rsidR="00D44CF0" w:rsidRPr="00141DCF" w:rsidRDefault="00D44CF0" w:rsidP="00900BC7">
      <w:pPr>
        <w:pStyle w:val="Body"/>
        <w:numPr>
          <w:ilvl w:val="0"/>
          <w:numId w:val="63"/>
        </w:numPr>
        <w:spacing w:beforeLines="1" w:before="2" w:afterLines="1" w:after="2"/>
        <w:jc w:val="both"/>
        <w:rPr>
          <w:rFonts w:ascii="Times New Roman" w:hAnsi="Times New Roman"/>
          <w:noProof/>
          <w:sz w:val="24"/>
          <w:szCs w:val="24"/>
        </w:rPr>
      </w:pPr>
      <w:r w:rsidRPr="00141DCF">
        <w:rPr>
          <w:rFonts w:ascii="Times New Roman" w:hAnsi="Times New Roman"/>
          <w:noProof/>
          <w:sz w:val="24"/>
          <w:szCs w:val="24"/>
        </w:rPr>
        <w:t>A shared biometric matching service enabling the searching and comparing of biometric data (fingerprints and facial images) from several EU information systems;</w:t>
      </w:r>
    </w:p>
    <w:p w14:paraId="42B91B1F" w14:textId="77777777" w:rsidR="00D44CF0" w:rsidRPr="00141DCF" w:rsidRDefault="00D44CF0" w:rsidP="00900BC7">
      <w:pPr>
        <w:pStyle w:val="Body"/>
        <w:numPr>
          <w:ilvl w:val="0"/>
          <w:numId w:val="63"/>
        </w:numPr>
        <w:spacing w:beforeLines="1" w:before="2" w:afterLines="1" w:after="2"/>
        <w:jc w:val="both"/>
        <w:rPr>
          <w:rFonts w:ascii="Times New Roman" w:hAnsi="Times New Roman"/>
          <w:noProof/>
          <w:sz w:val="24"/>
          <w:szCs w:val="24"/>
        </w:rPr>
      </w:pPr>
      <w:r w:rsidRPr="00141DCF">
        <w:rPr>
          <w:rFonts w:ascii="Times New Roman" w:hAnsi="Times New Roman"/>
          <w:noProof/>
          <w:sz w:val="24"/>
          <w:szCs w:val="24"/>
        </w:rPr>
        <w:t>A common identity repository containing biographical and biometric data of non-EU nationals available in several EU information systems;</w:t>
      </w:r>
    </w:p>
    <w:p w14:paraId="52524BC7" w14:textId="77777777" w:rsidR="00D44CF0" w:rsidRPr="00141DCF" w:rsidRDefault="00D44CF0" w:rsidP="00900BC7">
      <w:pPr>
        <w:pStyle w:val="Body"/>
        <w:numPr>
          <w:ilvl w:val="0"/>
          <w:numId w:val="63"/>
        </w:numPr>
        <w:spacing w:beforeLines="1" w:before="2" w:afterLines="1" w:after="2"/>
        <w:jc w:val="both"/>
        <w:rPr>
          <w:rFonts w:ascii="Times New Roman" w:hAnsi="Times New Roman"/>
          <w:noProof/>
          <w:sz w:val="24"/>
          <w:szCs w:val="24"/>
        </w:rPr>
      </w:pPr>
      <w:r w:rsidRPr="00141DCF">
        <w:rPr>
          <w:rFonts w:ascii="Times New Roman" w:hAnsi="Times New Roman"/>
          <w:noProof/>
          <w:sz w:val="24"/>
          <w:szCs w:val="24"/>
        </w:rPr>
        <w:t xml:space="preserve">A multiple identity detector enabling the detection of multiple identities across different EU information systems. </w:t>
      </w:r>
    </w:p>
    <w:p w14:paraId="3A31F120" w14:textId="77777777" w:rsidR="005D5627" w:rsidRPr="00141DCF" w:rsidRDefault="005D5627" w:rsidP="00DE1389">
      <w:pPr>
        <w:pStyle w:val="Body"/>
        <w:spacing w:beforeLines="1" w:before="2" w:afterLines="1" w:after="2"/>
        <w:jc w:val="both"/>
        <w:rPr>
          <w:rFonts w:ascii="Times New Roman" w:hAnsi="Times New Roman"/>
          <w:noProof/>
          <w:sz w:val="24"/>
          <w:szCs w:val="24"/>
        </w:rPr>
      </w:pPr>
    </w:p>
    <w:p w14:paraId="28FC3EAE" w14:textId="77777777" w:rsidR="00D44CF0" w:rsidRPr="00141DCF" w:rsidRDefault="00D44CF0" w:rsidP="00DE1389">
      <w:pPr>
        <w:pStyle w:val="Body"/>
        <w:spacing w:beforeLines="1" w:before="2" w:afterLines="1" w:after="2"/>
        <w:jc w:val="both"/>
        <w:rPr>
          <w:rFonts w:ascii="Times New Roman" w:hAnsi="Times New Roman"/>
          <w:noProof/>
          <w:sz w:val="24"/>
          <w:szCs w:val="24"/>
        </w:rPr>
      </w:pPr>
      <w:r w:rsidRPr="00141DCF">
        <w:rPr>
          <w:rFonts w:ascii="Times New Roman" w:hAnsi="Times New Roman"/>
          <w:noProof/>
          <w:sz w:val="24"/>
          <w:szCs w:val="24"/>
        </w:rPr>
        <w:t xml:space="preserve">In order to cope with the increasing exchange of cross-border information, the Council Document 10492/14 established the </w:t>
      </w:r>
      <w:r w:rsidRPr="00141DCF">
        <w:rPr>
          <w:rFonts w:ascii="Times New Roman" w:hAnsi="Times New Roman"/>
          <w:b/>
          <w:bCs/>
          <w:noProof/>
          <w:sz w:val="24"/>
          <w:szCs w:val="24"/>
        </w:rPr>
        <w:t>SPOCs</w:t>
      </w:r>
      <w:r w:rsidRPr="00141DCF">
        <w:rPr>
          <w:rFonts w:ascii="Times New Roman" w:hAnsi="Times New Roman"/>
          <w:noProof/>
          <w:sz w:val="24"/>
          <w:szCs w:val="24"/>
        </w:rPr>
        <w:t xml:space="preserve"> across countries,</w:t>
      </w:r>
      <w:r w:rsidRPr="00141DCF">
        <w:rPr>
          <w:rStyle w:val="FootnoteReference"/>
          <w:rFonts w:ascii="Times New Roman" w:hAnsi="Times New Roman"/>
          <w:noProof/>
          <w:sz w:val="24"/>
          <w:szCs w:val="24"/>
        </w:rPr>
        <w:footnoteReference w:id="315"/>
      </w:r>
      <w:r w:rsidRPr="00141DCF">
        <w:rPr>
          <w:rFonts w:ascii="Times New Roman" w:hAnsi="Times New Roman"/>
          <w:noProof/>
          <w:sz w:val="24"/>
          <w:szCs w:val="24"/>
        </w:rPr>
        <w:t xml:space="preserve"> in order to maximise the use of available resources, avoid overlaps and make cooperation with other Member States and SACs more efficient, fast and transparent. Besides the SPOCs, other key actors in the intra-EU law enforcement landscape are the </w:t>
      </w:r>
      <w:r w:rsidRPr="00141DCF">
        <w:rPr>
          <w:rFonts w:ascii="Times New Roman" w:hAnsi="Times New Roman"/>
          <w:b/>
          <w:bCs/>
          <w:noProof/>
          <w:sz w:val="24"/>
          <w:szCs w:val="24"/>
        </w:rPr>
        <w:t xml:space="preserve">PCCCs </w:t>
      </w:r>
      <w:r w:rsidRPr="00141DCF">
        <w:rPr>
          <w:rFonts w:ascii="Times New Roman" w:hAnsi="Times New Roman"/>
          <w:noProof/>
          <w:sz w:val="24"/>
          <w:szCs w:val="24"/>
        </w:rPr>
        <w:t>set up by Council Document 9105/11</w:t>
      </w:r>
      <w:r w:rsidRPr="00141DCF">
        <w:rPr>
          <w:rStyle w:val="FootnoteReference"/>
          <w:rFonts w:ascii="Times New Roman" w:hAnsi="Times New Roman"/>
          <w:noProof/>
          <w:sz w:val="24"/>
          <w:szCs w:val="24"/>
        </w:rPr>
        <w:footnoteReference w:id="316"/>
      </w:r>
      <w:r w:rsidRPr="00141DCF">
        <w:rPr>
          <w:rFonts w:ascii="Times New Roman" w:hAnsi="Times New Roman"/>
          <w:noProof/>
          <w:sz w:val="24"/>
          <w:szCs w:val="24"/>
        </w:rPr>
        <w:t xml:space="preserve">, which are operational centres responsible for handling crisis situations and events having an international dimension. Moreover, the </w:t>
      </w:r>
      <w:r w:rsidRPr="00141DCF">
        <w:rPr>
          <w:rFonts w:ascii="Times New Roman" w:hAnsi="Times New Roman"/>
          <w:b/>
          <w:noProof/>
          <w:sz w:val="24"/>
          <w:szCs w:val="24"/>
        </w:rPr>
        <w:t>National Firearms Focal Points (NFFP)</w:t>
      </w:r>
      <w:r w:rsidRPr="00141DCF">
        <w:rPr>
          <w:rFonts w:ascii="Times New Roman" w:hAnsi="Times New Roman"/>
          <w:noProof/>
          <w:sz w:val="24"/>
          <w:szCs w:val="24"/>
        </w:rPr>
        <w:t xml:space="preserve"> were set up by COM (2015) 624 final</w:t>
      </w:r>
      <w:r w:rsidRPr="00141DCF">
        <w:rPr>
          <w:rStyle w:val="FootnoteReference"/>
          <w:rFonts w:ascii="Times New Roman" w:hAnsi="Times New Roman"/>
          <w:noProof/>
          <w:sz w:val="24"/>
          <w:szCs w:val="24"/>
        </w:rPr>
        <w:footnoteReference w:id="317"/>
      </w:r>
      <w:r w:rsidRPr="00141DCF">
        <w:rPr>
          <w:rFonts w:ascii="Times New Roman" w:hAnsi="Times New Roman"/>
          <w:noProof/>
          <w:sz w:val="24"/>
          <w:szCs w:val="24"/>
          <w:lang w:eastAsia="en-GB"/>
        </w:rPr>
        <w:t xml:space="preserve"> </w:t>
      </w:r>
      <w:r w:rsidRPr="00141DCF">
        <w:rPr>
          <w:rFonts w:ascii="Times New Roman" w:hAnsi="Times New Roman"/>
          <w:noProof/>
          <w:sz w:val="24"/>
          <w:szCs w:val="24"/>
        </w:rPr>
        <w:t>with the aim to develop expertise and improve analysis and strategic reporting on illicit trafficking in firearms notably through the combined use of both ballistic and criminal intelligence.</w:t>
      </w:r>
    </w:p>
    <w:p w14:paraId="795083FE" w14:textId="77777777" w:rsidR="005D5627" w:rsidRPr="00141DCF" w:rsidRDefault="005D5627" w:rsidP="00DE1389">
      <w:pPr>
        <w:pStyle w:val="Body"/>
        <w:spacing w:beforeLines="1" w:before="2" w:afterLines="1" w:after="2"/>
        <w:jc w:val="both"/>
        <w:rPr>
          <w:rFonts w:ascii="Times New Roman" w:hAnsi="Times New Roman"/>
          <w:noProof/>
          <w:sz w:val="24"/>
          <w:szCs w:val="24"/>
        </w:rPr>
      </w:pPr>
    </w:p>
    <w:p w14:paraId="20E4AB13" w14:textId="77777777" w:rsidR="00D44CF0" w:rsidRPr="00141DCF" w:rsidRDefault="00D44CF0" w:rsidP="00B12E97">
      <w:pPr>
        <w:pStyle w:val="Body"/>
        <w:spacing w:beforeLines="1" w:before="2" w:after="120"/>
        <w:jc w:val="both"/>
        <w:rPr>
          <w:rFonts w:ascii="Times New Roman" w:hAnsi="Times New Roman"/>
          <w:noProof/>
          <w:sz w:val="24"/>
          <w:szCs w:val="24"/>
        </w:rPr>
      </w:pPr>
      <w:r w:rsidRPr="00141DCF">
        <w:rPr>
          <w:rFonts w:ascii="Times New Roman" w:hAnsi="Times New Roman"/>
          <w:noProof/>
          <w:sz w:val="24"/>
          <w:szCs w:val="24"/>
        </w:rPr>
        <w:t>In relation to exchange of information and cooperation concerning terrorist offences, Council Decision 2005/671/JHA</w:t>
      </w:r>
      <w:r w:rsidRPr="00141DCF">
        <w:rPr>
          <w:rStyle w:val="FootnoteReference"/>
          <w:rFonts w:ascii="Times New Roman" w:hAnsi="Times New Roman"/>
          <w:noProof/>
          <w:sz w:val="24"/>
          <w:szCs w:val="24"/>
        </w:rPr>
        <w:footnoteReference w:id="318"/>
      </w:r>
      <w:r w:rsidRPr="00141DCF">
        <w:rPr>
          <w:rFonts w:ascii="Times New Roman" w:hAnsi="Times New Roman"/>
          <w:noProof/>
          <w:sz w:val="24"/>
          <w:szCs w:val="24"/>
        </w:rPr>
        <w:t xml:space="preserve"> states that Member Statas shall appoint </w:t>
      </w:r>
      <w:r w:rsidRPr="00141DCF">
        <w:rPr>
          <w:rFonts w:ascii="Times New Roman" w:hAnsi="Times New Roman"/>
          <w:b/>
          <w:bCs/>
          <w:noProof/>
          <w:sz w:val="24"/>
          <w:szCs w:val="24"/>
        </w:rPr>
        <w:t>national competent authorities in charge</w:t>
      </w:r>
      <w:r w:rsidRPr="00141DCF">
        <w:rPr>
          <w:rFonts w:ascii="Times New Roman" w:hAnsi="Times New Roman"/>
          <w:noProof/>
          <w:sz w:val="24"/>
          <w:szCs w:val="24"/>
        </w:rPr>
        <w:t xml:space="preserve"> of sharing relevant information with other Member States and SACs as well as with Eurojust and Europol.</w:t>
      </w:r>
    </w:p>
    <w:p w14:paraId="7C3DD848" w14:textId="77777777" w:rsidR="00D44CF0" w:rsidRPr="00141DCF" w:rsidRDefault="00D44CF0" w:rsidP="00E559F9">
      <w:pPr>
        <w:pStyle w:val="Body"/>
        <w:spacing w:beforeLines="1" w:before="2" w:after="120"/>
        <w:jc w:val="both"/>
        <w:rPr>
          <w:rFonts w:ascii="Times New Roman" w:hAnsi="Times New Roman"/>
          <w:noProof/>
          <w:sz w:val="24"/>
          <w:szCs w:val="24"/>
        </w:rPr>
      </w:pPr>
      <w:r w:rsidRPr="00141DCF">
        <w:rPr>
          <w:rFonts w:ascii="Times New Roman" w:hAnsi="Times New Roman"/>
          <w:noProof/>
          <w:sz w:val="24"/>
          <w:szCs w:val="24"/>
        </w:rPr>
        <w:t>Moreover, pursuant to Council Decision 2003/170/JHA</w:t>
      </w:r>
      <w:r w:rsidRPr="00141DCF">
        <w:rPr>
          <w:rStyle w:val="FootnoteReference"/>
          <w:rFonts w:ascii="Times New Roman" w:hAnsi="Times New Roman"/>
          <w:noProof/>
          <w:sz w:val="24"/>
          <w:szCs w:val="24"/>
        </w:rPr>
        <w:footnoteReference w:id="319"/>
      </w:r>
      <w:r w:rsidRPr="00141DCF">
        <w:rPr>
          <w:rFonts w:ascii="Times New Roman" w:hAnsi="Times New Roman"/>
          <w:noProof/>
          <w:sz w:val="24"/>
          <w:szCs w:val="24"/>
        </w:rPr>
        <w:t xml:space="preserve">, </w:t>
      </w:r>
      <w:r w:rsidRPr="00141DCF">
        <w:rPr>
          <w:rFonts w:ascii="Times New Roman" w:hAnsi="Times New Roman"/>
          <w:b/>
          <w:bCs/>
          <w:noProof/>
          <w:sz w:val="24"/>
          <w:szCs w:val="24"/>
        </w:rPr>
        <w:t>liaison officers posted abroad</w:t>
      </w:r>
      <w:r w:rsidRPr="00141DCF">
        <w:rPr>
          <w:rFonts w:ascii="Times New Roman" w:hAnsi="Times New Roman"/>
          <w:noProof/>
          <w:sz w:val="24"/>
          <w:szCs w:val="24"/>
        </w:rPr>
        <w:t xml:space="preserve"> were established for maintaining contacts with the authorities in the countries or organisations where they are based with a view to contributing to preventing or investigating criminal offences” (Article 1). Pursuant Article 8, as amended by Council Decision 2006/560/JHA,</w:t>
      </w:r>
      <w:r w:rsidRPr="00141DCF">
        <w:rPr>
          <w:rStyle w:val="FootnoteReference"/>
          <w:rFonts w:ascii="Times New Roman" w:hAnsi="Times New Roman"/>
          <w:noProof/>
          <w:sz w:val="24"/>
          <w:szCs w:val="24"/>
        </w:rPr>
        <w:footnoteReference w:id="320"/>
      </w:r>
      <w:r w:rsidRPr="00141DCF">
        <w:rPr>
          <w:rFonts w:ascii="Times New Roman" w:hAnsi="Times New Roman"/>
          <w:noProof/>
          <w:sz w:val="24"/>
          <w:szCs w:val="24"/>
        </w:rPr>
        <w:t xml:space="preserve"> Member States can request to use Europol liaison officers seconded to third countries or international organisations for exchanging information about serious threats of criminal offences and vice versa. </w:t>
      </w:r>
    </w:p>
    <w:p w14:paraId="0151AF8F" w14:textId="77777777" w:rsidR="005D5627" w:rsidRPr="00141DCF" w:rsidRDefault="00D44CF0" w:rsidP="00704502">
      <w:pPr>
        <w:spacing w:after="120" w:line="240" w:lineRule="auto"/>
        <w:jc w:val="both"/>
        <w:rPr>
          <w:rFonts w:ascii="Times New Roman" w:hAnsi="Times New Roman" w:cs="Times New Roman"/>
          <w:noProof/>
          <w:sz w:val="24"/>
          <w:szCs w:val="24"/>
          <w:lang w:val="en-GB"/>
        </w:rPr>
      </w:pPr>
      <w:r w:rsidRPr="00141DCF">
        <w:rPr>
          <w:rFonts w:ascii="Times New Roman" w:hAnsi="Times New Roman" w:cs="Times New Roman"/>
          <w:b/>
          <w:noProof/>
          <w:sz w:val="24"/>
          <w:szCs w:val="24"/>
          <w:lang w:val="en-GB"/>
        </w:rPr>
        <w:t>Some EU legislative measures introduced specific tools and information systems that can be used to exchange information between LEAs</w:t>
      </w:r>
      <w:r w:rsidRPr="00141DCF">
        <w:rPr>
          <w:rFonts w:ascii="Times New Roman" w:hAnsi="Times New Roman" w:cs="Times New Roman"/>
          <w:noProof/>
          <w:sz w:val="24"/>
          <w:szCs w:val="24"/>
          <w:lang w:val="en-GB"/>
        </w:rPr>
        <w:t>. Besides measures relating to horizontal platforms (e.g. SIS), there are also measures that cover tools for the exchange of specific types of information, such as drugs information (Reitox), identity documents (ESP),</w:t>
      </w:r>
      <w:r w:rsidRPr="00141DCF">
        <w:rPr>
          <w:rStyle w:val="FootnoteReference"/>
          <w:rFonts w:ascii="Times New Roman" w:hAnsi="Times New Roman" w:cs="Times New Roman"/>
          <w:noProof/>
          <w:sz w:val="24"/>
          <w:szCs w:val="24"/>
        </w:rPr>
        <w:footnoteReference w:id="321"/>
      </w:r>
      <w:r w:rsidRPr="00141DCF">
        <w:rPr>
          <w:rFonts w:ascii="Times New Roman" w:hAnsi="Times New Roman" w:cs="Times New Roman"/>
          <w:noProof/>
          <w:sz w:val="24"/>
          <w:szCs w:val="24"/>
          <w:lang w:val="en-GB"/>
        </w:rPr>
        <w:t xml:space="preserve"> and customs information. </w:t>
      </w:r>
    </w:p>
    <w:p w14:paraId="703A25B5" w14:textId="77777777" w:rsidR="005D5627" w:rsidRPr="00141DCF" w:rsidRDefault="00D44CF0" w:rsidP="00704502">
      <w:pPr>
        <w:spacing w:after="120" w:line="240" w:lineRule="auto"/>
        <w:jc w:val="both"/>
        <w:rPr>
          <w:rFonts w:ascii="Times New Roman" w:hAnsi="Times New Roman" w:cs="Times New Roman"/>
          <w:noProof/>
          <w:sz w:val="24"/>
          <w:szCs w:val="24"/>
          <w:lang w:val="en-GB"/>
        </w:rPr>
      </w:pPr>
      <w:r w:rsidRPr="00141DCF">
        <w:rPr>
          <w:rFonts w:ascii="Times New Roman" w:hAnsi="Times New Roman" w:cs="Times New Roman"/>
          <w:noProof/>
          <w:sz w:val="24"/>
          <w:szCs w:val="24"/>
          <w:lang w:val="en-GB"/>
        </w:rPr>
        <w:t xml:space="preserve">It is worth mentioning that most EU measures relating to information systems refer to generic “electronic means of communication”, thus leaving room to the Member States to choose the most appropriate tool to exchange information. </w:t>
      </w:r>
    </w:p>
    <w:p w14:paraId="01C58439" w14:textId="77777777" w:rsidR="005D5627" w:rsidRPr="00141DCF" w:rsidRDefault="00D44CF0" w:rsidP="00704502">
      <w:pPr>
        <w:spacing w:after="120" w:line="240" w:lineRule="auto"/>
        <w:jc w:val="both"/>
        <w:rPr>
          <w:rFonts w:ascii="Times New Roman" w:hAnsi="Times New Roman" w:cs="Times New Roman"/>
          <w:noProof/>
          <w:sz w:val="24"/>
          <w:szCs w:val="24"/>
          <w:lang w:val="en-GB"/>
        </w:rPr>
      </w:pPr>
      <w:r w:rsidRPr="00141DCF">
        <w:rPr>
          <w:rFonts w:ascii="Times New Roman" w:hAnsi="Times New Roman" w:cs="Times New Roman"/>
          <w:noProof/>
          <w:sz w:val="24"/>
          <w:szCs w:val="24"/>
          <w:lang w:val="en-GB"/>
        </w:rPr>
        <w:t>Furthermore, Council Decision 2009/917/JHA on the use of information technology for customs purposes</w:t>
      </w:r>
      <w:r w:rsidRPr="00141DCF">
        <w:rPr>
          <w:rStyle w:val="FootnoteReference"/>
          <w:rFonts w:ascii="Times New Roman" w:hAnsi="Times New Roman" w:cs="Times New Roman"/>
          <w:noProof/>
          <w:sz w:val="24"/>
          <w:szCs w:val="24"/>
        </w:rPr>
        <w:footnoteReference w:id="322"/>
      </w:r>
      <w:r w:rsidRPr="00141DCF">
        <w:rPr>
          <w:rFonts w:ascii="Times New Roman" w:hAnsi="Times New Roman" w:cs="Times New Roman"/>
          <w:noProof/>
          <w:sz w:val="24"/>
          <w:szCs w:val="24"/>
          <w:lang w:val="en-GB"/>
        </w:rPr>
        <w:t xml:space="preserve"> established a joint automated information system named “Customs Information Systems” (CIS) with the aim to “assist in preventing, investigating and prosecuting serious contraventions of national laws by making information available more rapidly, thereby increasing the effectiveness of the cooperation and control procedures of the customs administrations of the Member States.” (Article 1.2). </w:t>
      </w:r>
    </w:p>
    <w:p w14:paraId="4B03CCB2" w14:textId="77777777" w:rsidR="005D5627" w:rsidRPr="00141DCF" w:rsidRDefault="00D44CF0" w:rsidP="00704502">
      <w:pPr>
        <w:spacing w:after="120" w:line="240" w:lineRule="auto"/>
        <w:jc w:val="both"/>
        <w:rPr>
          <w:rFonts w:ascii="Times New Roman" w:hAnsi="Times New Roman" w:cs="Times New Roman"/>
          <w:noProof/>
          <w:sz w:val="24"/>
          <w:szCs w:val="24"/>
          <w:lang w:val="en-GB"/>
        </w:rPr>
      </w:pPr>
      <w:r w:rsidRPr="00141DCF">
        <w:rPr>
          <w:rFonts w:ascii="Times New Roman" w:hAnsi="Times New Roman" w:cs="Times New Roman"/>
          <w:noProof/>
          <w:sz w:val="24"/>
          <w:szCs w:val="24"/>
          <w:lang w:val="en-GB"/>
        </w:rPr>
        <w:t xml:space="preserve">The information and data available in this system can be also personal data with the specification that they must be inserted in the system with some limitation (listed in the article 4.2). This information is accessible to Europol and Eurojust. It should be noted that “Only the supplying Member State shall have the right to amend, supplement, rectify or erase data which it has entered in the” CIS (article 13). </w:t>
      </w:r>
    </w:p>
    <w:p w14:paraId="6BD0B6CE" w14:textId="77777777" w:rsidR="005D5627" w:rsidRPr="00141DCF" w:rsidRDefault="00D44CF0" w:rsidP="00704502">
      <w:pPr>
        <w:spacing w:after="120" w:line="240" w:lineRule="auto"/>
        <w:jc w:val="both"/>
        <w:rPr>
          <w:rFonts w:ascii="Times New Roman" w:hAnsi="Times New Roman" w:cs="Times New Roman"/>
          <w:noProof/>
          <w:sz w:val="24"/>
          <w:szCs w:val="24"/>
          <w:lang w:val="en-GB"/>
        </w:rPr>
      </w:pPr>
      <w:r w:rsidRPr="00141DCF">
        <w:rPr>
          <w:rFonts w:ascii="Times New Roman" w:hAnsi="Times New Roman" w:cs="Times New Roman"/>
          <w:noProof/>
          <w:sz w:val="24"/>
          <w:szCs w:val="24"/>
          <w:lang w:val="en-GB"/>
        </w:rPr>
        <w:t xml:space="preserve">The CIS is a part of the Anti-Fraud Information System (AFIS) operated by the European Anti-Fraud Office (OLAF), which hosts a set of anti-fraud applications under a common technical infrastructure aiming at the timely and secure exchange of fraud-related information between the customs competent national and EU administrations. </w:t>
      </w:r>
    </w:p>
    <w:p w14:paraId="4101FD7D" w14:textId="77777777" w:rsidR="00D44CF0" w:rsidRPr="00141DCF" w:rsidRDefault="00D44CF0" w:rsidP="00704502">
      <w:pPr>
        <w:spacing w:after="120" w:line="240" w:lineRule="auto"/>
        <w:jc w:val="both"/>
        <w:rPr>
          <w:rFonts w:ascii="Times New Roman" w:hAnsi="Times New Roman" w:cs="Times New Roman"/>
          <w:noProof/>
          <w:sz w:val="24"/>
          <w:szCs w:val="24"/>
          <w:lang w:val="en-GB"/>
        </w:rPr>
      </w:pPr>
      <w:r w:rsidRPr="00141DCF">
        <w:rPr>
          <w:rFonts w:ascii="Times New Roman" w:hAnsi="Times New Roman" w:cs="Times New Roman"/>
          <w:noProof/>
          <w:sz w:val="24"/>
          <w:szCs w:val="24"/>
          <w:lang w:val="en-GB"/>
        </w:rPr>
        <w:t>The AFIS includes also the Customs Investigation Files Identification Database (FIDE), which stores data on persons and businesses who are or have been the subject of an administrative enquiry or a criminal investigation by a Member State customs authority. Council Decision 2009/917/JHA and Regulation 515/97</w:t>
      </w:r>
      <w:r w:rsidRPr="00141DCF">
        <w:rPr>
          <w:rStyle w:val="FootnoteReference"/>
          <w:rFonts w:ascii="Times New Roman" w:hAnsi="Times New Roman" w:cs="Times New Roman"/>
          <w:noProof/>
          <w:sz w:val="24"/>
          <w:szCs w:val="24"/>
        </w:rPr>
        <w:footnoteReference w:id="323"/>
      </w:r>
      <w:r w:rsidRPr="00141DCF">
        <w:rPr>
          <w:rFonts w:ascii="Times New Roman" w:hAnsi="Times New Roman" w:cs="Times New Roman"/>
          <w:noProof/>
          <w:sz w:val="24"/>
          <w:szCs w:val="24"/>
          <w:lang w:val="en-GB"/>
        </w:rPr>
        <w:t xml:space="preserve"> provide the legal basis for CIS and FIDE and define their policy of access. CIS and FIDE information stored under the Council 2009/917/JHA is accessible to all Member States customs authorities, Europol and Eurojust. CIS and FIDE information stored according to Regulation 515/97 is accessible to all Member States customs authorities and competent Commission departments.</w:t>
      </w:r>
    </w:p>
    <w:p w14:paraId="6A53F6F0" w14:textId="77777777" w:rsidR="00D44CF0" w:rsidRPr="00141DCF" w:rsidRDefault="00D44CF0" w:rsidP="003105BA">
      <w:pPr>
        <w:pStyle w:val="Body"/>
        <w:spacing w:beforeLines="1" w:before="2" w:after="120"/>
        <w:jc w:val="both"/>
        <w:rPr>
          <w:rFonts w:ascii="Times New Roman" w:hAnsi="Times New Roman"/>
          <w:noProof/>
          <w:sz w:val="24"/>
          <w:szCs w:val="24"/>
        </w:rPr>
      </w:pPr>
      <w:r w:rsidRPr="00141DCF">
        <w:rPr>
          <w:rFonts w:ascii="Times New Roman" w:hAnsi="Times New Roman"/>
          <w:noProof/>
          <w:sz w:val="24"/>
          <w:szCs w:val="24"/>
        </w:rPr>
        <w:t>The legislative measures that have introduced tools for the exchange of information are accompanied by non-binding measures that provide instructions and operational details on specific EU provisions and include guidance for collecting and sharing data and information. For example, Council Document No 5825/20</w:t>
      </w:r>
      <w:r w:rsidRPr="00141DCF">
        <w:rPr>
          <w:rStyle w:val="FootnoteReference"/>
          <w:rFonts w:ascii="Times New Roman" w:hAnsi="Times New Roman"/>
          <w:noProof/>
          <w:sz w:val="24"/>
          <w:szCs w:val="24"/>
        </w:rPr>
        <w:footnoteReference w:id="324"/>
      </w:r>
      <w:r w:rsidRPr="00141DCF">
        <w:rPr>
          <w:rFonts w:ascii="Times New Roman" w:hAnsi="Times New Roman"/>
          <w:noProof/>
          <w:sz w:val="24"/>
          <w:szCs w:val="24"/>
        </w:rPr>
        <w:t xml:space="preserve"> is a Manual on Law Enforcement Information Exchange, which provides details for exchanging information via different channels such as Interpol/Europol/SIRENE. Council Document No 9512/10</w:t>
      </w:r>
      <w:r w:rsidRPr="00141DCF">
        <w:rPr>
          <w:rStyle w:val="FootnoteReference"/>
          <w:rFonts w:ascii="Times New Roman" w:hAnsi="Times New Roman"/>
          <w:noProof/>
          <w:sz w:val="24"/>
          <w:szCs w:val="24"/>
        </w:rPr>
        <w:footnoteReference w:id="325"/>
      </w:r>
      <w:r w:rsidRPr="00141DCF">
        <w:rPr>
          <w:rFonts w:ascii="Times New Roman" w:hAnsi="Times New Roman"/>
          <w:noProof/>
          <w:sz w:val="24"/>
          <w:szCs w:val="24"/>
        </w:rPr>
        <w:t xml:space="preserve"> provides Guidelines on the implementation of the SFD, including practical information about proper channels of communication to be used. </w:t>
      </w:r>
    </w:p>
    <w:p w14:paraId="41D8F812" w14:textId="77777777" w:rsidR="00D44CF0" w:rsidRPr="00141DCF" w:rsidRDefault="00D44CF0" w:rsidP="00D44CF0">
      <w:pPr>
        <w:pStyle w:val="Body"/>
        <w:spacing w:beforeLines="1" w:before="2" w:afterLines="1" w:after="2"/>
        <w:rPr>
          <w:rFonts w:ascii="Times New Roman" w:hAnsi="Times New Roman"/>
          <w:noProof/>
          <w:sz w:val="24"/>
          <w:szCs w:val="24"/>
        </w:rPr>
      </w:pPr>
      <w:r w:rsidRPr="00141DCF">
        <w:rPr>
          <w:rFonts w:ascii="Times New Roman" w:hAnsi="Times New Roman"/>
          <w:noProof/>
          <w:sz w:val="24"/>
          <w:szCs w:val="24"/>
        </w:rPr>
        <w:t>The following table provides an overview of EU tools/databases and systems for the exchange of information, including:</w:t>
      </w:r>
    </w:p>
    <w:p w14:paraId="3BB1A20E" w14:textId="77777777" w:rsidR="00D44CF0" w:rsidRPr="00141DCF" w:rsidRDefault="00D44CF0" w:rsidP="00704502">
      <w:pPr>
        <w:pStyle w:val="Body"/>
        <w:numPr>
          <w:ilvl w:val="0"/>
          <w:numId w:val="152"/>
        </w:numPr>
        <w:spacing w:beforeLines="1" w:before="2" w:afterLines="1" w:after="2"/>
        <w:rPr>
          <w:rFonts w:ascii="Times New Roman" w:hAnsi="Times New Roman"/>
          <w:noProof/>
          <w:sz w:val="24"/>
          <w:szCs w:val="24"/>
        </w:rPr>
      </w:pPr>
      <w:r w:rsidRPr="00141DCF">
        <w:rPr>
          <w:rFonts w:ascii="Times New Roman" w:hAnsi="Times New Roman"/>
          <w:noProof/>
          <w:sz w:val="24"/>
          <w:szCs w:val="24"/>
        </w:rPr>
        <w:t>Secure Information Exchange Network Application (SIENA);</w:t>
      </w:r>
    </w:p>
    <w:p w14:paraId="28A2D2EC"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SIS II;</w:t>
      </w:r>
    </w:p>
    <w:p w14:paraId="0982676D"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VIS;</w:t>
      </w:r>
    </w:p>
    <w:p w14:paraId="6AC68335"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Europol Information System (EIS);</w:t>
      </w:r>
    </w:p>
    <w:p w14:paraId="5CA47473"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Tools/information systems that are mainly used by a specific category of actors (CIS, EUROSUR, Prüm, National Football Info Points (NFIP), NFFPs networks);</w:t>
      </w:r>
    </w:p>
    <w:p w14:paraId="2C1444B5"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Prüm automated data exchange systems;</w:t>
      </w:r>
    </w:p>
    <w:p w14:paraId="209CA0EF"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 xml:space="preserve">Bilateral contacts. </w:t>
      </w:r>
    </w:p>
    <w:p w14:paraId="33D6A7BF" w14:textId="77777777" w:rsidR="00D44CF0" w:rsidRPr="00141DCF" w:rsidRDefault="00D44CF0" w:rsidP="00D44CF0">
      <w:pPr>
        <w:pStyle w:val="Caption"/>
        <w:keepNext/>
        <w:keepLines/>
        <w:widowControl w:val="0"/>
        <w:spacing w:beforeLines="50" w:afterLines="50"/>
        <w:jc w:val="center"/>
        <w:rPr>
          <w:rFonts w:ascii="Times New Roman" w:hAnsi="Times New Roman"/>
          <w:noProof/>
          <w:sz w:val="24"/>
          <w:szCs w:val="24"/>
          <w:lang w:val="en-GB"/>
        </w:rPr>
      </w:pPr>
      <w:r w:rsidRPr="00141DCF">
        <w:rPr>
          <w:rFonts w:ascii="Times New Roman" w:hAnsi="Times New Roman"/>
          <w:noProof/>
          <w:sz w:val="24"/>
          <w:szCs w:val="24"/>
          <w:lang w:val="en-GB"/>
        </w:rPr>
        <w:t>Overview of EU tools and information systems for the exchange of information</w:t>
      </w:r>
    </w:p>
    <w:tbl>
      <w:tblPr>
        <w:tblStyle w:val="TableGrid"/>
        <w:tblW w:w="5000" w:type="pct"/>
        <w:tblLook w:val="04A0" w:firstRow="1" w:lastRow="0" w:firstColumn="1" w:lastColumn="0" w:noHBand="0" w:noVBand="1"/>
      </w:tblPr>
      <w:tblGrid>
        <w:gridCol w:w="1436"/>
        <w:gridCol w:w="2190"/>
        <w:gridCol w:w="2850"/>
        <w:gridCol w:w="3378"/>
      </w:tblGrid>
      <w:tr w:rsidR="00D44CF0" w14:paraId="3770A1FD" w14:textId="77777777" w:rsidTr="005F2038">
        <w:trPr>
          <w:tblHeader/>
        </w:trPr>
        <w:tc>
          <w:tcPr>
            <w:tcW w:w="729" w:type="pct"/>
            <w:tcBorders>
              <w:top w:val="single" w:sz="4" w:space="0" w:color="FFFFFF"/>
              <w:left w:val="single" w:sz="4" w:space="0" w:color="FFFFFF"/>
              <w:bottom w:val="single" w:sz="4" w:space="0" w:color="FFFFFF"/>
              <w:right w:val="single" w:sz="4" w:space="0" w:color="FFFFFF"/>
            </w:tcBorders>
            <w:shd w:val="clear" w:color="auto" w:fill="00B0F0"/>
            <w:hideMark/>
          </w:tcPr>
          <w:p w14:paraId="4CEE29B2" w14:textId="77777777" w:rsidR="00D44CF0" w:rsidRDefault="00D44CF0" w:rsidP="005F2038">
            <w:pPr>
              <w:pStyle w:val="Body"/>
              <w:keepNext/>
              <w:keepLines/>
              <w:widowControl w:val="0"/>
              <w:spacing w:beforeLines="1" w:before="2" w:afterLines="1" w:after="2"/>
              <w:jc w:val="center"/>
              <w:rPr>
                <w:noProof/>
                <w:sz w:val="18"/>
              </w:rPr>
            </w:pPr>
            <w:r>
              <w:rPr>
                <w:noProof/>
                <w:sz w:val="18"/>
              </w:rPr>
              <w:t xml:space="preserve">Tool/ information system </w:t>
            </w:r>
          </w:p>
        </w:tc>
        <w:tc>
          <w:tcPr>
            <w:tcW w:w="1111" w:type="pct"/>
            <w:tcBorders>
              <w:top w:val="single" w:sz="4" w:space="0" w:color="FFFFFF"/>
              <w:left w:val="single" w:sz="4" w:space="0" w:color="FFFFFF"/>
              <w:bottom w:val="single" w:sz="4" w:space="0" w:color="FFFFFF"/>
              <w:right w:val="single" w:sz="4" w:space="0" w:color="FFFFFF"/>
            </w:tcBorders>
            <w:shd w:val="clear" w:color="auto" w:fill="00B0F0"/>
            <w:hideMark/>
          </w:tcPr>
          <w:p w14:paraId="67C26D4D" w14:textId="77777777" w:rsidR="00D44CF0" w:rsidRDefault="00D44CF0" w:rsidP="005F2038">
            <w:pPr>
              <w:pStyle w:val="Body"/>
              <w:keepNext/>
              <w:keepLines/>
              <w:widowControl w:val="0"/>
              <w:spacing w:beforeLines="1" w:before="2" w:afterLines="1" w:after="2"/>
              <w:jc w:val="center"/>
              <w:rPr>
                <w:noProof/>
                <w:sz w:val="18"/>
              </w:rPr>
            </w:pPr>
            <w:r>
              <w:rPr>
                <w:noProof/>
                <w:sz w:val="18"/>
              </w:rPr>
              <w:t>Legal basis</w:t>
            </w:r>
          </w:p>
        </w:tc>
        <w:tc>
          <w:tcPr>
            <w:tcW w:w="1446" w:type="pct"/>
            <w:tcBorders>
              <w:top w:val="single" w:sz="4" w:space="0" w:color="FFFFFF"/>
              <w:left w:val="single" w:sz="4" w:space="0" w:color="FFFFFF"/>
              <w:bottom w:val="single" w:sz="4" w:space="0" w:color="FFFFFF"/>
              <w:right w:val="single" w:sz="4" w:space="0" w:color="FFFFFF"/>
            </w:tcBorders>
            <w:shd w:val="clear" w:color="auto" w:fill="00B0F0"/>
            <w:hideMark/>
          </w:tcPr>
          <w:p w14:paraId="28E8026F" w14:textId="77777777" w:rsidR="00D44CF0" w:rsidRDefault="00D44CF0" w:rsidP="005F2038">
            <w:pPr>
              <w:pStyle w:val="Body"/>
              <w:keepNext/>
              <w:keepLines/>
              <w:widowControl w:val="0"/>
              <w:spacing w:beforeLines="1" w:before="2" w:afterLines="1" w:after="2"/>
              <w:jc w:val="center"/>
              <w:rPr>
                <w:noProof/>
                <w:sz w:val="18"/>
              </w:rPr>
            </w:pPr>
            <w:r>
              <w:rPr>
                <w:noProof/>
                <w:sz w:val="18"/>
              </w:rPr>
              <w:t>Actors entitled to use the tool</w:t>
            </w:r>
          </w:p>
        </w:tc>
        <w:tc>
          <w:tcPr>
            <w:tcW w:w="1714" w:type="pct"/>
            <w:tcBorders>
              <w:top w:val="single" w:sz="4" w:space="0" w:color="FFFFFF"/>
              <w:left w:val="single" w:sz="4" w:space="0" w:color="FFFFFF"/>
              <w:bottom w:val="single" w:sz="4" w:space="0" w:color="FFFFFF"/>
              <w:right w:val="single" w:sz="4" w:space="0" w:color="FFFFFF"/>
            </w:tcBorders>
            <w:shd w:val="clear" w:color="auto" w:fill="00B0F0"/>
            <w:hideMark/>
          </w:tcPr>
          <w:p w14:paraId="67B21F88" w14:textId="77777777" w:rsidR="00D44CF0" w:rsidRDefault="00D44CF0" w:rsidP="005F2038">
            <w:pPr>
              <w:pStyle w:val="Body"/>
              <w:keepNext/>
              <w:keepLines/>
              <w:widowControl w:val="0"/>
              <w:spacing w:beforeLines="1" w:before="2" w:afterLines="1" w:after="2"/>
              <w:jc w:val="center"/>
              <w:rPr>
                <w:noProof/>
                <w:sz w:val="18"/>
              </w:rPr>
            </w:pPr>
            <w:r>
              <w:rPr>
                <w:noProof/>
                <w:sz w:val="18"/>
              </w:rPr>
              <w:t>Type of information exchanged</w:t>
            </w:r>
          </w:p>
        </w:tc>
      </w:tr>
      <w:tr w:rsidR="00D44CF0" w:rsidRPr="008911FD" w14:paraId="19A3B06B" w14:textId="77777777" w:rsidTr="005F2038">
        <w:tc>
          <w:tcPr>
            <w:tcW w:w="729" w:type="pct"/>
            <w:vMerge w:val="restart"/>
            <w:tcBorders>
              <w:top w:val="single" w:sz="4" w:space="0" w:color="FFFFFF"/>
              <w:left w:val="single" w:sz="4" w:space="0" w:color="FFFFFF"/>
              <w:bottom w:val="single" w:sz="4" w:space="0" w:color="FFFFFF"/>
              <w:right w:val="single" w:sz="4" w:space="0" w:color="FFFFFF"/>
            </w:tcBorders>
            <w:hideMark/>
          </w:tcPr>
          <w:p w14:paraId="77032ADE" w14:textId="77777777" w:rsidR="00D44CF0" w:rsidRDefault="00D44CF0" w:rsidP="005F2038">
            <w:pPr>
              <w:pStyle w:val="Bulletpointtable"/>
              <w:keepNext/>
              <w:keepLines/>
              <w:widowControl w:val="0"/>
              <w:spacing w:before="2" w:after="2"/>
              <w:ind w:firstLine="0"/>
              <w:jc w:val="left"/>
              <w:rPr>
                <w:noProof/>
                <w:color w:val="000000" w:themeColor="text1"/>
                <w:sz w:val="18"/>
                <w:lang w:eastAsia="en-GB"/>
              </w:rPr>
            </w:pPr>
            <w:r>
              <w:rPr>
                <w:noProof/>
                <w:sz w:val="18"/>
                <w:lang w:eastAsia="en-GB"/>
              </w:rPr>
              <w:t>SIENA</w:t>
            </w:r>
          </w:p>
        </w:tc>
        <w:tc>
          <w:tcPr>
            <w:tcW w:w="1111" w:type="pct"/>
            <w:tcBorders>
              <w:top w:val="single" w:sz="4" w:space="0" w:color="FFFFFF"/>
              <w:left w:val="single" w:sz="4" w:space="0" w:color="FFFFFF"/>
              <w:bottom w:val="single" w:sz="4" w:space="0" w:color="FFFFFF"/>
              <w:right w:val="single" w:sz="4" w:space="0" w:color="FFFFFF"/>
            </w:tcBorders>
            <w:hideMark/>
          </w:tcPr>
          <w:p w14:paraId="4F907D2F" w14:textId="77777777" w:rsidR="00D44CF0" w:rsidRDefault="00D44CF0" w:rsidP="00D44CF0">
            <w:pPr>
              <w:pStyle w:val="Bulletpointtable"/>
              <w:keepNext/>
              <w:keepLines/>
              <w:widowControl w:val="0"/>
              <w:numPr>
                <w:ilvl w:val="0"/>
                <w:numId w:val="5"/>
              </w:numPr>
              <w:spacing w:before="2" w:after="2"/>
              <w:ind w:left="306" w:hanging="153"/>
              <w:jc w:val="left"/>
              <w:rPr>
                <w:noProof/>
                <w:color w:val="000000" w:themeColor="text1"/>
                <w:sz w:val="18"/>
              </w:rPr>
            </w:pPr>
            <w:r>
              <w:rPr>
                <w:noProof/>
                <w:sz w:val="18"/>
                <w:lang w:eastAsia="en-GB"/>
              </w:rPr>
              <w:t xml:space="preserve">Council Framework Decision 2006/960/JHA </w:t>
            </w:r>
          </w:p>
        </w:tc>
        <w:tc>
          <w:tcPr>
            <w:tcW w:w="1446" w:type="pct"/>
            <w:tcBorders>
              <w:top w:val="single" w:sz="4" w:space="0" w:color="FFFFFF"/>
              <w:left w:val="single" w:sz="4" w:space="0" w:color="FFFFFF"/>
              <w:bottom w:val="single" w:sz="4" w:space="0" w:color="FFFFFF"/>
              <w:right w:val="single" w:sz="4" w:space="0" w:color="FFFFFF"/>
            </w:tcBorders>
            <w:hideMark/>
          </w:tcPr>
          <w:p w14:paraId="751F5BB2" w14:textId="77777777" w:rsidR="00D44CF0" w:rsidRDefault="00D44CF0" w:rsidP="00D44CF0">
            <w:pPr>
              <w:pStyle w:val="Bulletpointtable"/>
              <w:keepNext/>
              <w:keepLines/>
              <w:widowControl w:val="0"/>
              <w:numPr>
                <w:ilvl w:val="0"/>
                <w:numId w:val="5"/>
              </w:numPr>
              <w:spacing w:before="2" w:after="2"/>
              <w:ind w:left="306" w:hanging="153"/>
              <w:jc w:val="left"/>
              <w:rPr>
                <w:noProof/>
                <w:color w:val="000000" w:themeColor="text1"/>
                <w:sz w:val="18"/>
              </w:rPr>
            </w:pPr>
            <w:r>
              <w:rPr>
                <w:noProof/>
                <w:sz w:val="18"/>
                <w:lang w:eastAsia="en-GB"/>
              </w:rPr>
              <w:t>National competent law enforcement authority</w:t>
            </w:r>
            <w:r>
              <w:rPr>
                <w:rStyle w:val="FootnoteReference"/>
                <w:noProof/>
              </w:rPr>
              <w:footnoteReference w:id="326"/>
            </w:r>
            <w:r>
              <w:rPr>
                <w:noProof/>
                <w:sz w:val="18"/>
                <w:lang w:eastAsia="en-GB"/>
              </w:rPr>
              <w:t xml:space="preserve"> </w:t>
            </w:r>
          </w:p>
          <w:p w14:paraId="5E2097A1" w14:textId="77777777" w:rsidR="00D44CF0" w:rsidRDefault="00D44CF0" w:rsidP="00D44CF0">
            <w:pPr>
              <w:pStyle w:val="Bulletpointtable"/>
              <w:keepNext/>
              <w:keepLines/>
              <w:widowControl w:val="0"/>
              <w:numPr>
                <w:ilvl w:val="0"/>
                <w:numId w:val="5"/>
              </w:numPr>
              <w:spacing w:before="2" w:after="2"/>
              <w:ind w:left="306" w:hanging="153"/>
              <w:jc w:val="left"/>
              <w:rPr>
                <w:noProof/>
                <w:color w:val="000000" w:themeColor="text1"/>
                <w:sz w:val="18"/>
              </w:rPr>
            </w:pPr>
            <w:r>
              <w:rPr>
                <w:noProof/>
                <w:sz w:val="18"/>
                <w:lang w:eastAsia="en-GB"/>
              </w:rPr>
              <w:t>Europol or Eurojust</w:t>
            </w:r>
          </w:p>
        </w:tc>
        <w:tc>
          <w:tcPr>
            <w:tcW w:w="1714" w:type="pct"/>
            <w:tcBorders>
              <w:top w:val="single" w:sz="4" w:space="0" w:color="FFFFFF"/>
              <w:left w:val="single" w:sz="4" w:space="0" w:color="FFFFFF"/>
              <w:bottom w:val="single" w:sz="4" w:space="0" w:color="FFFFFF"/>
              <w:right w:val="single" w:sz="4" w:space="0" w:color="FFFFFF"/>
            </w:tcBorders>
            <w:hideMark/>
          </w:tcPr>
          <w:p w14:paraId="2365F639" w14:textId="77777777" w:rsidR="00D44CF0" w:rsidRDefault="00D44CF0" w:rsidP="005F2038">
            <w:pPr>
              <w:pStyle w:val="Body"/>
              <w:keepNext/>
              <w:keepLines/>
              <w:widowControl w:val="0"/>
              <w:spacing w:beforeLines="1" w:before="2" w:afterLines="1" w:after="2"/>
              <w:rPr>
                <w:noProof/>
                <w:sz w:val="18"/>
              </w:rPr>
            </w:pPr>
            <w:r>
              <w:rPr>
                <w:rFonts w:cs="Calibri"/>
                <w:noProof/>
                <w:color w:val="000000"/>
                <w:sz w:val="18"/>
              </w:rPr>
              <w:t>Provision of information and intelligence</w:t>
            </w:r>
          </w:p>
        </w:tc>
      </w:tr>
      <w:tr w:rsidR="00D44CF0" w:rsidRPr="008911FD" w14:paraId="3352B842" w14:textId="77777777" w:rsidTr="005F2038">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37B3A5D4" w14:textId="77777777" w:rsidR="00D44CF0" w:rsidRDefault="00D44CF0" w:rsidP="005F2038">
            <w:pPr>
              <w:spacing w:after="0"/>
              <w:rPr>
                <w:rFonts w:eastAsiaTheme="minorHAnsi"/>
                <w:noProof/>
                <w:sz w:val="18"/>
                <w:szCs w:val="18"/>
              </w:rPr>
            </w:pPr>
          </w:p>
        </w:tc>
        <w:tc>
          <w:tcPr>
            <w:tcW w:w="1111" w:type="pct"/>
            <w:tcBorders>
              <w:top w:val="single" w:sz="4" w:space="0" w:color="FFFFFF"/>
              <w:left w:val="single" w:sz="4" w:space="0" w:color="FFFFFF"/>
              <w:bottom w:val="single" w:sz="4" w:space="0" w:color="FFFFFF"/>
              <w:right w:val="single" w:sz="4" w:space="0" w:color="FFFFFF"/>
            </w:tcBorders>
            <w:hideMark/>
          </w:tcPr>
          <w:p w14:paraId="01ED8F42" w14:textId="77777777" w:rsidR="00D44CF0" w:rsidRDefault="00D44CF0" w:rsidP="00D44CF0">
            <w:pPr>
              <w:pStyle w:val="Bulletpointtable"/>
              <w:keepNext/>
              <w:keepLines/>
              <w:widowControl w:val="0"/>
              <w:numPr>
                <w:ilvl w:val="0"/>
                <w:numId w:val="5"/>
              </w:numPr>
              <w:spacing w:before="2" w:after="2"/>
              <w:ind w:left="306" w:hanging="153"/>
              <w:jc w:val="left"/>
              <w:rPr>
                <w:noProof/>
                <w:color w:val="000000" w:themeColor="text1"/>
                <w:sz w:val="18"/>
                <w:lang w:eastAsia="en-GB"/>
              </w:rPr>
            </w:pPr>
            <w:r>
              <w:rPr>
                <w:noProof/>
                <w:sz w:val="18"/>
                <w:lang w:eastAsia="en-GB"/>
              </w:rPr>
              <w:t xml:space="preserve">Regulation (EU) 2016/794 </w:t>
            </w:r>
          </w:p>
        </w:tc>
        <w:tc>
          <w:tcPr>
            <w:tcW w:w="1446" w:type="pct"/>
            <w:tcBorders>
              <w:top w:val="single" w:sz="4" w:space="0" w:color="FFFFFF"/>
              <w:left w:val="single" w:sz="4" w:space="0" w:color="FFFFFF"/>
              <w:bottom w:val="single" w:sz="4" w:space="0" w:color="FFFFFF"/>
              <w:right w:val="single" w:sz="4" w:space="0" w:color="FFFFFF"/>
            </w:tcBorders>
            <w:hideMark/>
          </w:tcPr>
          <w:p w14:paraId="119D9745" w14:textId="77777777" w:rsidR="00D44CF0" w:rsidRDefault="00D44CF0" w:rsidP="00D44CF0">
            <w:pPr>
              <w:pStyle w:val="Bulletpointtable"/>
              <w:keepNext/>
              <w:keepLines/>
              <w:widowControl w:val="0"/>
              <w:numPr>
                <w:ilvl w:val="0"/>
                <w:numId w:val="5"/>
              </w:numPr>
              <w:spacing w:before="2" w:after="2"/>
              <w:ind w:left="306" w:hanging="153"/>
              <w:jc w:val="left"/>
              <w:rPr>
                <w:noProof/>
                <w:color w:val="000000" w:themeColor="text1"/>
                <w:sz w:val="18"/>
                <w:lang w:eastAsia="en-GB"/>
              </w:rPr>
            </w:pPr>
            <w:r>
              <w:rPr>
                <w:rFonts w:cs="Calibri"/>
                <w:noProof/>
                <w:color w:val="000000"/>
                <w:sz w:val="18"/>
                <w:lang w:eastAsia="en-GB"/>
              </w:rPr>
              <w:t xml:space="preserve">ENUs </w:t>
            </w:r>
          </w:p>
        </w:tc>
        <w:tc>
          <w:tcPr>
            <w:tcW w:w="1714" w:type="pct"/>
            <w:tcBorders>
              <w:top w:val="single" w:sz="4" w:space="0" w:color="FFFFFF"/>
              <w:left w:val="single" w:sz="4" w:space="0" w:color="FFFFFF"/>
              <w:bottom w:val="single" w:sz="4" w:space="0" w:color="FFFFFF"/>
              <w:right w:val="single" w:sz="4" w:space="0" w:color="FFFFFF"/>
            </w:tcBorders>
            <w:hideMark/>
          </w:tcPr>
          <w:p w14:paraId="65C0DFB3" w14:textId="77777777" w:rsidR="00D44CF0" w:rsidRDefault="00D44CF0" w:rsidP="005F2038">
            <w:pPr>
              <w:pStyle w:val="Body"/>
              <w:keepNext/>
              <w:keepLines/>
              <w:widowControl w:val="0"/>
              <w:spacing w:beforeLines="1" w:before="2" w:afterLines="1" w:after="2"/>
              <w:rPr>
                <w:rFonts w:cs="Calibri"/>
                <w:noProof/>
                <w:color w:val="000000"/>
                <w:sz w:val="18"/>
                <w:szCs w:val="18"/>
              </w:rPr>
            </w:pPr>
            <w:r>
              <w:rPr>
                <w:rFonts w:cs="Calibri"/>
                <w:noProof/>
                <w:color w:val="000000"/>
                <w:sz w:val="18"/>
              </w:rPr>
              <w:t>Information preventing and combating organised crime, serious international crime and terrorism involving two or more Member States</w:t>
            </w:r>
          </w:p>
        </w:tc>
      </w:tr>
      <w:tr w:rsidR="00D44CF0" w:rsidRPr="008911FD" w14:paraId="7D34A65F" w14:textId="77777777" w:rsidTr="005F2038">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07739AD7" w14:textId="77777777" w:rsidR="00D44CF0" w:rsidRDefault="00D44CF0" w:rsidP="005F2038">
            <w:pPr>
              <w:spacing w:after="0"/>
              <w:rPr>
                <w:rFonts w:eastAsiaTheme="minorHAnsi"/>
                <w:noProof/>
                <w:sz w:val="18"/>
                <w:szCs w:val="18"/>
              </w:rPr>
            </w:pPr>
          </w:p>
        </w:tc>
        <w:tc>
          <w:tcPr>
            <w:tcW w:w="1111" w:type="pct"/>
            <w:tcBorders>
              <w:top w:val="single" w:sz="4" w:space="0" w:color="FFFFFF"/>
              <w:left w:val="single" w:sz="4" w:space="0" w:color="FFFFFF"/>
              <w:bottom w:val="single" w:sz="4" w:space="0" w:color="FFFFFF"/>
              <w:right w:val="single" w:sz="4" w:space="0" w:color="FFFFFF"/>
            </w:tcBorders>
            <w:hideMark/>
          </w:tcPr>
          <w:p w14:paraId="7907DBEE"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CISA - Art. 39</w:t>
            </w:r>
          </w:p>
        </w:tc>
        <w:tc>
          <w:tcPr>
            <w:tcW w:w="1446" w:type="pct"/>
            <w:tcBorders>
              <w:top w:val="single" w:sz="4" w:space="0" w:color="FFFFFF"/>
              <w:left w:val="single" w:sz="4" w:space="0" w:color="FFFFFF"/>
              <w:bottom w:val="single" w:sz="4" w:space="0" w:color="FFFFFF"/>
              <w:right w:val="single" w:sz="4" w:space="0" w:color="FFFFFF"/>
            </w:tcBorders>
            <w:hideMark/>
          </w:tcPr>
          <w:p w14:paraId="3D8D31A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NCPs</w:t>
            </w:r>
          </w:p>
          <w:p w14:paraId="6CB66E44"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noProof/>
                <w:sz w:val="18"/>
                <w:lang w:eastAsia="en-GB"/>
              </w:rPr>
              <w:t xml:space="preserve">SPOC </w:t>
            </w:r>
          </w:p>
        </w:tc>
        <w:tc>
          <w:tcPr>
            <w:tcW w:w="1714" w:type="pct"/>
            <w:tcBorders>
              <w:top w:val="single" w:sz="4" w:space="0" w:color="FFFFFF"/>
              <w:left w:val="single" w:sz="4" w:space="0" w:color="FFFFFF"/>
              <w:bottom w:val="single" w:sz="4" w:space="0" w:color="FFFFFF"/>
              <w:right w:val="single" w:sz="4" w:space="0" w:color="FFFFFF"/>
            </w:tcBorders>
            <w:hideMark/>
          </w:tcPr>
          <w:p w14:paraId="2DB1130D" w14:textId="77777777" w:rsidR="00D44CF0" w:rsidRDefault="00D44CF0" w:rsidP="005F2038">
            <w:pPr>
              <w:pStyle w:val="Body"/>
              <w:spacing w:beforeLines="1" w:before="2" w:afterLines="1" w:after="2"/>
              <w:rPr>
                <w:rFonts w:cs="Calibri"/>
                <w:noProof/>
                <w:color w:val="000000"/>
                <w:sz w:val="18"/>
              </w:rPr>
            </w:pPr>
            <w:r>
              <w:rPr>
                <w:rFonts w:cs="Calibri"/>
                <w:noProof/>
                <w:color w:val="000000"/>
                <w:sz w:val="18"/>
              </w:rPr>
              <w:t>Cross-border and intra-European operational actions/ operations, public order/ security/preventing criminal offences/ mass gatherings/ disasters, serious accidents</w:t>
            </w:r>
          </w:p>
        </w:tc>
      </w:tr>
      <w:tr w:rsidR="00D44CF0" w14:paraId="1EF86575" w14:textId="77777777" w:rsidTr="005F2038">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67DF83BE" w14:textId="77777777" w:rsidR="00D44CF0" w:rsidRDefault="00D44CF0" w:rsidP="005F2038">
            <w:pPr>
              <w:spacing w:after="0"/>
              <w:rPr>
                <w:rFonts w:eastAsiaTheme="minorHAnsi"/>
                <w:noProof/>
                <w:sz w:val="18"/>
                <w:szCs w:val="18"/>
              </w:rPr>
            </w:pPr>
          </w:p>
        </w:tc>
        <w:tc>
          <w:tcPr>
            <w:tcW w:w="1111" w:type="pct"/>
            <w:tcBorders>
              <w:top w:val="single" w:sz="4" w:space="0" w:color="FFFFFF"/>
              <w:left w:val="single" w:sz="4" w:space="0" w:color="FFFFFF"/>
              <w:bottom w:val="single" w:sz="4" w:space="0" w:color="FFFFFF"/>
              <w:right w:val="single" w:sz="4" w:space="0" w:color="FFFFFF"/>
            </w:tcBorders>
            <w:hideMark/>
          </w:tcPr>
          <w:p w14:paraId="04CE0C5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Council Document 10492/14 </w:t>
            </w:r>
          </w:p>
        </w:tc>
        <w:tc>
          <w:tcPr>
            <w:tcW w:w="1446" w:type="pct"/>
            <w:tcBorders>
              <w:top w:val="single" w:sz="4" w:space="0" w:color="FFFFFF"/>
              <w:left w:val="single" w:sz="4" w:space="0" w:color="FFFFFF"/>
              <w:bottom w:val="single" w:sz="4" w:space="0" w:color="FFFFFF"/>
              <w:right w:val="single" w:sz="4" w:space="0" w:color="FFFFFF"/>
            </w:tcBorders>
            <w:hideMark/>
          </w:tcPr>
          <w:p w14:paraId="6FBBD977"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SPOC </w:t>
            </w:r>
          </w:p>
          <w:p w14:paraId="14929A1A"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Liaison officers</w:t>
            </w:r>
          </w:p>
          <w:p w14:paraId="572E9243"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Bilateral channels based on cooperation agreements at national, regional and local level (PCCCs)</w:t>
            </w:r>
          </w:p>
        </w:tc>
        <w:tc>
          <w:tcPr>
            <w:tcW w:w="1714" w:type="pct"/>
            <w:tcBorders>
              <w:top w:val="single" w:sz="4" w:space="0" w:color="FFFFFF"/>
              <w:left w:val="single" w:sz="4" w:space="0" w:color="FFFFFF"/>
              <w:bottom w:val="single" w:sz="4" w:space="0" w:color="FFFFFF"/>
              <w:right w:val="single" w:sz="4" w:space="0" w:color="FFFFFF"/>
            </w:tcBorders>
            <w:hideMark/>
          </w:tcPr>
          <w:p w14:paraId="30AE04BC" w14:textId="77777777" w:rsidR="00D44CF0" w:rsidRDefault="00D44CF0" w:rsidP="005F2038">
            <w:pPr>
              <w:pStyle w:val="Body"/>
              <w:spacing w:beforeLines="1" w:before="2" w:afterLines="1" w:after="2"/>
              <w:rPr>
                <w:rFonts w:cs="Calibri"/>
                <w:noProof/>
                <w:color w:val="000000"/>
                <w:sz w:val="18"/>
              </w:rPr>
            </w:pPr>
            <w:r>
              <w:rPr>
                <w:rFonts w:cs="Calibri"/>
                <w:noProof/>
                <w:color w:val="000000"/>
                <w:sz w:val="18"/>
              </w:rPr>
              <w:t>Information on criminal matters</w:t>
            </w:r>
          </w:p>
        </w:tc>
      </w:tr>
      <w:tr w:rsidR="00D44CF0" w:rsidRPr="008911FD" w14:paraId="3B233B09" w14:textId="77777777" w:rsidTr="005F2038">
        <w:tc>
          <w:tcPr>
            <w:tcW w:w="729" w:type="pct"/>
            <w:vMerge w:val="restart"/>
            <w:tcBorders>
              <w:top w:val="single" w:sz="4" w:space="0" w:color="FFFFFF"/>
              <w:left w:val="single" w:sz="4" w:space="0" w:color="FFFFFF"/>
              <w:bottom w:val="single" w:sz="4" w:space="0" w:color="FFFFFF"/>
              <w:right w:val="single" w:sz="4" w:space="0" w:color="FFFFFF"/>
            </w:tcBorders>
            <w:hideMark/>
          </w:tcPr>
          <w:p w14:paraId="3A590615" w14:textId="77777777" w:rsidR="00D44CF0" w:rsidRDefault="00D44CF0" w:rsidP="005F2038">
            <w:pPr>
              <w:pStyle w:val="Bulletpointtable"/>
              <w:spacing w:before="2" w:after="2"/>
              <w:ind w:firstLine="0"/>
              <w:jc w:val="left"/>
              <w:rPr>
                <w:noProof/>
                <w:color w:val="000000" w:themeColor="text1"/>
                <w:sz w:val="18"/>
                <w:lang w:eastAsia="en-GB"/>
              </w:rPr>
            </w:pPr>
            <w:r>
              <w:rPr>
                <w:noProof/>
                <w:sz w:val="18"/>
                <w:lang w:eastAsia="en-GB"/>
              </w:rPr>
              <w:t>SIS II</w:t>
            </w:r>
          </w:p>
        </w:tc>
        <w:tc>
          <w:tcPr>
            <w:tcW w:w="1111" w:type="pct"/>
            <w:tcBorders>
              <w:top w:val="single" w:sz="4" w:space="0" w:color="FFFFFF"/>
              <w:left w:val="single" w:sz="4" w:space="0" w:color="FFFFFF"/>
              <w:bottom w:val="single" w:sz="4" w:space="0" w:color="FFFFFF"/>
              <w:right w:val="single" w:sz="4" w:space="0" w:color="FFFFFF"/>
            </w:tcBorders>
            <w:hideMark/>
          </w:tcPr>
          <w:p w14:paraId="044B1F89"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p>
        </w:tc>
        <w:tc>
          <w:tcPr>
            <w:tcW w:w="1446" w:type="pct"/>
            <w:tcBorders>
              <w:top w:val="single" w:sz="4" w:space="0" w:color="FFFFFF"/>
              <w:left w:val="single" w:sz="4" w:space="0" w:color="FFFFFF"/>
              <w:bottom w:val="single" w:sz="4" w:space="0" w:color="FFFFFF"/>
              <w:right w:val="single" w:sz="4" w:space="0" w:color="FFFFFF"/>
            </w:tcBorders>
            <w:hideMark/>
          </w:tcPr>
          <w:p w14:paraId="51057E52" w14:textId="77777777" w:rsidR="00D44CF0" w:rsidRDefault="00D44CF0" w:rsidP="00D44CF0">
            <w:pPr>
              <w:pStyle w:val="Bulletpointtable"/>
              <w:numPr>
                <w:ilvl w:val="0"/>
                <w:numId w:val="5"/>
              </w:numPr>
              <w:spacing w:before="2" w:after="2"/>
              <w:ind w:left="306" w:hanging="153"/>
              <w:jc w:val="left"/>
              <w:rPr>
                <w:noProof/>
                <w:color w:val="000000" w:themeColor="text1"/>
                <w:sz w:val="18"/>
              </w:rPr>
            </w:pPr>
            <w:r>
              <w:rPr>
                <w:noProof/>
                <w:sz w:val="18"/>
                <w:lang w:eastAsia="en-GB"/>
              </w:rPr>
              <w:t xml:space="preserve">National competent law enforcement authority </w:t>
            </w:r>
          </w:p>
          <w:p w14:paraId="5ACBE86E"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Europol or Eurojust</w:t>
            </w:r>
          </w:p>
        </w:tc>
        <w:tc>
          <w:tcPr>
            <w:tcW w:w="1714" w:type="pct"/>
            <w:tcBorders>
              <w:top w:val="single" w:sz="4" w:space="0" w:color="FFFFFF"/>
              <w:left w:val="single" w:sz="4" w:space="0" w:color="FFFFFF"/>
              <w:bottom w:val="single" w:sz="4" w:space="0" w:color="FFFFFF"/>
              <w:right w:val="single" w:sz="4" w:space="0" w:color="FFFFFF"/>
            </w:tcBorders>
            <w:hideMark/>
          </w:tcPr>
          <w:p w14:paraId="5BA0993A" w14:textId="77777777" w:rsidR="00D44CF0" w:rsidRDefault="00D44CF0" w:rsidP="005F2038">
            <w:pPr>
              <w:pStyle w:val="Body"/>
              <w:spacing w:beforeLines="1" w:before="2" w:afterLines="1" w:after="2"/>
              <w:rPr>
                <w:rFonts w:cs="Calibri"/>
                <w:noProof/>
                <w:color w:val="000000"/>
                <w:sz w:val="18"/>
              </w:rPr>
            </w:pPr>
          </w:p>
        </w:tc>
      </w:tr>
      <w:tr w:rsidR="00D44CF0" w:rsidRPr="008911FD" w14:paraId="751E4BA3" w14:textId="77777777" w:rsidTr="005F2038">
        <w:trPr>
          <w:trHeight w:val="576"/>
        </w:trPr>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519C9080" w14:textId="77777777" w:rsidR="00D44CF0" w:rsidRDefault="00D44CF0" w:rsidP="005F2038">
            <w:pPr>
              <w:spacing w:after="0"/>
              <w:rPr>
                <w:rFonts w:eastAsiaTheme="minorHAnsi"/>
                <w:noProof/>
                <w:sz w:val="18"/>
                <w:szCs w:val="18"/>
              </w:rPr>
            </w:pPr>
          </w:p>
        </w:tc>
        <w:tc>
          <w:tcPr>
            <w:tcW w:w="1111" w:type="pct"/>
            <w:tcBorders>
              <w:top w:val="single" w:sz="4" w:space="0" w:color="FFFFFF"/>
              <w:left w:val="single" w:sz="4" w:space="0" w:color="FFFFFF"/>
              <w:bottom w:val="single" w:sz="4" w:space="0" w:color="FFFFFF"/>
              <w:right w:val="single" w:sz="4" w:space="0" w:color="FFFFFF"/>
            </w:tcBorders>
            <w:hideMark/>
          </w:tcPr>
          <w:p w14:paraId="7E605C3B" w14:textId="77777777" w:rsidR="009F2E2F" w:rsidRPr="00704502" w:rsidRDefault="009F2E2F" w:rsidP="00D44CF0">
            <w:pPr>
              <w:pStyle w:val="Bulletpointtable"/>
              <w:numPr>
                <w:ilvl w:val="0"/>
                <w:numId w:val="5"/>
              </w:numPr>
              <w:spacing w:before="2" w:after="2"/>
              <w:ind w:left="306" w:hanging="153"/>
              <w:jc w:val="left"/>
              <w:rPr>
                <w:noProof/>
                <w:color w:val="000000" w:themeColor="text1"/>
                <w:sz w:val="20"/>
                <w:lang w:eastAsia="en-GB"/>
              </w:rPr>
            </w:pPr>
            <w:r w:rsidRPr="00704502">
              <w:rPr>
                <w:noProof/>
                <w:sz w:val="18"/>
              </w:rPr>
              <w:t>Council Decision 2007/533/JHA,</w:t>
            </w:r>
          </w:p>
          <w:p w14:paraId="51BF4C8D"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Regulation (EU) 2018/1860</w:t>
            </w:r>
          </w:p>
          <w:p w14:paraId="32E8A6A6"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Regulation (EU) 2018/1861</w:t>
            </w:r>
          </w:p>
          <w:p w14:paraId="224DF796"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Regulation (EU) 2018/1862</w:t>
            </w:r>
          </w:p>
        </w:tc>
        <w:tc>
          <w:tcPr>
            <w:tcW w:w="1446" w:type="pct"/>
            <w:tcBorders>
              <w:top w:val="single" w:sz="4" w:space="0" w:color="FFFFFF"/>
              <w:left w:val="single" w:sz="4" w:space="0" w:color="FFFFFF"/>
              <w:bottom w:val="single" w:sz="4" w:space="0" w:color="FFFFFF"/>
              <w:right w:val="single" w:sz="4" w:space="0" w:color="FFFFFF"/>
            </w:tcBorders>
            <w:hideMark/>
          </w:tcPr>
          <w:p w14:paraId="242001B2"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National authorities responsible for border control</w:t>
            </w:r>
            <w:r>
              <w:rPr>
                <w:rStyle w:val="FootnoteReference"/>
                <w:noProof/>
              </w:rPr>
              <w:footnoteReference w:id="327"/>
            </w:r>
          </w:p>
          <w:p w14:paraId="11AE0F84"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Europol</w:t>
            </w:r>
          </w:p>
          <w:p w14:paraId="5D95EB6E"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Eurojust</w:t>
            </w:r>
          </w:p>
          <w:p w14:paraId="5B75C8CE"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Frontex</w:t>
            </w:r>
          </w:p>
        </w:tc>
        <w:tc>
          <w:tcPr>
            <w:tcW w:w="1714" w:type="pct"/>
            <w:tcBorders>
              <w:top w:val="single" w:sz="4" w:space="0" w:color="FFFFFF"/>
              <w:left w:val="single" w:sz="4" w:space="0" w:color="FFFFFF"/>
              <w:bottom w:val="single" w:sz="4" w:space="0" w:color="FFFFFF"/>
              <w:right w:val="single" w:sz="4" w:space="0" w:color="FFFFFF"/>
            </w:tcBorders>
            <w:hideMark/>
          </w:tcPr>
          <w:p w14:paraId="50A56B9D" w14:textId="77777777" w:rsidR="00D44CF0" w:rsidRDefault="00D44CF0" w:rsidP="005F2038">
            <w:pPr>
              <w:pStyle w:val="Body"/>
              <w:spacing w:beforeLines="1" w:before="2" w:afterLines="1" w:after="2"/>
              <w:rPr>
                <w:rFonts w:cs="Calibri"/>
                <w:noProof/>
                <w:color w:val="000000"/>
                <w:sz w:val="18"/>
                <w:szCs w:val="18"/>
              </w:rPr>
            </w:pPr>
            <w:r>
              <w:rPr>
                <w:rFonts w:cs="Calibri"/>
                <w:noProof/>
                <w:color w:val="000000"/>
                <w:sz w:val="18"/>
              </w:rPr>
              <w:t>Conditions and procedures for entering and processing alerts in the SIS on persons and objects, and for exchanging supplementary information and data in police and judicial cooperation on criminal matters</w:t>
            </w:r>
          </w:p>
        </w:tc>
      </w:tr>
      <w:tr w:rsidR="00D44CF0" w:rsidRPr="008911FD" w14:paraId="3588EFF8" w14:textId="77777777" w:rsidTr="005F2038">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264891BF" w14:textId="77777777" w:rsidR="00D44CF0" w:rsidRDefault="00D44CF0" w:rsidP="005F2038">
            <w:pPr>
              <w:spacing w:after="0"/>
              <w:rPr>
                <w:rFonts w:eastAsiaTheme="minorHAnsi"/>
                <w:noProof/>
                <w:sz w:val="18"/>
                <w:szCs w:val="18"/>
              </w:rPr>
            </w:pPr>
          </w:p>
        </w:tc>
        <w:tc>
          <w:tcPr>
            <w:tcW w:w="1111" w:type="pct"/>
            <w:tcBorders>
              <w:top w:val="single" w:sz="4" w:space="0" w:color="FFFFFF"/>
              <w:left w:val="single" w:sz="4" w:space="0" w:color="FFFFFF"/>
              <w:bottom w:val="single" w:sz="4" w:space="0" w:color="FFFFFF"/>
              <w:right w:val="single" w:sz="4" w:space="0" w:color="FFFFFF"/>
            </w:tcBorders>
            <w:hideMark/>
          </w:tcPr>
          <w:p w14:paraId="490C04A8"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Regulation (EU) 2016/794 </w:t>
            </w:r>
          </w:p>
        </w:tc>
        <w:tc>
          <w:tcPr>
            <w:tcW w:w="1446" w:type="pct"/>
            <w:tcBorders>
              <w:top w:val="single" w:sz="4" w:space="0" w:color="FFFFFF"/>
              <w:left w:val="single" w:sz="4" w:space="0" w:color="FFFFFF"/>
              <w:bottom w:val="single" w:sz="4" w:space="0" w:color="FFFFFF"/>
              <w:right w:val="single" w:sz="4" w:space="0" w:color="FFFFFF"/>
            </w:tcBorders>
            <w:hideMark/>
          </w:tcPr>
          <w:p w14:paraId="6D1B8AAD"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rFonts w:cs="Calibri"/>
                <w:noProof/>
                <w:color w:val="000000"/>
                <w:sz w:val="18"/>
                <w:lang w:eastAsia="en-GB"/>
              </w:rPr>
              <w:t>ENUs</w:t>
            </w:r>
          </w:p>
        </w:tc>
        <w:tc>
          <w:tcPr>
            <w:tcW w:w="1714" w:type="pct"/>
            <w:tcBorders>
              <w:top w:val="single" w:sz="4" w:space="0" w:color="FFFFFF"/>
              <w:left w:val="single" w:sz="4" w:space="0" w:color="FFFFFF"/>
              <w:bottom w:val="single" w:sz="4" w:space="0" w:color="FFFFFF"/>
              <w:right w:val="single" w:sz="4" w:space="0" w:color="FFFFFF"/>
            </w:tcBorders>
            <w:hideMark/>
          </w:tcPr>
          <w:p w14:paraId="54A41365" w14:textId="77777777" w:rsidR="00D44CF0" w:rsidRDefault="00D44CF0" w:rsidP="005F2038">
            <w:pPr>
              <w:pStyle w:val="Body"/>
              <w:spacing w:beforeLines="1" w:before="2" w:afterLines="1" w:after="2"/>
              <w:rPr>
                <w:rFonts w:cs="Calibri"/>
                <w:noProof/>
                <w:color w:val="000000"/>
                <w:sz w:val="18"/>
              </w:rPr>
            </w:pPr>
            <w:r>
              <w:rPr>
                <w:rFonts w:cs="Calibri"/>
                <w:noProof/>
                <w:color w:val="000000"/>
                <w:sz w:val="18"/>
              </w:rPr>
              <w:t>Information preventing and combating organised crime, serious international crime and terrorism involving two or more Member States</w:t>
            </w:r>
          </w:p>
        </w:tc>
      </w:tr>
      <w:tr w:rsidR="00D44CF0" w:rsidRPr="008911FD" w14:paraId="042C5A2C" w14:textId="77777777" w:rsidTr="005F2038">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616AD49C" w14:textId="77777777" w:rsidR="00D44CF0" w:rsidRDefault="00D44CF0" w:rsidP="005F2038">
            <w:pPr>
              <w:spacing w:after="0"/>
              <w:rPr>
                <w:rFonts w:eastAsiaTheme="minorHAnsi"/>
                <w:noProof/>
                <w:sz w:val="18"/>
                <w:szCs w:val="18"/>
              </w:rPr>
            </w:pPr>
          </w:p>
        </w:tc>
        <w:tc>
          <w:tcPr>
            <w:tcW w:w="1111" w:type="pct"/>
            <w:tcBorders>
              <w:top w:val="single" w:sz="4" w:space="0" w:color="FFFFFF"/>
              <w:left w:val="single" w:sz="4" w:space="0" w:color="FFFFFF"/>
              <w:bottom w:val="single" w:sz="4" w:space="0" w:color="FFFFFF"/>
              <w:right w:val="single" w:sz="4" w:space="0" w:color="FFFFFF"/>
            </w:tcBorders>
            <w:hideMark/>
          </w:tcPr>
          <w:p w14:paraId="5A6B4481"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COM (2015) 624 final</w:t>
            </w:r>
          </w:p>
        </w:tc>
        <w:tc>
          <w:tcPr>
            <w:tcW w:w="1446" w:type="pct"/>
            <w:tcBorders>
              <w:top w:val="single" w:sz="4" w:space="0" w:color="FFFFFF"/>
              <w:left w:val="single" w:sz="4" w:space="0" w:color="FFFFFF"/>
              <w:bottom w:val="single" w:sz="4" w:space="0" w:color="FFFFFF"/>
              <w:right w:val="single" w:sz="4" w:space="0" w:color="FFFFFF"/>
            </w:tcBorders>
            <w:hideMark/>
          </w:tcPr>
          <w:p w14:paraId="602FEEEA"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noProof/>
                <w:sz w:val="18"/>
                <w:lang w:eastAsia="en-GB"/>
              </w:rPr>
              <w:t>NFFP</w:t>
            </w:r>
          </w:p>
          <w:p w14:paraId="29ED6FF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Europol</w:t>
            </w:r>
          </w:p>
        </w:tc>
        <w:tc>
          <w:tcPr>
            <w:tcW w:w="1714" w:type="pct"/>
            <w:tcBorders>
              <w:top w:val="single" w:sz="4" w:space="0" w:color="FFFFFF"/>
              <w:left w:val="single" w:sz="4" w:space="0" w:color="FFFFFF"/>
              <w:bottom w:val="single" w:sz="4" w:space="0" w:color="FFFFFF"/>
              <w:right w:val="single" w:sz="4" w:space="0" w:color="FFFFFF"/>
            </w:tcBorders>
            <w:hideMark/>
          </w:tcPr>
          <w:p w14:paraId="14EDDC62" w14:textId="77777777" w:rsidR="00D44CF0" w:rsidRDefault="00D44CF0" w:rsidP="005F2038">
            <w:pPr>
              <w:pStyle w:val="Body"/>
              <w:spacing w:beforeLines="1" w:before="2" w:afterLines="1" w:after="2"/>
              <w:rPr>
                <w:rFonts w:cs="Calibri"/>
                <w:noProof/>
                <w:color w:val="000000"/>
                <w:sz w:val="18"/>
                <w:szCs w:val="18"/>
              </w:rPr>
            </w:pPr>
            <w:r>
              <w:rPr>
                <w:rFonts w:cs="Calibri"/>
                <w:noProof/>
                <w:color w:val="000000"/>
                <w:sz w:val="18"/>
              </w:rPr>
              <w:t>Information in the area of firearms trafficking</w:t>
            </w:r>
          </w:p>
        </w:tc>
      </w:tr>
      <w:tr w:rsidR="00D44CF0" w:rsidRPr="008911FD" w14:paraId="41CA1835" w14:textId="77777777" w:rsidTr="005F2038">
        <w:tc>
          <w:tcPr>
            <w:tcW w:w="729" w:type="pct"/>
            <w:tcBorders>
              <w:top w:val="single" w:sz="4" w:space="0" w:color="FFFFFF"/>
              <w:left w:val="single" w:sz="4" w:space="0" w:color="FFFFFF"/>
              <w:bottom w:val="single" w:sz="4" w:space="0" w:color="FFFFFF"/>
              <w:right w:val="single" w:sz="4" w:space="0" w:color="FFFFFF"/>
            </w:tcBorders>
            <w:hideMark/>
          </w:tcPr>
          <w:p w14:paraId="348BF0CC" w14:textId="77777777" w:rsidR="00D44CF0" w:rsidRDefault="00D44CF0" w:rsidP="005F2038">
            <w:pPr>
              <w:pStyle w:val="Bulletpointtable"/>
              <w:spacing w:before="2" w:after="2"/>
              <w:ind w:firstLine="0"/>
              <w:jc w:val="left"/>
              <w:rPr>
                <w:bCs/>
                <w:noProof/>
                <w:color w:val="000000" w:themeColor="text1"/>
                <w:sz w:val="18"/>
                <w:lang w:eastAsia="en-GB"/>
              </w:rPr>
            </w:pPr>
            <w:r>
              <w:rPr>
                <w:bCs/>
                <w:noProof/>
                <w:sz w:val="18"/>
                <w:lang w:eastAsia="en-GB"/>
              </w:rPr>
              <w:t>VIS</w:t>
            </w:r>
          </w:p>
        </w:tc>
        <w:tc>
          <w:tcPr>
            <w:tcW w:w="1111" w:type="pct"/>
            <w:tcBorders>
              <w:top w:val="single" w:sz="4" w:space="0" w:color="FFFFFF"/>
              <w:left w:val="single" w:sz="4" w:space="0" w:color="FFFFFF"/>
              <w:bottom w:val="single" w:sz="4" w:space="0" w:color="FFFFFF"/>
              <w:right w:val="single" w:sz="4" w:space="0" w:color="FFFFFF"/>
            </w:tcBorders>
            <w:hideMark/>
          </w:tcPr>
          <w:p w14:paraId="77A19F64"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Council Decision 2008/633/JHA</w:t>
            </w:r>
          </w:p>
        </w:tc>
        <w:tc>
          <w:tcPr>
            <w:tcW w:w="1446" w:type="pct"/>
            <w:tcBorders>
              <w:top w:val="single" w:sz="4" w:space="0" w:color="FFFFFF"/>
              <w:left w:val="single" w:sz="4" w:space="0" w:color="FFFFFF"/>
              <w:bottom w:val="single" w:sz="4" w:space="0" w:color="FFFFFF"/>
              <w:right w:val="single" w:sz="4" w:space="0" w:color="FFFFFF"/>
            </w:tcBorders>
            <w:hideMark/>
          </w:tcPr>
          <w:p w14:paraId="0E6CC501"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LEAs</w:t>
            </w:r>
          </w:p>
          <w:p w14:paraId="7DCE6CA2" w14:textId="77777777" w:rsidR="00D44CF0" w:rsidRDefault="00D44CF0" w:rsidP="00D44CF0">
            <w:pPr>
              <w:pStyle w:val="Body"/>
              <w:numPr>
                <w:ilvl w:val="0"/>
                <w:numId w:val="5"/>
              </w:numPr>
              <w:spacing w:beforeLines="1" w:before="2" w:afterLines="1" w:after="2"/>
              <w:ind w:left="153" w:hanging="153"/>
              <w:rPr>
                <w:rFonts w:eastAsiaTheme="minorHAnsi"/>
                <w:noProof/>
                <w:sz w:val="18"/>
              </w:rPr>
            </w:pPr>
            <w:r>
              <w:rPr>
                <w:noProof/>
                <w:sz w:val="18"/>
              </w:rPr>
              <w:t>Europol</w:t>
            </w:r>
          </w:p>
        </w:tc>
        <w:tc>
          <w:tcPr>
            <w:tcW w:w="1714" w:type="pct"/>
            <w:tcBorders>
              <w:top w:val="single" w:sz="4" w:space="0" w:color="FFFFFF"/>
              <w:left w:val="single" w:sz="4" w:space="0" w:color="FFFFFF"/>
              <w:bottom w:val="single" w:sz="4" w:space="0" w:color="FFFFFF"/>
              <w:right w:val="single" w:sz="4" w:space="0" w:color="FFFFFF"/>
            </w:tcBorders>
            <w:hideMark/>
          </w:tcPr>
          <w:p w14:paraId="732A88A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Data and decisions relating to applications for short-stay visas to visit, or to transit through, the Schengen Area</w:t>
            </w:r>
          </w:p>
        </w:tc>
      </w:tr>
      <w:tr w:rsidR="00D44CF0" w:rsidRPr="008911FD" w14:paraId="5BF4A997" w14:textId="77777777" w:rsidTr="005F2038">
        <w:tc>
          <w:tcPr>
            <w:tcW w:w="729" w:type="pct"/>
            <w:vMerge w:val="restart"/>
            <w:tcBorders>
              <w:top w:val="single" w:sz="4" w:space="0" w:color="FFFFFF"/>
              <w:left w:val="single" w:sz="4" w:space="0" w:color="FFFFFF"/>
              <w:bottom w:val="single" w:sz="4" w:space="0" w:color="FFFFFF"/>
              <w:right w:val="single" w:sz="4" w:space="0" w:color="FFFFFF"/>
            </w:tcBorders>
            <w:hideMark/>
          </w:tcPr>
          <w:p w14:paraId="010F8E7C" w14:textId="77777777" w:rsidR="00D44CF0" w:rsidRDefault="00D44CF0" w:rsidP="005F2038">
            <w:pPr>
              <w:pStyle w:val="Bulletpointtable"/>
              <w:spacing w:before="2" w:after="2"/>
              <w:ind w:firstLine="0"/>
              <w:jc w:val="left"/>
              <w:rPr>
                <w:bCs/>
                <w:noProof/>
                <w:color w:val="000000" w:themeColor="text1"/>
                <w:sz w:val="18"/>
                <w:lang w:eastAsia="en-GB"/>
              </w:rPr>
            </w:pPr>
            <w:r>
              <w:rPr>
                <w:bCs/>
                <w:noProof/>
                <w:sz w:val="18"/>
                <w:lang w:eastAsia="en-GB"/>
              </w:rPr>
              <w:t xml:space="preserve">EIS </w:t>
            </w:r>
          </w:p>
        </w:tc>
        <w:tc>
          <w:tcPr>
            <w:tcW w:w="1111" w:type="pct"/>
            <w:tcBorders>
              <w:top w:val="single" w:sz="4" w:space="0" w:color="FFFFFF"/>
              <w:left w:val="single" w:sz="4" w:space="0" w:color="FFFFFF"/>
              <w:bottom w:val="single" w:sz="4" w:space="0" w:color="FFFFFF"/>
              <w:right w:val="single" w:sz="4" w:space="0" w:color="FFFFFF"/>
            </w:tcBorders>
            <w:hideMark/>
          </w:tcPr>
          <w:p w14:paraId="4CD9EDB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Regulation (EU) 2016/794 </w:t>
            </w:r>
          </w:p>
        </w:tc>
        <w:tc>
          <w:tcPr>
            <w:tcW w:w="1446" w:type="pct"/>
            <w:tcBorders>
              <w:top w:val="single" w:sz="4" w:space="0" w:color="FFFFFF"/>
              <w:left w:val="single" w:sz="4" w:space="0" w:color="FFFFFF"/>
              <w:bottom w:val="single" w:sz="4" w:space="0" w:color="FFFFFF"/>
              <w:right w:val="single" w:sz="4" w:space="0" w:color="FFFFFF"/>
            </w:tcBorders>
            <w:hideMark/>
          </w:tcPr>
          <w:p w14:paraId="5F821219"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ENUs</w:t>
            </w:r>
          </w:p>
        </w:tc>
        <w:tc>
          <w:tcPr>
            <w:tcW w:w="1714" w:type="pct"/>
            <w:tcBorders>
              <w:top w:val="single" w:sz="4" w:space="0" w:color="FFFFFF"/>
              <w:left w:val="single" w:sz="4" w:space="0" w:color="FFFFFF"/>
              <w:bottom w:val="single" w:sz="4" w:space="0" w:color="FFFFFF"/>
              <w:right w:val="single" w:sz="4" w:space="0" w:color="FFFFFF"/>
            </w:tcBorders>
            <w:hideMark/>
          </w:tcPr>
          <w:p w14:paraId="1BFD355B"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rFonts w:cs="Calibri"/>
                <w:noProof/>
                <w:color w:val="000000"/>
                <w:sz w:val="18"/>
                <w:lang w:eastAsia="en-GB"/>
              </w:rPr>
              <w:t>Information preventing and combating organised crime, serious international crime and terrorism involving two or more Member States</w:t>
            </w:r>
          </w:p>
        </w:tc>
      </w:tr>
      <w:tr w:rsidR="00D44CF0" w:rsidRPr="008911FD" w14:paraId="268B09DA" w14:textId="77777777" w:rsidTr="005F2038">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541AF546" w14:textId="77777777" w:rsidR="00D44CF0" w:rsidRDefault="00D44CF0" w:rsidP="005F2038">
            <w:pPr>
              <w:spacing w:after="0"/>
              <w:rPr>
                <w:rFonts w:eastAsiaTheme="minorHAnsi"/>
                <w:bCs/>
                <w:noProof/>
                <w:sz w:val="18"/>
                <w:szCs w:val="18"/>
              </w:rPr>
            </w:pPr>
          </w:p>
        </w:tc>
        <w:tc>
          <w:tcPr>
            <w:tcW w:w="1111" w:type="pct"/>
            <w:tcBorders>
              <w:top w:val="single" w:sz="4" w:space="0" w:color="FFFFFF"/>
              <w:left w:val="single" w:sz="4" w:space="0" w:color="FFFFFF"/>
              <w:bottom w:val="single" w:sz="4" w:space="0" w:color="FFFFFF"/>
              <w:right w:val="single" w:sz="4" w:space="0" w:color="FFFFFF"/>
            </w:tcBorders>
            <w:hideMark/>
          </w:tcPr>
          <w:p w14:paraId="29405C17"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COM (2015) 624 final</w:t>
            </w:r>
          </w:p>
        </w:tc>
        <w:tc>
          <w:tcPr>
            <w:tcW w:w="1446" w:type="pct"/>
            <w:tcBorders>
              <w:top w:val="single" w:sz="4" w:space="0" w:color="FFFFFF"/>
              <w:left w:val="single" w:sz="4" w:space="0" w:color="FFFFFF"/>
              <w:bottom w:val="single" w:sz="4" w:space="0" w:color="FFFFFF"/>
              <w:right w:val="single" w:sz="4" w:space="0" w:color="FFFFFF"/>
            </w:tcBorders>
            <w:hideMark/>
          </w:tcPr>
          <w:p w14:paraId="2519BA2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NFFP</w:t>
            </w:r>
          </w:p>
          <w:p w14:paraId="6706E479"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Europol</w:t>
            </w:r>
          </w:p>
        </w:tc>
        <w:tc>
          <w:tcPr>
            <w:tcW w:w="1714" w:type="pct"/>
            <w:tcBorders>
              <w:top w:val="single" w:sz="4" w:space="0" w:color="FFFFFF"/>
              <w:left w:val="single" w:sz="4" w:space="0" w:color="FFFFFF"/>
              <w:bottom w:val="single" w:sz="4" w:space="0" w:color="FFFFFF"/>
              <w:right w:val="single" w:sz="4" w:space="0" w:color="FFFFFF"/>
            </w:tcBorders>
            <w:hideMark/>
          </w:tcPr>
          <w:p w14:paraId="0E77D74B"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rFonts w:cs="Calibri"/>
                <w:noProof/>
                <w:color w:val="000000"/>
                <w:sz w:val="18"/>
                <w:lang w:eastAsia="en-GB"/>
              </w:rPr>
              <w:t>Information in the area of firearms trafficking</w:t>
            </w:r>
          </w:p>
        </w:tc>
      </w:tr>
      <w:tr w:rsidR="00D44CF0" w:rsidRPr="008911FD" w14:paraId="0B34EE20" w14:textId="77777777" w:rsidTr="005F2038">
        <w:tc>
          <w:tcPr>
            <w:tcW w:w="729" w:type="pct"/>
            <w:tcBorders>
              <w:top w:val="single" w:sz="4" w:space="0" w:color="FFFFFF"/>
              <w:left w:val="single" w:sz="4" w:space="0" w:color="FFFFFF"/>
              <w:bottom w:val="single" w:sz="4" w:space="0" w:color="FFFFFF"/>
              <w:right w:val="single" w:sz="4" w:space="0" w:color="FFFFFF"/>
            </w:tcBorders>
            <w:hideMark/>
          </w:tcPr>
          <w:p w14:paraId="3F05AD1D" w14:textId="77777777" w:rsidR="00D44CF0" w:rsidRDefault="00D44CF0" w:rsidP="005F2038">
            <w:pPr>
              <w:pStyle w:val="Bulletpointtable"/>
              <w:spacing w:before="2" w:after="2"/>
              <w:ind w:firstLine="0"/>
              <w:jc w:val="left"/>
              <w:rPr>
                <w:bCs/>
                <w:noProof/>
                <w:color w:val="000000" w:themeColor="text1"/>
                <w:sz w:val="18"/>
                <w:lang w:eastAsia="en-GB"/>
              </w:rPr>
            </w:pPr>
            <w:r>
              <w:rPr>
                <w:bCs/>
                <w:noProof/>
                <w:sz w:val="18"/>
                <w:lang w:eastAsia="en-GB"/>
              </w:rPr>
              <w:t>CIS</w:t>
            </w:r>
          </w:p>
        </w:tc>
        <w:tc>
          <w:tcPr>
            <w:tcW w:w="1111" w:type="pct"/>
            <w:tcBorders>
              <w:top w:val="single" w:sz="4" w:space="0" w:color="FFFFFF"/>
              <w:left w:val="single" w:sz="4" w:space="0" w:color="FFFFFF"/>
              <w:bottom w:val="single" w:sz="4" w:space="0" w:color="FFFFFF"/>
              <w:right w:val="single" w:sz="4" w:space="0" w:color="FFFFFF"/>
            </w:tcBorders>
            <w:hideMark/>
          </w:tcPr>
          <w:p w14:paraId="57CEFED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Council Decision 2009/917/JHA</w:t>
            </w:r>
          </w:p>
          <w:p w14:paraId="3B14292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Regulation 515/97</w:t>
            </w:r>
          </w:p>
        </w:tc>
        <w:tc>
          <w:tcPr>
            <w:tcW w:w="1446" w:type="pct"/>
            <w:tcBorders>
              <w:top w:val="single" w:sz="4" w:space="0" w:color="FFFFFF"/>
              <w:left w:val="single" w:sz="4" w:space="0" w:color="FFFFFF"/>
              <w:bottom w:val="single" w:sz="4" w:space="0" w:color="FFFFFF"/>
              <w:right w:val="single" w:sz="4" w:space="0" w:color="FFFFFF"/>
            </w:tcBorders>
            <w:hideMark/>
          </w:tcPr>
          <w:p w14:paraId="0F7B4783"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National competent customs administration</w:t>
            </w:r>
          </w:p>
          <w:p w14:paraId="0773229E"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Competent Commission departments</w:t>
            </w:r>
          </w:p>
          <w:p w14:paraId="6703B973"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noProof/>
                <w:sz w:val="18"/>
                <w:lang w:eastAsia="en-GB"/>
              </w:rPr>
              <w:t>Europol</w:t>
            </w:r>
          </w:p>
          <w:p w14:paraId="14EE5782"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Eurojust</w:t>
            </w:r>
          </w:p>
        </w:tc>
        <w:tc>
          <w:tcPr>
            <w:tcW w:w="1714" w:type="pct"/>
            <w:tcBorders>
              <w:top w:val="single" w:sz="4" w:space="0" w:color="FFFFFF"/>
              <w:left w:val="single" w:sz="4" w:space="0" w:color="FFFFFF"/>
              <w:bottom w:val="single" w:sz="4" w:space="0" w:color="FFFFFF"/>
              <w:right w:val="single" w:sz="4" w:space="0" w:color="FFFFFF"/>
            </w:tcBorders>
            <w:hideMark/>
          </w:tcPr>
          <w:p w14:paraId="169FCAD4"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rFonts w:cs="Calibri"/>
                <w:noProof/>
                <w:color w:val="000000"/>
                <w:sz w:val="18"/>
                <w:lang w:eastAsia="en-GB"/>
              </w:rPr>
              <w:t>Data on commodities, means of transport, businesses, persons, fraud trends, availability of expertise, items detained, seized or confiscated, cash detained, seized or confiscated</w:t>
            </w:r>
          </w:p>
        </w:tc>
      </w:tr>
      <w:tr w:rsidR="00D44CF0" w:rsidRPr="008911FD" w14:paraId="023D1A70" w14:textId="77777777" w:rsidTr="005F2038">
        <w:tc>
          <w:tcPr>
            <w:tcW w:w="729" w:type="pct"/>
            <w:tcBorders>
              <w:top w:val="single" w:sz="4" w:space="0" w:color="FFFFFF"/>
              <w:left w:val="single" w:sz="4" w:space="0" w:color="FFFFFF"/>
              <w:bottom w:val="single" w:sz="4" w:space="0" w:color="FFFFFF"/>
              <w:right w:val="single" w:sz="4" w:space="0" w:color="FFFFFF"/>
            </w:tcBorders>
            <w:hideMark/>
          </w:tcPr>
          <w:p w14:paraId="08A00391" w14:textId="77777777" w:rsidR="00D44CF0" w:rsidRDefault="00D44CF0" w:rsidP="005F2038">
            <w:pPr>
              <w:pStyle w:val="Bulletpointtable"/>
              <w:spacing w:before="2" w:after="2"/>
              <w:ind w:firstLine="0"/>
              <w:jc w:val="left"/>
              <w:rPr>
                <w:bCs/>
                <w:noProof/>
                <w:color w:val="000000" w:themeColor="text1"/>
                <w:sz w:val="18"/>
                <w:lang w:eastAsia="en-GB"/>
              </w:rPr>
            </w:pPr>
            <w:r>
              <w:rPr>
                <w:bCs/>
                <w:noProof/>
                <w:sz w:val="18"/>
                <w:lang w:eastAsia="en-GB"/>
              </w:rPr>
              <w:t>FIDE</w:t>
            </w:r>
            <w:r>
              <w:rPr>
                <w:rStyle w:val="FootnoteReference"/>
                <w:bCs/>
                <w:noProof/>
              </w:rPr>
              <w:footnoteReference w:id="328"/>
            </w:r>
          </w:p>
        </w:tc>
        <w:tc>
          <w:tcPr>
            <w:tcW w:w="1111" w:type="pct"/>
            <w:tcBorders>
              <w:top w:val="single" w:sz="4" w:space="0" w:color="FFFFFF"/>
              <w:left w:val="single" w:sz="4" w:space="0" w:color="FFFFFF"/>
              <w:bottom w:val="single" w:sz="4" w:space="0" w:color="FFFFFF"/>
              <w:right w:val="single" w:sz="4" w:space="0" w:color="FFFFFF"/>
            </w:tcBorders>
            <w:hideMark/>
          </w:tcPr>
          <w:p w14:paraId="36DC0530"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Council Decision 2009/917/JHA</w:t>
            </w:r>
          </w:p>
          <w:p w14:paraId="31BFCC6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Regulation 515/97</w:t>
            </w:r>
          </w:p>
        </w:tc>
        <w:tc>
          <w:tcPr>
            <w:tcW w:w="1446" w:type="pct"/>
            <w:tcBorders>
              <w:top w:val="single" w:sz="4" w:space="0" w:color="FFFFFF"/>
              <w:left w:val="single" w:sz="4" w:space="0" w:color="FFFFFF"/>
              <w:bottom w:val="single" w:sz="4" w:space="0" w:color="FFFFFF"/>
              <w:right w:val="single" w:sz="4" w:space="0" w:color="FFFFFF"/>
            </w:tcBorders>
            <w:hideMark/>
          </w:tcPr>
          <w:p w14:paraId="2610FCE2"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National competent customs administration</w:t>
            </w:r>
          </w:p>
          <w:p w14:paraId="74C23AC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Competent Commission departments</w:t>
            </w:r>
          </w:p>
          <w:p w14:paraId="5A569600"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noProof/>
                <w:sz w:val="18"/>
                <w:lang w:eastAsia="en-GB"/>
              </w:rPr>
              <w:t>Europol</w:t>
            </w:r>
          </w:p>
          <w:p w14:paraId="46C55B6F"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Eurojust</w:t>
            </w:r>
          </w:p>
        </w:tc>
        <w:tc>
          <w:tcPr>
            <w:tcW w:w="1714" w:type="pct"/>
            <w:tcBorders>
              <w:top w:val="single" w:sz="4" w:space="0" w:color="FFFFFF"/>
              <w:left w:val="single" w:sz="4" w:space="0" w:color="FFFFFF"/>
              <w:bottom w:val="single" w:sz="4" w:space="0" w:color="FFFFFF"/>
              <w:right w:val="single" w:sz="4" w:space="0" w:color="FFFFFF"/>
            </w:tcBorders>
            <w:hideMark/>
          </w:tcPr>
          <w:p w14:paraId="1C519E92"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rFonts w:cs="Calibri"/>
                <w:noProof/>
                <w:color w:val="000000"/>
                <w:sz w:val="18"/>
                <w:lang w:eastAsia="en-GB"/>
              </w:rPr>
              <w:t xml:space="preserve">Data on persons or businesses subject to an administrative enquiry or a criminal investigation by a Member State customs authority. </w:t>
            </w:r>
          </w:p>
        </w:tc>
      </w:tr>
      <w:tr w:rsidR="00D44CF0" w:rsidRPr="008911FD" w14:paraId="3A1D23C9" w14:textId="77777777" w:rsidTr="005F2038">
        <w:tc>
          <w:tcPr>
            <w:tcW w:w="729" w:type="pct"/>
            <w:tcBorders>
              <w:top w:val="single" w:sz="4" w:space="0" w:color="FFFFFF"/>
              <w:left w:val="single" w:sz="4" w:space="0" w:color="FFFFFF"/>
              <w:bottom w:val="single" w:sz="4" w:space="0" w:color="FFFFFF"/>
              <w:right w:val="single" w:sz="4" w:space="0" w:color="FFFFFF"/>
            </w:tcBorders>
            <w:hideMark/>
          </w:tcPr>
          <w:p w14:paraId="7D2BF487" w14:textId="77777777" w:rsidR="00D44CF0" w:rsidRDefault="00D44CF0" w:rsidP="005F2038">
            <w:pPr>
              <w:pStyle w:val="Bulletpointtable"/>
              <w:spacing w:before="2" w:after="2"/>
              <w:ind w:firstLine="0"/>
              <w:jc w:val="left"/>
              <w:rPr>
                <w:noProof/>
                <w:color w:val="000000" w:themeColor="text1"/>
                <w:sz w:val="18"/>
                <w:lang w:eastAsia="en-GB"/>
              </w:rPr>
            </w:pPr>
            <w:r>
              <w:rPr>
                <w:bCs/>
                <w:noProof/>
                <w:sz w:val="18"/>
                <w:lang w:eastAsia="en-GB"/>
              </w:rPr>
              <w:t xml:space="preserve">EUROSUR </w:t>
            </w:r>
          </w:p>
        </w:tc>
        <w:tc>
          <w:tcPr>
            <w:tcW w:w="1111" w:type="pct"/>
            <w:tcBorders>
              <w:top w:val="single" w:sz="4" w:space="0" w:color="FFFFFF"/>
              <w:left w:val="single" w:sz="4" w:space="0" w:color="FFFFFF"/>
              <w:bottom w:val="single" w:sz="4" w:space="0" w:color="FFFFFF"/>
              <w:right w:val="single" w:sz="4" w:space="0" w:color="FFFFFF"/>
            </w:tcBorders>
            <w:hideMark/>
          </w:tcPr>
          <w:p w14:paraId="1A50E7F1"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Regulation (EU) 2019/1896 </w:t>
            </w:r>
          </w:p>
        </w:tc>
        <w:tc>
          <w:tcPr>
            <w:tcW w:w="1446" w:type="pct"/>
            <w:tcBorders>
              <w:top w:val="single" w:sz="4" w:space="0" w:color="FFFFFF"/>
              <w:left w:val="single" w:sz="4" w:space="0" w:color="FFFFFF"/>
              <w:bottom w:val="single" w:sz="4" w:space="0" w:color="FFFFFF"/>
              <w:right w:val="single" w:sz="4" w:space="0" w:color="FFFFFF"/>
            </w:tcBorders>
            <w:hideMark/>
          </w:tcPr>
          <w:p w14:paraId="2CDECD90"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National authorities responsible for border management (NCPs)</w:t>
            </w:r>
          </w:p>
        </w:tc>
        <w:tc>
          <w:tcPr>
            <w:tcW w:w="1714" w:type="pct"/>
            <w:tcBorders>
              <w:top w:val="single" w:sz="4" w:space="0" w:color="FFFFFF"/>
              <w:left w:val="single" w:sz="4" w:space="0" w:color="FFFFFF"/>
              <w:bottom w:val="single" w:sz="4" w:space="0" w:color="FFFFFF"/>
              <w:right w:val="single" w:sz="4" w:space="0" w:color="FFFFFF"/>
            </w:tcBorders>
            <w:hideMark/>
          </w:tcPr>
          <w:p w14:paraId="7A80CBF3"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rFonts w:cs="Calibri"/>
                <w:noProof/>
                <w:color w:val="000000"/>
                <w:sz w:val="18"/>
                <w:lang w:eastAsia="en-GB"/>
              </w:rPr>
              <w:t>Data on detecting, preventing and combating illegal immigration and cross-border crime</w:t>
            </w:r>
          </w:p>
        </w:tc>
      </w:tr>
      <w:tr w:rsidR="00D44CF0" w:rsidRPr="008911FD" w14:paraId="59843C6C" w14:textId="77777777" w:rsidTr="005F2038">
        <w:tc>
          <w:tcPr>
            <w:tcW w:w="729" w:type="pct"/>
            <w:tcBorders>
              <w:top w:val="single" w:sz="4" w:space="0" w:color="FFFFFF"/>
              <w:left w:val="single" w:sz="4" w:space="0" w:color="FFFFFF"/>
              <w:bottom w:val="single" w:sz="4" w:space="0" w:color="FFFFFF"/>
              <w:right w:val="single" w:sz="4" w:space="0" w:color="FFFFFF"/>
            </w:tcBorders>
            <w:hideMark/>
          </w:tcPr>
          <w:p w14:paraId="0AF2AF43" w14:textId="77777777" w:rsidR="00D44CF0" w:rsidRDefault="00D44CF0" w:rsidP="005F2038">
            <w:pPr>
              <w:pStyle w:val="Bulletpointtable"/>
              <w:spacing w:before="2" w:after="2"/>
              <w:ind w:firstLine="0"/>
              <w:jc w:val="left"/>
              <w:rPr>
                <w:noProof/>
                <w:color w:val="000000" w:themeColor="text1"/>
                <w:sz w:val="18"/>
                <w:lang w:eastAsia="en-GB"/>
              </w:rPr>
            </w:pPr>
            <w:r>
              <w:rPr>
                <w:noProof/>
                <w:sz w:val="18"/>
                <w:lang w:eastAsia="en-GB"/>
              </w:rPr>
              <w:t xml:space="preserve">Prüm network for the supply of non-personal and personal data </w:t>
            </w:r>
          </w:p>
        </w:tc>
        <w:tc>
          <w:tcPr>
            <w:tcW w:w="1111" w:type="pct"/>
            <w:tcBorders>
              <w:top w:val="single" w:sz="4" w:space="0" w:color="FFFFFF"/>
              <w:left w:val="single" w:sz="4" w:space="0" w:color="FFFFFF"/>
              <w:bottom w:val="single" w:sz="4" w:space="0" w:color="FFFFFF"/>
              <w:right w:val="single" w:sz="4" w:space="0" w:color="FFFFFF"/>
            </w:tcBorders>
            <w:hideMark/>
          </w:tcPr>
          <w:p w14:paraId="1B3A5DA2"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Council Decision 2008/615/JHA </w:t>
            </w:r>
          </w:p>
        </w:tc>
        <w:tc>
          <w:tcPr>
            <w:tcW w:w="1446" w:type="pct"/>
            <w:tcBorders>
              <w:top w:val="single" w:sz="4" w:space="0" w:color="FFFFFF"/>
              <w:left w:val="single" w:sz="4" w:space="0" w:color="FFFFFF"/>
              <w:bottom w:val="single" w:sz="4" w:space="0" w:color="FFFFFF"/>
              <w:right w:val="single" w:sz="4" w:space="0" w:color="FFFFFF"/>
            </w:tcBorders>
            <w:hideMark/>
          </w:tcPr>
          <w:p w14:paraId="2926BD7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NCPs</w:t>
            </w:r>
          </w:p>
        </w:tc>
        <w:tc>
          <w:tcPr>
            <w:tcW w:w="1714" w:type="pct"/>
            <w:tcBorders>
              <w:top w:val="single" w:sz="4" w:space="0" w:color="FFFFFF"/>
              <w:left w:val="single" w:sz="4" w:space="0" w:color="FFFFFF"/>
              <w:bottom w:val="single" w:sz="4" w:space="0" w:color="FFFFFF"/>
              <w:right w:val="single" w:sz="4" w:space="0" w:color="FFFFFF"/>
            </w:tcBorders>
            <w:hideMark/>
          </w:tcPr>
          <w:p w14:paraId="4E400946" w14:textId="77777777" w:rsidR="00D44CF0" w:rsidRDefault="00D44CF0" w:rsidP="00D44CF0">
            <w:pPr>
              <w:pStyle w:val="Bulletpointtable"/>
              <w:numPr>
                <w:ilvl w:val="0"/>
                <w:numId w:val="5"/>
              </w:numPr>
              <w:spacing w:before="2" w:after="2"/>
              <w:ind w:left="306" w:hanging="153"/>
              <w:jc w:val="left"/>
              <w:rPr>
                <w:noProof/>
                <w:color w:val="000000" w:themeColor="text1"/>
                <w:sz w:val="18"/>
              </w:rPr>
            </w:pPr>
            <w:r>
              <w:rPr>
                <w:noProof/>
                <w:sz w:val="18"/>
                <w:lang w:eastAsia="en-GB"/>
              </w:rPr>
              <w:t>Supply of data in relation to major events;</w:t>
            </w:r>
          </w:p>
          <w:p w14:paraId="09B0AA5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Supply of information in order to prevent terrorist offences</w:t>
            </w:r>
          </w:p>
        </w:tc>
      </w:tr>
      <w:tr w:rsidR="00D44CF0" w:rsidRPr="008911FD" w14:paraId="46726EE5" w14:textId="77777777" w:rsidTr="005F2038">
        <w:tc>
          <w:tcPr>
            <w:tcW w:w="729" w:type="pct"/>
            <w:tcBorders>
              <w:top w:val="single" w:sz="4" w:space="0" w:color="FFFFFF"/>
              <w:left w:val="single" w:sz="4" w:space="0" w:color="FFFFFF"/>
              <w:bottom w:val="single" w:sz="4" w:space="0" w:color="FFFFFF"/>
              <w:right w:val="single" w:sz="4" w:space="0" w:color="FFFFFF"/>
            </w:tcBorders>
            <w:hideMark/>
          </w:tcPr>
          <w:p w14:paraId="410EF37F" w14:textId="77777777" w:rsidR="00D44CF0" w:rsidRDefault="00D44CF0" w:rsidP="005F2038">
            <w:pPr>
              <w:pStyle w:val="Bulletpointtable"/>
              <w:spacing w:before="2" w:after="2"/>
              <w:ind w:firstLine="0"/>
              <w:jc w:val="left"/>
              <w:rPr>
                <w:noProof/>
                <w:color w:val="000000" w:themeColor="text1"/>
                <w:sz w:val="18"/>
                <w:lang w:eastAsia="en-GB"/>
              </w:rPr>
            </w:pPr>
            <w:r>
              <w:rPr>
                <w:noProof/>
                <w:sz w:val="18"/>
                <w:lang w:eastAsia="en-GB"/>
              </w:rPr>
              <w:t>NFIP</w:t>
            </w:r>
          </w:p>
        </w:tc>
        <w:tc>
          <w:tcPr>
            <w:tcW w:w="1111" w:type="pct"/>
            <w:tcBorders>
              <w:top w:val="single" w:sz="4" w:space="0" w:color="FFFFFF"/>
              <w:left w:val="single" w:sz="4" w:space="0" w:color="FFFFFF"/>
              <w:bottom w:val="single" w:sz="4" w:space="0" w:color="FFFFFF"/>
              <w:right w:val="single" w:sz="4" w:space="0" w:color="FFFFFF"/>
            </w:tcBorders>
            <w:hideMark/>
          </w:tcPr>
          <w:p w14:paraId="75A01711"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Council Decision 2007/412/JHA </w:t>
            </w:r>
          </w:p>
          <w:p w14:paraId="19A1CF67"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Council Resolution 2006/C 322/01</w:t>
            </w:r>
          </w:p>
        </w:tc>
        <w:tc>
          <w:tcPr>
            <w:tcW w:w="1446" w:type="pct"/>
            <w:tcBorders>
              <w:top w:val="single" w:sz="4" w:space="0" w:color="FFFFFF"/>
              <w:left w:val="single" w:sz="4" w:space="0" w:color="FFFFFF"/>
              <w:bottom w:val="single" w:sz="4" w:space="0" w:color="FFFFFF"/>
              <w:right w:val="single" w:sz="4" w:space="0" w:color="FFFFFF"/>
            </w:tcBorders>
            <w:hideMark/>
          </w:tcPr>
          <w:p w14:paraId="6F9E6F5E"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NFIP</w:t>
            </w:r>
          </w:p>
          <w:p w14:paraId="2C2357E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National competent authorities </w:t>
            </w:r>
          </w:p>
        </w:tc>
        <w:tc>
          <w:tcPr>
            <w:tcW w:w="1714" w:type="pct"/>
            <w:tcBorders>
              <w:top w:val="single" w:sz="4" w:space="0" w:color="FFFFFF"/>
              <w:left w:val="single" w:sz="4" w:space="0" w:color="FFFFFF"/>
              <w:bottom w:val="single" w:sz="4" w:space="0" w:color="FFFFFF"/>
              <w:right w:val="single" w:sz="4" w:space="0" w:color="FFFFFF"/>
            </w:tcBorders>
            <w:hideMark/>
          </w:tcPr>
          <w:p w14:paraId="62EFB1A6"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Information on high-risk supporters;</w:t>
            </w:r>
          </w:p>
          <w:p w14:paraId="207F15C2"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noProof/>
                <w:sz w:val="18"/>
                <w:lang w:eastAsia="en-GB"/>
              </w:rPr>
              <w:t>Strategic, operational and tactical information</w:t>
            </w:r>
          </w:p>
        </w:tc>
      </w:tr>
      <w:tr w:rsidR="00D44CF0" w:rsidRPr="008911FD" w14:paraId="11958546" w14:textId="77777777" w:rsidTr="005F2038">
        <w:tc>
          <w:tcPr>
            <w:tcW w:w="729" w:type="pct"/>
            <w:tcBorders>
              <w:top w:val="single" w:sz="4" w:space="0" w:color="FFFFFF"/>
              <w:left w:val="single" w:sz="4" w:space="0" w:color="FFFFFF"/>
              <w:bottom w:val="single" w:sz="4" w:space="0" w:color="FFFFFF"/>
              <w:right w:val="single" w:sz="4" w:space="0" w:color="FFFFFF"/>
            </w:tcBorders>
          </w:tcPr>
          <w:p w14:paraId="2F15229B" w14:textId="77777777" w:rsidR="00D44CF0" w:rsidRDefault="00D44CF0" w:rsidP="005F2038">
            <w:pPr>
              <w:pStyle w:val="Bulletpointtable"/>
              <w:spacing w:before="2" w:after="2"/>
              <w:ind w:left="306"/>
              <w:rPr>
                <w:noProof/>
                <w:color w:val="000000" w:themeColor="text1"/>
                <w:sz w:val="18"/>
                <w:lang w:eastAsia="en-GB"/>
              </w:rPr>
            </w:pPr>
            <w:r>
              <w:rPr>
                <w:noProof/>
                <w:sz w:val="18"/>
                <w:lang w:eastAsia="en-GB"/>
              </w:rPr>
              <w:t>NFFP</w:t>
            </w:r>
          </w:p>
          <w:p w14:paraId="58DD5EDC" w14:textId="77777777" w:rsidR="00D44CF0" w:rsidRDefault="00D44CF0" w:rsidP="005F2038">
            <w:pPr>
              <w:pStyle w:val="Bulletpointtable"/>
              <w:spacing w:before="2" w:after="2"/>
              <w:ind w:firstLine="0"/>
              <w:jc w:val="left"/>
              <w:rPr>
                <w:b/>
                <w:noProof/>
                <w:color w:val="000000" w:themeColor="text1"/>
                <w:sz w:val="18"/>
                <w:lang w:eastAsia="en-GB"/>
              </w:rPr>
            </w:pPr>
          </w:p>
        </w:tc>
        <w:tc>
          <w:tcPr>
            <w:tcW w:w="1111" w:type="pct"/>
            <w:tcBorders>
              <w:top w:val="single" w:sz="4" w:space="0" w:color="FFFFFF"/>
              <w:left w:val="single" w:sz="4" w:space="0" w:color="FFFFFF"/>
              <w:bottom w:val="single" w:sz="4" w:space="0" w:color="FFFFFF"/>
              <w:right w:val="single" w:sz="4" w:space="0" w:color="FFFFFF"/>
            </w:tcBorders>
            <w:hideMark/>
          </w:tcPr>
          <w:p w14:paraId="3F8D13D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COM (2015) 624 final</w:t>
            </w:r>
          </w:p>
        </w:tc>
        <w:tc>
          <w:tcPr>
            <w:tcW w:w="1446" w:type="pct"/>
            <w:tcBorders>
              <w:top w:val="single" w:sz="4" w:space="0" w:color="FFFFFF"/>
              <w:left w:val="single" w:sz="4" w:space="0" w:color="FFFFFF"/>
              <w:bottom w:val="single" w:sz="4" w:space="0" w:color="FFFFFF"/>
              <w:right w:val="single" w:sz="4" w:space="0" w:color="FFFFFF"/>
            </w:tcBorders>
            <w:hideMark/>
          </w:tcPr>
          <w:p w14:paraId="223FB504"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NFFP</w:t>
            </w:r>
          </w:p>
          <w:p w14:paraId="011028FB"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Europol</w:t>
            </w:r>
          </w:p>
        </w:tc>
        <w:tc>
          <w:tcPr>
            <w:tcW w:w="1714" w:type="pct"/>
            <w:tcBorders>
              <w:top w:val="single" w:sz="4" w:space="0" w:color="FFFFFF"/>
              <w:left w:val="single" w:sz="4" w:space="0" w:color="FFFFFF"/>
              <w:bottom w:val="single" w:sz="4" w:space="0" w:color="FFFFFF"/>
              <w:right w:val="single" w:sz="4" w:space="0" w:color="FFFFFF"/>
            </w:tcBorders>
            <w:hideMark/>
          </w:tcPr>
          <w:p w14:paraId="6400E672"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rFonts w:cs="Calibri"/>
                <w:noProof/>
                <w:color w:val="000000"/>
                <w:sz w:val="18"/>
                <w:lang w:eastAsia="en-GB"/>
              </w:rPr>
              <w:t>Information in the area of firearms trafficking</w:t>
            </w:r>
          </w:p>
        </w:tc>
      </w:tr>
      <w:tr w:rsidR="00D44CF0" w:rsidRPr="008911FD" w14:paraId="6EC060CE" w14:textId="77777777" w:rsidTr="005F2038">
        <w:tc>
          <w:tcPr>
            <w:tcW w:w="729" w:type="pct"/>
            <w:tcBorders>
              <w:top w:val="single" w:sz="4" w:space="0" w:color="FFFFFF"/>
              <w:left w:val="single" w:sz="4" w:space="0" w:color="FFFFFF"/>
              <w:bottom w:val="single" w:sz="4" w:space="0" w:color="FFFFFF"/>
              <w:right w:val="single" w:sz="4" w:space="0" w:color="FFFFFF"/>
            </w:tcBorders>
            <w:hideMark/>
          </w:tcPr>
          <w:p w14:paraId="302695EA" w14:textId="77777777" w:rsidR="00D44CF0" w:rsidRDefault="00D44CF0" w:rsidP="005F2038">
            <w:pPr>
              <w:pStyle w:val="Bulletpointtable"/>
              <w:spacing w:before="2" w:after="2"/>
              <w:ind w:firstLine="0"/>
              <w:jc w:val="left"/>
              <w:rPr>
                <w:noProof/>
                <w:color w:val="000000" w:themeColor="text1"/>
                <w:sz w:val="18"/>
                <w:lang w:eastAsia="en-GB"/>
              </w:rPr>
            </w:pPr>
            <w:r>
              <w:rPr>
                <w:noProof/>
                <w:sz w:val="18"/>
                <w:lang w:eastAsia="en-GB"/>
              </w:rPr>
              <w:t>Bilateral and regional liaison officers in PCCC</w:t>
            </w:r>
          </w:p>
        </w:tc>
        <w:tc>
          <w:tcPr>
            <w:tcW w:w="1111" w:type="pct"/>
            <w:tcBorders>
              <w:top w:val="single" w:sz="4" w:space="0" w:color="FFFFFF"/>
              <w:left w:val="single" w:sz="4" w:space="0" w:color="FFFFFF"/>
              <w:bottom w:val="single" w:sz="4" w:space="0" w:color="FFFFFF"/>
              <w:right w:val="single" w:sz="4" w:space="0" w:color="FFFFFF"/>
            </w:tcBorders>
            <w:hideMark/>
          </w:tcPr>
          <w:p w14:paraId="5351F06C"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CISA - Art. 39</w:t>
            </w:r>
          </w:p>
        </w:tc>
        <w:tc>
          <w:tcPr>
            <w:tcW w:w="1446" w:type="pct"/>
            <w:tcBorders>
              <w:top w:val="single" w:sz="4" w:space="0" w:color="FFFFFF"/>
              <w:left w:val="single" w:sz="4" w:space="0" w:color="FFFFFF"/>
              <w:bottom w:val="single" w:sz="4" w:space="0" w:color="FFFFFF"/>
              <w:right w:val="single" w:sz="4" w:space="0" w:color="FFFFFF"/>
            </w:tcBorders>
            <w:hideMark/>
          </w:tcPr>
          <w:p w14:paraId="098144D7"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NCPs</w:t>
            </w:r>
          </w:p>
          <w:p w14:paraId="3F3AAB4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SPOC </w:t>
            </w:r>
          </w:p>
        </w:tc>
        <w:tc>
          <w:tcPr>
            <w:tcW w:w="1714" w:type="pct"/>
            <w:tcBorders>
              <w:top w:val="single" w:sz="4" w:space="0" w:color="FFFFFF"/>
              <w:left w:val="single" w:sz="4" w:space="0" w:color="FFFFFF"/>
              <w:bottom w:val="single" w:sz="4" w:space="0" w:color="FFFFFF"/>
              <w:right w:val="single" w:sz="4" w:space="0" w:color="FFFFFF"/>
            </w:tcBorders>
            <w:hideMark/>
          </w:tcPr>
          <w:p w14:paraId="48C954A0"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rFonts w:cs="Calibri"/>
                <w:noProof/>
                <w:color w:val="000000"/>
                <w:sz w:val="18"/>
                <w:lang w:eastAsia="en-GB"/>
              </w:rPr>
              <w:t>Cross-border and intra-European operational actions/ operations, public order/ security/preventing criminal offences/ mass gatherings/ disasters, serious accidents</w:t>
            </w:r>
          </w:p>
        </w:tc>
      </w:tr>
      <w:tr w:rsidR="00D44CF0" w:rsidRPr="008911FD" w14:paraId="06F7E199" w14:textId="77777777" w:rsidTr="005F2038">
        <w:tc>
          <w:tcPr>
            <w:tcW w:w="729" w:type="pct"/>
            <w:tcBorders>
              <w:top w:val="single" w:sz="4" w:space="0" w:color="FFFFFF"/>
              <w:left w:val="single" w:sz="4" w:space="0" w:color="FFFFFF"/>
              <w:bottom w:val="single" w:sz="4" w:space="0" w:color="FFFFFF"/>
              <w:right w:val="single" w:sz="4" w:space="0" w:color="FFFFFF"/>
            </w:tcBorders>
            <w:hideMark/>
          </w:tcPr>
          <w:p w14:paraId="654EA124" w14:textId="77777777" w:rsidR="00D44CF0" w:rsidRDefault="00D44CF0" w:rsidP="005F2038">
            <w:pPr>
              <w:pStyle w:val="Bulletpointtable"/>
              <w:spacing w:before="2" w:after="2"/>
              <w:ind w:firstLine="0"/>
              <w:jc w:val="left"/>
              <w:rPr>
                <w:bCs/>
                <w:noProof/>
                <w:color w:val="000000" w:themeColor="text1"/>
                <w:sz w:val="18"/>
                <w:lang w:eastAsia="en-GB"/>
              </w:rPr>
            </w:pPr>
            <w:r>
              <w:rPr>
                <w:bCs/>
                <w:noProof/>
                <w:sz w:val="18"/>
                <w:lang w:eastAsia="en-GB"/>
              </w:rPr>
              <w:t xml:space="preserve">Bilateral contact points </w:t>
            </w:r>
          </w:p>
        </w:tc>
        <w:tc>
          <w:tcPr>
            <w:tcW w:w="1111" w:type="pct"/>
            <w:tcBorders>
              <w:top w:val="single" w:sz="4" w:space="0" w:color="FFFFFF"/>
              <w:left w:val="single" w:sz="4" w:space="0" w:color="FFFFFF"/>
              <w:bottom w:val="single" w:sz="4" w:space="0" w:color="FFFFFF"/>
              <w:right w:val="single" w:sz="4" w:space="0" w:color="FFFFFF"/>
            </w:tcBorders>
            <w:hideMark/>
          </w:tcPr>
          <w:p w14:paraId="1488C7E9"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Council Framework Decision 2006/960/JHA </w:t>
            </w:r>
          </w:p>
        </w:tc>
        <w:tc>
          <w:tcPr>
            <w:tcW w:w="1446" w:type="pct"/>
            <w:tcBorders>
              <w:top w:val="single" w:sz="4" w:space="0" w:color="FFFFFF"/>
              <w:left w:val="single" w:sz="4" w:space="0" w:color="FFFFFF"/>
              <w:bottom w:val="single" w:sz="4" w:space="0" w:color="FFFFFF"/>
              <w:right w:val="single" w:sz="4" w:space="0" w:color="FFFFFF"/>
            </w:tcBorders>
            <w:hideMark/>
          </w:tcPr>
          <w:p w14:paraId="5E69E359" w14:textId="77777777" w:rsidR="00D44CF0" w:rsidRDefault="00D44CF0" w:rsidP="00D44CF0">
            <w:pPr>
              <w:pStyle w:val="Bulletpointtable"/>
              <w:numPr>
                <w:ilvl w:val="0"/>
                <w:numId w:val="5"/>
              </w:numPr>
              <w:spacing w:before="2" w:after="2"/>
              <w:ind w:left="306" w:hanging="153"/>
              <w:jc w:val="left"/>
              <w:rPr>
                <w:noProof/>
                <w:color w:val="000000" w:themeColor="text1"/>
                <w:sz w:val="18"/>
              </w:rPr>
            </w:pPr>
            <w:r>
              <w:rPr>
                <w:noProof/>
                <w:sz w:val="18"/>
                <w:lang w:eastAsia="en-GB"/>
              </w:rPr>
              <w:t>National competent law enforcement authority</w:t>
            </w:r>
          </w:p>
          <w:p w14:paraId="1F43C5E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Europol or Eurojust</w:t>
            </w:r>
          </w:p>
        </w:tc>
        <w:tc>
          <w:tcPr>
            <w:tcW w:w="1714" w:type="pct"/>
            <w:tcBorders>
              <w:top w:val="single" w:sz="4" w:space="0" w:color="FFFFFF"/>
              <w:left w:val="single" w:sz="4" w:space="0" w:color="FFFFFF"/>
              <w:bottom w:val="single" w:sz="4" w:space="0" w:color="FFFFFF"/>
              <w:right w:val="single" w:sz="4" w:space="0" w:color="FFFFFF"/>
            </w:tcBorders>
            <w:hideMark/>
          </w:tcPr>
          <w:p w14:paraId="060B9FA3" w14:textId="77777777" w:rsidR="00D44CF0" w:rsidRDefault="00D44CF0" w:rsidP="00D44CF0">
            <w:pPr>
              <w:pStyle w:val="Bulletpointtable"/>
              <w:numPr>
                <w:ilvl w:val="0"/>
                <w:numId w:val="5"/>
              </w:numPr>
              <w:spacing w:before="2" w:after="2"/>
              <w:ind w:left="306" w:hanging="153"/>
              <w:jc w:val="left"/>
              <w:rPr>
                <w:rFonts w:cs="Calibri"/>
                <w:noProof/>
                <w:color w:val="000000"/>
                <w:sz w:val="18"/>
                <w:lang w:eastAsia="en-GB"/>
              </w:rPr>
            </w:pPr>
            <w:r>
              <w:rPr>
                <w:rFonts w:cs="Calibri"/>
                <w:noProof/>
                <w:color w:val="000000"/>
                <w:sz w:val="18"/>
                <w:lang w:eastAsia="en-GB"/>
              </w:rPr>
              <w:t>Provision of information and intelligence</w:t>
            </w:r>
          </w:p>
        </w:tc>
      </w:tr>
      <w:tr w:rsidR="00D44CF0" w14:paraId="27046069" w14:textId="77777777" w:rsidTr="005F2038">
        <w:trPr>
          <w:trHeight w:val="196"/>
        </w:trPr>
        <w:tc>
          <w:tcPr>
            <w:tcW w:w="729" w:type="pct"/>
            <w:tcBorders>
              <w:top w:val="single" w:sz="4" w:space="0" w:color="FFFFFF"/>
              <w:left w:val="single" w:sz="4" w:space="0" w:color="FFFFFF"/>
              <w:bottom w:val="single" w:sz="4" w:space="0" w:color="FFFFFF"/>
              <w:right w:val="single" w:sz="4" w:space="0" w:color="FFFFFF"/>
            </w:tcBorders>
            <w:hideMark/>
          </w:tcPr>
          <w:p w14:paraId="6E965297" w14:textId="77777777" w:rsidR="00D44CF0" w:rsidRDefault="00D44CF0" w:rsidP="005F2038">
            <w:pPr>
              <w:pStyle w:val="Bulletpointtable"/>
              <w:spacing w:before="2" w:after="2"/>
              <w:ind w:firstLine="0"/>
              <w:jc w:val="left"/>
              <w:rPr>
                <w:noProof/>
                <w:color w:val="000000" w:themeColor="text1"/>
                <w:sz w:val="18"/>
                <w:lang w:val="fr-FR" w:eastAsia="en-GB"/>
              </w:rPr>
            </w:pPr>
            <w:r>
              <w:rPr>
                <w:noProof/>
                <w:sz w:val="18"/>
                <w:lang w:val="fr-FR" w:eastAsia="en-GB"/>
              </w:rPr>
              <w:t>Liaison officers in liaison bureaux</w:t>
            </w:r>
          </w:p>
        </w:tc>
        <w:tc>
          <w:tcPr>
            <w:tcW w:w="1111" w:type="pct"/>
            <w:tcBorders>
              <w:top w:val="single" w:sz="4" w:space="0" w:color="FFFFFF"/>
              <w:left w:val="single" w:sz="4" w:space="0" w:color="FFFFFF"/>
              <w:bottom w:val="single" w:sz="4" w:space="0" w:color="FFFFFF"/>
              <w:right w:val="single" w:sz="4" w:space="0" w:color="FFFFFF"/>
            </w:tcBorders>
            <w:hideMark/>
          </w:tcPr>
          <w:p w14:paraId="17EB6AE9"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CISA - Art. 47</w:t>
            </w:r>
          </w:p>
          <w:p w14:paraId="3D713075"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 xml:space="preserve">Council Decision 2006/560/JHA </w:t>
            </w:r>
          </w:p>
        </w:tc>
        <w:tc>
          <w:tcPr>
            <w:tcW w:w="1446" w:type="pct"/>
            <w:tcBorders>
              <w:top w:val="single" w:sz="4" w:space="0" w:color="FFFFFF"/>
              <w:left w:val="single" w:sz="4" w:space="0" w:color="FFFFFF"/>
              <w:bottom w:val="single" w:sz="4" w:space="0" w:color="FFFFFF"/>
              <w:right w:val="single" w:sz="4" w:space="0" w:color="FFFFFF"/>
            </w:tcBorders>
            <w:hideMark/>
          </w:tcPr>
          <w:p w14:paraId="3A5CBABE"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noProof/>
                <w:sz w:val="18"/>
                <w:lang w:eastAsia="en-GB"/>
              </w:rPr>
              <w:t>Liaison Officers</w:t>
            </w:r>
          </w:p>
        </w:tc>
        <w:tc>
          <w:tcPr>
            <w:tcW w:w="1714" w:type="pct"/>
            <w:tcBorders>
              <w:top w:val="single" w:sz="4" w:space="0" w:color="FFFFFF"/>
              <w:left w:val="single" w:sz="4" w:space="0" w:color="FFFFFF"/>
              <w:bottom w:val="single" w:sz="4" w:space="0" w:color="FFFFFF"/>
              <w:right w:val="single" w:sz="4" w:space="0" w:color="FFFFFF"/>
            </w:tcBorders>
            <w:hideMark/>
          </w:tcPr>
          <w:p w14:paraId="1274D462" w14:textId="77777777" w:rsidR="00D44CF0" w:rsidRDefault="00D44CF0" w:rsidP="00D44CF0">
            <w:pPr>
              <w:pStyle w:val="Bulletpointtable"/>
              <w:numPr>
                <w:ilvl w:val="0"/>
                <w:numId w:val="5"/>
              </w:numPr>
              <w:spacing w:before="2" w:after="2"/>
              <w:ind w:left="306" w:hanging="153"/>
              <w:jc w:val="left"/>
              <w:rPr>
                <w:noProof/>
                <w:color w:val="000000" w:themeColor="text1"/>
                <w:sz w:val="18"/>
                <w:lang w:eastAsia="en-GB"/>
              </w:rPr>
            </w:pPr>
            <w:r>
              <w:rPr>
                <w:rFonts w:cs="Calibri"/>
                <w:noProof/>
                <w:color w:val="000000"/>
                <w:sz w:val="18"/>
                <w:lang w:eastAsia="en-GB"/>
              </w:rPr>
              <w:t>Information on criminal matters</w:t>
            </w:r>
          </w:p>
        </w:tc>
      </w:tr>
    </w:tbl>
    <w:p w14:paraId="6DF36772" w14:textId="77777777" w:rsidR="00245FF0" w:rsidRDefault="00F2213E" w:rsidP="00704502">
      <w:pPr>
        <w:rPr>
          <w:rFonts w:ascii="Times New Roman" w:hAnsi="Times New Roman"/>
          <w:noProof/>
          <w:sz w:val="24"/>
          <w:szCs w:val="24"/>
        </w:rPr>
      </w:pPr>
      <w:r w:rsidRPr="00B77914">
        <w:rPr>
          <w:rStyle w:val="SubtleEmphasis"/>
          <w:noProof/>
          <w:sz w:val="16"/>
          <w:szCs w:val="18"/>
        </w:rPr>
        <w:t xml:space="preserve">Source: </w:t>
      </w:r>
      <w:r w:rsidRPr="00B77914">
        <w:rPr>
          <w:rFonts w:ascii="Verdana" w:hAnsi="Verdana"/>
          <w:i/>
          <w:noProof/>
          <w:color w:val="7F7F7F" w:themeColor="text1" w:themeTint="80"/>
          <w:sz w:val="16"/>
          <w:szCs w:val="18"/>
        </w:rPr>
        <w:t>EY/RAND Europe Study’s elaboration</w:t>
      </w:r>
      <w:r w:rsidRPr="00B77914">
        <w:rPr>
          <w:rStyle w:val="SubtleEmphasis"/>
          <w:noProof/>
          <w:sz w:val="16"/>
          <w:szCs w:val="18"/>
        </w:rPr>
        <w:t xml:space="preserve"> based on desk research</w:t>
      </w:r>
    </w:p>
    <w:p w14:paraId="2DD46F4F" w14:textId="77777777" w:rsidR="00D44CF0" w:rsidRPr="00141DCF" w:rsidRDefault="00D44CF0" w:rsidP="00DE1389">
      <w:pPr>
        <w:pStyle w:val="Body"/>
        <w:spacing w:beforeLines="1" w:before="2" w:afterLines="1" w:after="2"/>
        <w:jc w:val="both"/>
        <w:rPr>
          <w:rFonts w:ascii="Times New Roman" w:hAnsi="Times New Roman"/>
          <w:noProof/>
          <w:sz w:val="24"/>
          <w:szCs w:val="24"/>
          <w:lang w:eastAsia="en-GB"/>
        </w:rPr>
      </w:pPr>
      <w:r w:rsidRPr="00141DCF">
        <w:rPr>
          <w:rFonts w:ascii="Times New Roman" w:hAnsi="Times New Roman"/>
          <w:noProof/>
          <w:sz w:val="24"/>
          <w:szCs w:val="24"/>
        </w:rPr>
        <w:t>SIENA, SIS II, VIS and EIS are the tools</w:t>
      </w:r>
      <w:r w:rsidRPr="00141DCF">
        <w:rPr>
          <w:rFonts w:ascii="Times New Roman" w:hAnsi="Times New Roman"/>
          <w:noProof/>
          <w:sz w:val="24"/>
          <w:szCs w:val="24"/>
          <w:lang w:eastAsia="en-GB"/>
        </w:rPr>
        <w:t>/information systems</w:t>
      </w:r>
      <w:r w:rsidRPr="00141DCF">
        <w:rPr>
          <w:rFonts w:ascii="Times New Roman" w:hAnsi="Times New Roman"/>
          <w:noProof/>
          <w:sz w:val="24"/>
          <w:szCs w:val="24"/>
        </w:rPr>
        <w:t xml:space="preserve"> that can be used by a wide array of actors ranging from Member States’ competent authorities, European Agencies (</w:t>
      </w:r>
      <w:r w:rsidRPr="00141DCF">
        <w:rPr>
          <w:rFonts w:ascii="Times New Roman" w:hAnsi="Times New Roman"/>
          <w:noProof/>
          <w:sz w:val="24"/>
          <w:szCs w:val="24"/>
          <w:lang w:eastAsia="en-GB"/>
        </w:rPr>
        <w:t xml:space="preserve">Europol, Eurojust, </w:t>
      </w:r>
      <w:r w:rsidRPr="00141DCF">
        <w:rPr>
          <w:rFonts w:ascii="Times New Roman" w:hAnsi="Times New Roman"/>
          <w:noProof/>
          <w:sz w:val="24"/>
          <w:szCs w:val="24"/>
        </w:rPr>
        <w:t>Frontex</w:t>
      </w:r>
      <w:r w:rsidRPr="00141DCF">
        <w:rPr>
          <w:rFonts w:ascii="Times New Roman" w:hAnsi="Times New Roman"/>
          <w:noProof/>
          <w:sz w:val="24"/>
          <w:szCs w:val="24"/>
          <w:lang w:eastAsia="en-GB"/>
        </w:rPr>
        <w:t>)</w:t>
      </w:r>
      <w:r w:rsidRPr="00141DCF">
        <w:rPr>
          <w:rFonts w:ascii="Times New Roman" w:hAnsi="Times New Roman"/>
          <w:noProof/>
          <w:sz w:val="24"/>
          <w:szCs w:val="24"/>
        </w:rPr>
        <w:t xml:space="preserve">, and national bodies (e.g. SPOCs, PCCCs and </w:t>
      </w:r>
      <w:r w:rsidRPr="00141DCF">
        <w:rPr>
          <w:rFonts w:ascii="Times New Roman" w:hAnsi="Times New Roman"/>
          <w:noProof/>
          <w:sz w:val="24"/>
          <w:szCs w:val="24"/>
          <w:lang w:eastAsia="en-GB"/>
        </w:rPr>
        <w:t>NFFPs).</w:t>
      </w:r>
    </w:p>
    <w:p w14:paraId="49BEFCF2" w14:textId="77777777" w:rsidR="00D44CF0" w:rsidRPr="00141DCF" w:rsidRDefault="00D44CF0" w:rsidP="00DE1389">
      <w:pPr>
        <w:pStyle w:val="Body"/>
        <w:spacing w:beforeLines="1" w:before="2" w:afterLines="1" w:after="2"/>
        <w:jc w:val="both"/>
        <w:rPr>
          <w:rFonts w:ascii="Times New Roman" w:hAnsi="Times New Roman"/>
          <w:noProof/>
          <w:sz w:val="24"/>
          <w:szCs w:val="24"/>
        </w:rPr>
      </w:pPr>
      <w:r w:rsidRPr="00141DCF">
        <w:rPr>
          <w:rFonts w:ascii="Times New Roman" w:hAnsi="Times New Roman"/>
          <w:noProof/>
          <w:sz w:val="24"/>
          <w:szCs w:val="24"/>
        </w:rPr>
        <w:t>Actors that more frequently are entitled to use the tools listed in the table below are:</w:t>
      </w:r>
    </w:p>
    <w:p w14:paraId="3EFAA230"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Europol (5 tools/information systems, namely SIENA, SIS II, VIS, EIS, and liaison officers in liaison bureaux);</w:t>
      </w:r>
    </w:p>
    <w:p w14:paraId="302CCFD9"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Member States’ competent law enforcement authority (4 tools/information systems, namely SIENA, SIS II, VIS, and liaison officers in liaison bureaux);</w:t>
      </w:r>
    </w:p>
    <w:p w14:paraId="422E8B74"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sz w:val="24"/>
          <w:szCs w:val="24"/>
        </w:rPr>
        <w:t>Eurojust (4 tools/information systems, namely SIENA, SIS II, CIS and bilateral contact points);</w:t>
      </w:r>
    </w:p>
    <w:p w14:paraId="0EA8AFE5" w14:textId="77777777" w:rsidR="00D44CF0" w:rsidRPr="00141DCF" w:rsidRDefault="00D44CF0" w:rsidP="00900BC7">
      <w:pPr>
        <w:pStyle w:val="Bulletmain"/>
        <w:numPr>
          <w:ilvl w:val="0"/>
          <w:numId w:val="62"/>
        </w:numPr>
        <w:spacing w:beforeLines="1" w:before="2" w:afterLines="1" w:after="2"/>
        <w:ind w:left="1267"/>
        <w:rPr>
          <w:rFonts w:ascii="Times New Roman" w:hAnsi="Times New Roman"/>
          <w:noProof/>
          <w:sz w:val="24"/>
          <w:szCs w:val="24"/>
        </w:rPr>
      </w:pPr>
      <w:r w:rsidRPr="00141DCF">
        <w:rPr>
          <w:rFonts w:ascii="Times New Roman" w:hAnsi="Times New Roman"/>
          <w:noProof/>
          <w:color w:val="000000"/>
          <w:sz w:val="24"/>
          <w:szCs w:val="24"/>
        </w:rPr>
        <w:t>Europol National Unit (</w:t>
      </w:r>
      <w:r w:rsidRPr="00141DCF">
        <w:rPr>
          <w:rFonts w:ascii="Times New Roman" w:hAnsi="Times New Roman"/>
          <w:noProof/>
          <w:sz w:val="24"/>
          <w:szCs w:val="24"/>
        </w:rPr>
        <w:t>ENUs) (3 tools/information systems, namely SIENA, SIS II and EIS).</w:t>
      </w:r>
    </w:p>
    <w:p w14:paraId="787093FE" w14:textId="77777777" w:rsidR="005D5627" w:rsidRPr="00141DCF" w:rsidRDefault="005D5627" w:rsidP="00DE1389">
      <w:pPr>
        <w:pStyle w:val="Body"/>
        <w:spacing w:beforeLines="1" w:before="2" w:afterLines="1" w:after="2"/>
        <w:jc w:val="both"/>
        <w:rPr>
          <w:rFonts w:ascii="Times New Roman" w:hAnsi="Times New Roman"/>
          <w:noProof/>
          <w:sz w:val="24"/>
          <w:szCs w:val="24"/>
        </w:rPr>
      </w:pPr>
    </w:p>
    <w:p w14:paraId="11EA7322" w14:textId="77777777" w:rsidR="005D5627" w:rsidRPr="00141DCF" w:rsidRDefault="00D44CF0" w:rsidP="00DE1389">
      <w:pPr>
        <w:pStyle w:val="Body"/>
        <w:spacing w:beforeLines="1" w:before="2" w:afterLines="1" w:after="2"/>
        <w:jc w:val="both"/>
        <w:rPr>
          <w:rFonts w:ascii="Times New Roman" w:hAnsi="Times New Roman"/>
          <w:bCs/>
          <w:noProof/>
          <w:sz w:val="24"/>
          <w:szCs w:val="24"/>
        </w:rPr>
      </w:pPr>
      <w:r w:rsidRPr="00141DCF">
        <w:rPr>
          <w:rFonts w:ascii="Times New Roman" w:hAnsi="Times New Roman"/>
          <w:noProof/>
          <w:sz w:val="24"/>
          <w:szCs w:val="24"/>
        </w:rPr>
        <w:t xml:space="preserve">Thus, </w:t>
      </w:r>
      <w:r w:rsidRPr="00141DCF">
        <w:rPr>
          <w:rFonts w:ascii="Times New Roman" w:hAnsi="Times New Roman"/>
          <w:b/>
          <w:noProof/>
          <w:sz w:val="24"/>
          <w:szCs w:val="24"/>
        </w:rPr>
        <w:t>different tools can be used by the same actor</w:t>
      </w:r>
      <w:r w:rsidRPr="00141DCF">
        <w:rPr>
          <w:rFonts w:ascii="Times New Roman" w:hAnsi="Times New Roman"/>
          <w:bCs/>
          <w:noProof/>
          <w:sz w:val="24"/>
          <w:szCs w:val="24"/>
        </w:rPr>
        <w:t xml:space="preserve">, although each tool is intended to be used for different objectives/type of information, hence there is no overlap or inconsistency. </w:t>
      </w:r>
    </w:p>
    <w:p w14:paraId="6A4F9C91" w14:textId="77777777" w:rsidR="005D5627" w:rsidRPr="00141DCF" w:rsidRDefault="005D5627" w:rsidP="00DE1389">
      <w:pPr>
        <w:pStyle w:val="Body"/>
        <w:spacing w:beforeLines="1" w:before="2" w:afterLines="1" w:after="2"/>
        <w:jc w:val="both"/>
        <w:rPr>
          <w:rFonts w:ascii="Times New Roman" w:hAnsi="Times New Roman"/>
          <w:bCs/>
          <w:noProof/>
          <w:sz w:val="24"/>
          <w:szCs w:val="24"/>
        </w:rPr>
      </w:pPr>
    </w:p>
    <w:p w14:paraId="0B364FE1" w14:textId="77777777" w:rsidR="00D44CF0" w:rsidRPr="00141DCF" w:rsidRDefault="00D44CF0" w:rsidP="00DE1389">
      <w:pPr>
        <w:pStyle w:val="Body"/>
        <w:spacing w:beforeLines="1" w:before="2" w:afterLines="1" w:after="2"/>
        <w:jc w:val="both"/>
        <w:rPr>
          <w:rFonts w:ascii="Times New Roman" w:hAnsi="Times New Roman"/>
          <w:noProof/>
          <w:sz w:val="24"/>
          <w:szCs w:val="24"/>
        </w:rPr>
      </w:pPr>
      <w:r w:rsidRPr="00141DCF">
        <w:rPr>
          <w:rFonts w:ascii="Times New Roman" w:hAnsi="Times New Roman"/>
          <w:noProof/>
          <w:sz w:val="24"/>
          <w:szCs w:val="24"/>
        </w:rPr>
        <w:t>Namely:</w:t>
      </w:r>
    </w:p>
    <w:p w14:paraId="3DA31F1D" w14:textId="77777777" w:rsidR="00D44CF0" w:rsidRPr="00141DCF" w:rsidRDefault="00D44CF0" w:rsidP="00900BC7">
      <w:pPr>
        <w:pStyle w:val="Bulletmain"/>
        <w:numPr>
          <w:ilvl w:val="0"/>
          <w:numId w:val="64"/>
        </w:numPr>
        <w:spacing w:beforeLines="1" w:before="2" w:afterLines="1" w:after="2"/>
        <w:ind w:left="1730"/>
        <w:rPr>
          <w:rFonts w:ascii="Times New Roman" w:hAnsi="Times New Roman"/>
          <w:noProof/>
          <w:sz w:val="24"/>
          <w:szCs w:val="24"/>
        </w:rPr>
      </w:pPr>
      <w:r w:rsidRPr="00141DCF">
        <w:rPr>
          <w:rFonts w:ascii="Times New Roman" w:hAnsi="Times New Roman"/>
          <w:noProof/>
          <w:sz w:val="24"/>
          <w:szCs w:val="24"/>
        </w:rPr>
        <w:t>Three different tools can be used by ENUs to prevent and combat organised crime, serious international crime and terrorism involving two or more Member States: SIENA, SIS II and EIS;</w:t>
      </w:r>
    </w:p>
    <w:p w14:paraId="35ED741A" w14:textId="77777777" w:rsidR="00D44CF0" w:rsidRPr="00141DCF" w:rsidRDefault="00D44CF0" w:rsidP="00900BC7">
      <w:pPr>
        <w:pStyle w:val="Bulletmain"/>
        <w:numPr>
          <w:ilvl w:val="0"/>
          <w:numId w:val="64"/>
        </w:numPr>
        <w:spacing w:beforeLines="1" w:before="2" w:afterLines="1" w:after="2"/>
        <w:ind w:left="1730"/>
        <w:rPr>
          <w:rFonts w:ascii="Times New Roman" w:hAnsi="Times New Roman"/>
          <w:noProof/>
          <w:sz w:val="24"/>
          <w:szCs w:val="24"/>
        </w:rPr>
      </w:pPr>
      <w:r w:rsidRPr="00141DCF">
        <w:rPr>
          <w:rFonts w:ascii="Times New Roman" w:hAnsi="Times New Roman"/>
          <w:noProof/>
          <w:sz w:val="24"/>
          <w:szCs w:val="24"/>
        </w:rPr>
        <w:t xml:space="preserve">Two different tools can be used by NFFPs to share information in the area of firearms trafficking: SIS II and EIS </w:t>
      </w:r>
    </w:p>
    <w:p w14:paraId="718BD7BE" w14:textId="77777777" w:rsidR="005D5627" w:rsidRPr="00141DCF" w:rsidRDefault="005D5627" w:rsidP="00DE1389">
      <w:pPr>
        <w:pStyle w:val="Bulletmain"/>
        <w:spacing w:before="2" w:after="2"/>
        <w:rPr>
          <w:rFonts w:ascii="Times New Roman" w:hAnsi="Times New Roman"/>
          <w:b/>
          <w:noProof/>
          <w:sz w:val="24"/>
          <w:szCs w:val="24"/>
        </w:rPr>
      </w:pPr>
    </w:p>
    <w:p w14:paraId="1CE08D1C" w14:textId="77777777" w:rsidR="00D44CF0" w:rsidRPr="00141DCF" w:rsidRDefault="00D44CF0" w:rsidP="00DE1389">
      <w:pPr>
        <w:pStyle w:val="Bulletmain"/>
        <w:spacing w:before="2" w:after="2"/>
        <w:rPr>
          <w:rFonts w:ascii="Times New Roman" w:hAnsi="Times New Roman"/>
          <w:noProof/>
          <w:sz w:val="24"/>
          <w:szCs w:val="24"/>
        </w:rPr>
      </w:pPr>
      <w:r w:rsidRPr="00141DCF">
        <w:rPr>
          <w:rFonts w:ascii="Times New Roman" w:hAnsi="Times New Roman"/>
          <w:b/>
          <w:noProof/>
          <w:sz w:val="24"/>
          <w:szCs w:val="24"/>
        </w:rPr>
        <w:t>Moreover, different actors can use the same tool (SIENA) to share the same type of information</w:t>
      </w:r>
      <w:r w:rsidRPr="00141DCF">
        <w:rPr>
          <w:rFonts w:ascii="Times New Roman" w:hAnsi="Times New Roman"/>
          <w:noProof/>
          <w:sz w:val="24"/>
          <w:szCs w:val="24"/>
        </w:rPr>
        <w:t>: both NCPs and SPOCs can share information related to cross-border and intra-European operational actions/ operations.</w:t>
      </w:r>
    </w:p>
    <w:p w14:paraId="6D923307" w14:textId="77777777" w:rsidR="005D5627" w:rsidRPr="00141DCF" w:rsidRDefault="005D5627" w:rsidP="00DE1389">
      <w:pPr>
        <w:pStyle w:val="Bulletmain"/>
        <w:spacing w:before="2" w:after="2"/>
        <w:rPr>
          <w:rFonts w:ascii="Times New Roman" w:hAnsi="Times New Roman"/>
          <w:b/>
          <w:noProof/>
          <w:sz w:val="24"/>
          <w:szCs w:val="24"/>
        </w:rPr>
      </w:pPr>
    </w:p>
    <w:p w14:paraId="1CBC74CD" w14:textId="77777777" w:rsidR="005D5627" w:rsidRPr="00141DCF" w:rsidRDefault="00D44CF0" w:rsidP="00DE1389">
      <w:pPr>
        <w:pStyle w:val="Bulletmain"/>
        <w:spacing w:before="2" w:after="2"/>
        <w:rPr>
          <w:rFonts w:ascii="Times New Roman" w:hAnsi="Times New Roman"/>
          <w:noProof/>
          <w:sz w:val="24"/>
          <w:szCs w:val="24"/>
        </w:rPr>
      </w:pPr>
      <w:r w:rsidRPr="00141DCF">
        <w:rPr>
          <w:rFonts w:ascii="Times New Roman" w:hAnsi="Times New Roman"/>
          <w:b/>
          <w:noProof/>
          <w:sz w:val="24"/>
          <w:szCs w:val="24"/>
        </w:rPr>
        <w:t>Some EU measures make a step further and provide indications in relation to the timing for the exchange of information and the language to be used.</w:t>
      </w:r>
      <w:r w:rsidRPr="00141DCF">
        <w:rPr>
          <w:rFonts w:ascii="Times New Roman" w:hAnsi="Times New Roman"/>
          <w:noProof/>
          <w:sz w:val="24"/>
          <w:szCs w:val="24"/>
        </w:rPr>
        <w:t xml:space="preserve"> As for the timing, the SFD states that requests for information shall be answered within eight hours (urgent request), one week (non-urgent request) or 14 days (all other cases). Guidelines on the implementation of the SFD</w:t>
      </w:r>
      <w:r w:rsidRPr="00141DCF">
        <w:rPr>
          <w:rStyle w:val="FootnoteReference"/>
          <w:rFonts w:ascii="Times New Roman" w:hAnsi="Times New Roman"/>
          <w:noProof/>
          <w:sz w:val="24"/>
          <w:szCs w:val="24"/>
        </w:rPr>
        <w:footnoteReference w:id="329"/>
      </w:r>
      <w:r w:rsidRPr="00141DCF">
        <w:rPr>
          <w:rFonts w:ascii="Times New Roman" w:hAnsi="Times New Roman"/>
          <w:noProof/>
          <w:sz w:val="24"/>
          <w:szCs w:val="24"/>
        </w:rPr>
        <w:t xml:space="preserve"> provide details for the identification of “urgent cases”, however, no definition of “not urgent” and “other cases” is provided. </w:t>
      </w:r>
    </w:p>
    <w:p w14:paraId="2DE67BBD" w14:textId="77777777" w:rsidR="005D5627" w:rsidRPr="00141DCF" w:rsidRDefault="005D5627" w:rsidP="00DE1389">
      <w:pPr>
        <w:pStyle w:val="Bulletmain"/>
        <w:spacing w:before="2" w:after="2"/>
        <w:rPr>
          <w:rFonts w:ascii="Times New Roman" w:hAnsi="Times New Roman"/>
          <w:noProof/>
          <w:sz w:val="24"/>
          <w:szCs w:val="24"/>
        </w:rPr>
      </w:pPr>
    </w:p>
    <w:p w14:paraId="7E25C65E" w14:textId="77777777" w:rsidR="00D44CF0" w:rsidRDefault="00D44CF0" w:rsidP="00DE1389">
      <w:pPr>
        <w:pStyle w:val="Bulletmain"/>
        <w:spacing w:before="2" w:after="2"/>
        <w:rPr>
          <w:rStyle w:val="CommentReference"/>
          <w:rFonts w:ascii="Times New Roman" w:hAnsi="Times New Roman"/>
          <w:noProof/>
        </w:rPr>
      </w:pPr>
      <w:r w:rsidRPr="00141DCF">
        <w:rPr>
          <w:rFonts w:ascii="Times New Roman" w:hAnsi="Times New Roman"/>
          <w:noProof/>
          <w:sz w:val="24"/>
          <w:szCs w:val="24"/>
        </w:rPr>
        <w:t>A generic timeframe is also provided by Council Decision 2008/633, which requires to exchange information “immediately and, in any case, no later than 60 days”.</w:t>
      </w:r>
      <w:r w:rsidRPr="00141DCF">
        <w:rPr>
          <w:rStyle w:val="FootnoteReference"/>
          <w:rFonts w:ascii="Times New Roman" w:hAnsi="Times New Roman"/>
          <w:noProof/>
          <w:sz w:val="24"/>
          <w:szCs w:val="24"/>
        </w:rPr>
        <w:footnoteReference w:id="330"/>
      </w:r>
      <w:r w:rsidRPr="00141DCF">
        <w:rPr>
          <w:rFonts w:ascii="Times New Roman" w:hAnsi="Times New Roman"/>
          <w:noProof/>
          <w:sz w:val="24"/>
          <w:szCs w:val="24"/>
        </w:rPr>
        <w:t xml:space="preserve"> Concerning the</w:t>
      </w:r>
      <w:r w:rsidRPr="00141DCF">
        <w:rPr>
          <w:rFonts w:ascii="Times New Roman" w:hAnsi="Times New Roman"/>
          <w:b/>
          <w:noProof/>
          <w:sz w:val="24"/>
          <w:szCs w:val="24"/>
        </w:rPr>
        <w:t xml:space="preserve"> </w:t>
      </w:r>
      <w:r w:rsidRPr="00141DCF">
        <w:rPr>
          <w:rFonts w:ascii="Times New Roman" w:hAnsi="Times New Roman"/>
          <w:noProof/>
          <w:sz w:val="24"/>
          <w:szCs w:val="24"/>
        </w:rPr>
        <w:t>language to be used, two relevant measures have been identified. Council Decision 2002/348 concerning security in connection with football matches with an international dimension states that “National football information points shall communicate in their own language, with a translation in a working language common to both sides, save as otherwise arranged between the parties concerned”</w:t>
      </w:r>
      <w:r w:rsidRPr="00141DCF">
        <w:rPr>
          <w:rStyle w:val="FootnoteReference"/>
          <w:rFonts w:ascii="Times New Roman" w:hAnsi="Times New Roman"/>
          <w:noProof/>
          <w:sz w:val="24"/>
          <w:szCs w:val="24"/>
        </w:rPr>
        <w:footnoteReference w:id="331"/>
      </w:r>
      <w:r w:rsidRPr="00141DCF">
        <w:rPr>
          <w:rFonts w:ascii="Times New Roman" w:hAnsi="Times New Roman"/>
          <w:noProof/>
          <w:sz w:val="24"/>
          <w:szCs w:val="24"/>
        </w:rPr>
        <w:t xml:space="preserve"> and the Naples II Convention requires that “Requests shall be submitted in an official language of the Member State of the requested authority or in a language acceptable to such authority”.</w:t>
      </w:r>
      <w:r w:rsidRPr="00141DCF">
        <w:rPr>
          <w:rStyle w:val="FootnoteReference"/>
          <w:rFonts w:ascii="Times New Roman" w:hAnsi="Times New Roman"/>
          <w:noProof/>
          <w:sz w:val="24"/>
          <w:szCs w:val="24"/>
        </w:rPr>
        <w:footnoteReference w:id="332"/>
      </w:r>
      <w:r w:rsidRPr="00141DCF">
        <w:rPr>
          <w:rFonts w:ascii="Times New Roman" w:hAnsi="Times New Roman"/>
          <w:noProof/>
          <w:sz w:val="24"/>
          <w:szCs w:val="24"/>
        </w:rPr>
        <w:t xml:space="preserve"> These measures are aimed to ensure that information is exchanged in a way that can be understood by the receiving Member State</w:t>
      </w:r>
      <w:r w:rsidR="00245FF0">
        <w:rPr>
          <w:rStyle w:val="CommentReference"/>
          <w:rFonts w:ascii="Times New Roman" w:hAnsi="Times New Roman"/>
          <w:noProof/>
        </w:rPr>
        <w:t>.</w:t>
      </w:r>
    </w:p>
    <w:p w14:paraId="3B5FC424" w14:textId="77777777" w:rsidR="00245FF0" w:rsidRDefault="00245FF0" w:rsidP="00DE1389">
      <w:pPr>
        <w:pStyle w:val="Bulletmain"/>
        <w:spacing w:before="2" w:after="2"/>
        <w:rPr>
          <w:rFonts w:cstheme="minorHAnsi"/>
          <w:noProof/>
        </w:rPr>
      </w:pPr>
    </w:p>
    <w:p w14:paraId="18243532" w14:textId="77777777" w:rsidR="00703884" w:rsidRPr="009C6EE0" w:rsidRDefault="00703884" w:rsidP="0068616C">
      <w:pPr>
        <w:pStyle w:val="Caption"/>
        <w:keepNext/>
        <w:jc w:val="center"/>
        <w:rPr>
          <w:noProof/>
          <w:lang w:val="en-GB"/>
        </w:rPr>
        <w:sectPr w:rsidR="00703884" w:rsidRPr="009C6EE0" w:rsidSect="0018362E">
          <w:headerReference w:type="even" r:id="rId51"/>
          <w:headerReference w:type="default" r:id="rId52"/>
          <w:footerReference w:type="even" r:id="rId53"/>
          <w:footerReference w:type="default" r:id="rId54"/>
          <w:headerReference w:type="first" r:id="rId55"/>
          <w:footerReference w:type="first" r:id="rId56"/>
          <w:pgSz w:w="11906" w:h="16838"/>
          <w:pgMar w:top="1134" w:right="1134" w:bottom="1134" w:left="1134" w:header="710" w:footer="710" w:gutter="0"/>
          <w:cols w:space="720"/>
          <w:titlePg/>
          <w:docGrid w:linePitch="272"/>
        </w:sectPr>
      </w:pPr>
    </w:p>
    <w:p w14:paraId="40197AA8" w14:textId="77777777" w:rsidR="0068616C" w:rsidRPr="00141DCF" w:rsidRDefault="0068616C" w:rsidP="0068616C">
      <w:pPr>
        <w:pStyle w:val="Caption"/>
        <w:keepNext/>
        <w:jc w:val="center"/>
        <w:rPr>
          <w:rFonts w:ascii="Times New Roman" w:hAnsi="Times New Roman"/>
          <w:noProof/>
          <w:sz w:val="24"/>
          <w:szCs w:val="24"/>
          <w:lang w:val="en-US"/>
        </w:rPr>
      </w:pPr>
      <w:r w:rsidRPr="00141DCF">
        <w:rPr>
          <w:rFonts w:ascii="Times New Roman" w:hAnsi="Times New Roman"/>
          <w:noProof/>
          <w:sz w:val="24"/>
          <w:szCs w:val="24"/>
          <w:lang w:val="en-US"/>
        </w:rPr>
        <w:t xml:space="preserve">Overview of the extent to which the issues identified in the </w:t>
      </w:r>
      <w:r w:rsidR="00703884" w:rsidRPr="00141DCF">
        <w:rPr>
          <w:rFonts w:ascii="Times New Roman" w:hAnsi="Times New Roman"/>
          <w:noProof/>
          <w:sz w:val="24"/>
          <w:szCs w:val="24"/>
          <w:lang w:val="en-US"/>
        </w:rPr>
        <w:t xml:space="preserve">Impact Assessment </w:t>
      </w:r>
      <w:r w:rsidRPr="00141DCF">
        <w:rPr>
          <w:rFonts w:ascii="Times New Roman" w:hAnsi="Times New Roman"/>
          <w:noProof/>
          <w:sz w:val="24"/>
          <w:szCs w:val="24"/>
          <w:lang w:val="en-US"/>
        </w:rPr>
        <w:t>are also reported in the Schengen Evaluation Reports</w:t>
      </w:r>
      <w:r w:rsidR="00703884" w:rsidRPr="00141DCF">
        <w:rPr>
          <w:rFonts w:ascii="Times New Roman" w:hAnsi="Times New Roman"/>
          <w:noProof/>
          <w:sz w:val="24"/>
          <w:szCs w:val="24"/>
          <w:lang w:val="en-US"/>
        </w:rPr>
        <w:t xml:space="preserve"> (2015-2019)</w:t>
      </w:r>
    </w:p>
    <w:p w14:paraId="2C83616A" w14:textId="77777777" w:rsidR="005F2038" w:rsidRPr="00141DCF" w:rsidRDefault="005F2038" w:rsidP="00DE1389">
      <w:pPr>
        <w:spacing w:after="120" w:line="240" w:lineRule="auto"/>
        <w:jc w:val="both"/>
        <w:rPr>
          <w:rFonts w:ascii="Times New Roman" w:hAnsi="Times New Roman" w:cs="Times New Roman"/>
          <w:noProof/>
          <w:sz w:val="24"/>
          <w:szCs w:val="24"/>
        </w:rPr>
      </w:pPr>
      <w:r w:rsidRPr="00141DCF">
        <w:rPr>
          <w:rFonts w:ascii="Times New Roman" w:hAnsi="Times New Roman" w:cs="Times New Roman"/>
          <w:noProof/>
          <w:sz w:val="24"/>
          <w:szCs w:val="24"/>
        </w:rPr>
        <w:t xml:space="preserve">The Schengen </w:t>
      </w:r>
      <w:r w:rsidRPr="00141DCF">
        <w:rPr>
          <w:rFonts w:ascii="Times New Roman" w:hAnsi="Times New Roman" w:cs="Times New Roman"/>
          <w:i/>
          <w:noProof/>
          <w:sz w:val="24"/>
          <w:szCs w:val="24"/>
        </w:rPr>
        <w:t>acquis</w:t>
      </w:r>
      <w:r w:rsidRPr="00141DCF">
        <w:rPr>
          <w:rFonts w:ascii="Times New Roman" w:hAnsi="Times New Roman" w:cs="Times New Roman"/>
          <w:noProof/>
          <w:sz w:val="24"/>
          <w:szCs w:val="24"/>
        </w:rPr>
        <w:t xml:space="preserve"> includes a wide-ranging and fast-developing set of rules as well as compensatory measures to counterbalance the absence of internal border controls. The Schengen Evaluation and Monitoring Mechanism monitors the implementation of the Schengen acquis by the countries that apply the Schengen acquis in part or in full. It also assesses the capacity of those countries where internal border controls have not yet been lifted to implement the Schengen acquis in full.</w:t>
      </w:r>
    </w:p>
    <w:p w14:paraId="473CE5F1" w14:textId="77777777" w:rsidR="005F2038" w:rsidRPr="00141DCF" w:rsidRDefault="005F2038" w:rsidP="00DE1389">
      <w:pPr>
        <w:spacing w:after="120" w:line="240" w:lineRule="auto"/>
        <w:jc w:val="both"/>
        <w:rPr>
          <w:rFonts w:ascii="Times New Roman" w:hAnsi="Times New Roman" w:cs="Times New Roman"/>
          <w:noProof/>
          <w:sz w:val="24"/>
          <w:szCs w:val="24"/>
        </w:rPr>
      </w:pPr>
      <w:r w:rsidRPr="00141DCF">
        <w:rPr>
          <w:rFonts w:ascii="Times New Roman" w:hAnsi="Times New Roman" w:cs="Times New Roman"/>
          <w:noProof/>
          <w:sz w:val="24"/>
          <w:szCs w:val="24"/>
        </w:rPr>
        <w:t xml:space="preserve">The Schengen Evaluation and Monitoring Mechanism assesses in particular, the implementation of measures in the areas of external borders, return, visa policy, </w:t>
      </w:r>
      <w:r w:rsidRPr="00141DCF">
        <w:rPr>
          <w:rFonts w:ascii="Times New Roman" w:hAnsi="Times New Roman" w:cs="Times New Roman"/>
          <w:b/>
          <w:noProof/>
          <w:sz w:val="24"/>
          <w:szCs w:val="24"/>
        </w:rPr>
        <w:t>police cooperation,</w:t>
      </w:r>
      <w:r w:rsidRPr="00141DCF">
        <w:rPr>
          <w:rFonts w:ascii="Times New Roman" w:hAnsi="Times New Roman" w:cs="Times New Roman"/>
          <w:noProof/>
          <w:sz w:val="24"/>
          <w:szCs w:val="24"/>
        </w:rPr>
        <w:t xml:space="preserve"> the Schengen Information System (SIS), data protection, and the absence of border control at internal borders. </w:t>
      </w:r>
    </w:p>
    <w:p w14:paraId="064E1E81" w14:textId="77777777" w:rsidR="005F2038" w:rsidRPr="00141DCF" w:rsidRDefault="005F2038" w:rsidP="00DE1389">
      <w:pPr>
        <w:spacing w:after="120" w:line="240" w:lineRule="auto"/>
        <w:jc w:val="both"/>
        <w:rPr>
          <w:rFonts w:ascii="Times New Roman" w:hAnsi="Times New Roman" w:cs="Times New Roman"/>
          <w:noProof/>
          <w:sz w:val="24"/>
          <w:szCs w:val="24"/>
        </w:rPr>
      </w:pPr>
      <w:r w:rsidRPr="00141DCF">
        <w:rPr>
          <w:rFonts w:ascii="Times New Roman" w:hAnsi="Times New Roman" w:cs="Times New Roman"/>
          <w:noProof/>
          <w:sz w:val="24"/>
          <w:szCs w:val="24"/>
        </w:rPr>
        <w:t xml:space="preserve">The Commission carries out evaluations over a five-year cycle following multiannual and annual programmes, together with experts from Member States as well as EU agencies that participate as observers. </w:t>
      </w:r>
    </w:p>
    <w:p w14:paraId="7DF4E711" w14:textId="77777777" w:rsidR="005F2038" w:rsidRPr="00141DCF" w:rsidRDefault="005F2038" w:rsidP="00DE1389">
      <w:pPr>
        <w:spacing w:after="120" w:line="240" w:lineRule="auto"/>
        <w:jc w:val="both"/>
        <w:rPr>
          <w:rFonts w:ascii="Times New Roman" w:hAnsi="Times New Roman" w:cs="Times New Roman"/>
          <w:noProof/>
          <w:sz w:val="24"/>
          <w:szCs w:val="24"/>
        </w:rPr>
      </w:pPr>
      <w:r w:rsidRPr="00141DCF">
        <w:rPr>
          <w:rFonts w:ascii="Times New Roman" w:hAnsi="Times New Roman" w:cs="Times New Roman"/>
          <w:noProof/>
          <w:sz w:val="24"/>
          <w:szCs w:val="24"/>
        </w:rPr>
        <w:t>Each country is evaluated at least once every five years. Additional ad-hoc evaluations in the form of unannounced evaluations or revisits can be organised, as required. Thematic evaluations are an additional tool for assessing the implementation of specific parts of the Schengen acquis across several countries at the same time. The figure below illustrates the five-year evaluations process.</w:t>
      </w:r>
    </w:p>
    <w:p w14:paraId="37517DD3" w14:textId="77777777" w:rsidR="005F2038" w:rsidRPr="00141DCF" w:rsidRDefault="005F2038" w:rsidP="00DE1389">
      <w:pPr>
        <w:spacing w:after="120" w:line="240" w:lineRule="auto"/>
        <w:jc w:val="both"/>
        <w:rPr>
          <w:rFonts w:ascii="Times New Roman" w:hAnsi="Times New Roman" w:cs="Times New Roman"/>
          <w:noProof/>
          <w:sz w:val="24"/>
          <w:szCs w:val="24"/>
        </w:rPr>
      </w:pPr>
      <w:r w:rsidRPr="00141DCF">
        <w:rPr>
          <w:rFonts w:ascii="Times New Roman" w:hAnsi="Times New Roman" w:cs="Times New Roman"/>
          <w:noProof/>
          <w:sz w:val="24"/>
          <w:szCs w:val="24"/>
        </w:rPr>
        <w:t>Evaluation reports are presented to the Schengen Committee (in which all Member States are represented) and, subject to its positive opinion, adopted by the Commission. Upon a Commission proposal, the Council adopts the recommendations to address any deficiencies identified in the evaluation reports, concluding the first phase of the evaluation. As a follow-up, the country concerned must submit an action plan listing the remedial actions to implement the Council recommendations. The Commission assesses the action plans in cooperation with the relevant evaluation experts. The evaluated country has an obligation to report on the progress made every three months. When all remedial actions have been taken, the Commission closes the evaluation concluding the second phase.</w:t>
      </w:r>
    </w:p>
    <w:p w14:paraId="4C54CADD" w14:textId="77777777" w:rsidR="000D6E86" w:rsidRPr="00141DCF" w:rsidRDefault="000D6E86" w:rsidP="00DE1389">
      <w:pPr>
        <w:spacing w:after="120" w:line="240" w:lineRule="auto"/>
        <w:jc w:val="both"/>
        <w:rPr>
          <w:rFonts w:ascii="Times New Roman" w:hAnsi="Times New Roman" w:cs="Times New Roman"/>
          <w:noProof/>
          <w:sz w:val="24"/>
          <w:szCs w:val="24"/>
        </w:rPr>
      </w:pPr>
    </w:p>
    <w:p w14:paraId="6BF75780" w14:textId="77777777" w:rsidR="000D6E86" w:rsidRPr="00141DCF" w:rsidRDefault="000D6E86" w:rsidP="00DE1389">
      <w:pPr>
        <w:spacing w:after="120" w:line="240" w:lineRule="auto"/>
        <w:jc w:val="both"/>
        <w:rPr>
          <w:rFonts w:ascii="Times New Roman" w:hAnsi="Times New Roman" w:cs="Times New Roman"/>
          <w:noProof/>
          <w:sz w:val="24"/>
          <w:szCs w:val="24"/>
        </w:rPr>
      </w:pPr>
    </w:p>
    <w:p w14:paraId="0AE4B3D4" w14:textId="77777777" w:rsidR="000D6E86" w:rsidRPr="00141DCF" w:rsidRDefault="000D6E86" w:rsidP="00DE1389">
      <w:pPr>
        <w:spacing w:after="120" w:line="240" w:lineRule="auto"/>
        <w:jc w:val="both"/>
        <w:rPr>
          <w:rFonts w:ascii="Times New Roman" w:hAnsi="Times New Roman" w:cs="Times New Roman"/>
          <w:noProof/>
          <w:sz w:val="24"/>
          <w:szCs w:val="24"/>
        </w:rPr>
      </w:pPr>
    </w:p>
    <w:p w14:paraId="02D375E8" w14:textId="77777777" w:rsidR="000D6E86" w:rsidRPr="00141DCF" w:rsidRDefault="000D6E86" w:rsidP="00DE1389">
      <w:pPr>
        <w:spacing w:after="120" w:line="240" w:lineRule="auto"/>
        <w:jc w:val="both"/>
        <w:rPr>
          <w:rFonts w:ascii="Times New Roman" w:hAnsi="Times New Roman" w:cs="Times New Roman"/>
          <w:noProof/>
          <w:sz w:val="24"/>
          <w:szCs w:val="24"/>
        </w:rPr>
      </w:pPr>
    </w:p>
    <w:p w14:paraId="055EE701" w14:textId="77777777" w:rsidR="000D6E86" w:rsidRPr="00141DCF" w:rsidRDefault="000D6E86" w:rsidP="00DE1389">
      <w:pPr>
        <w:spacing w:after="120" w:line="240" w:lineRule="auto"/>
        <w:jc w:val="both"/>
        <w:rPr>
          <w:rFonts w:ascii="Times New Roman" w:hAnsi="Times New Roman" w:cs="Times New Roman"/>
          <w:noProof/>
          <w:sz w:val="24"/>
          <w:szCs w:val="24"/>
        </w:rPr>
      </w:pPr>
    </w:p>
    <w:p w14:paraId="24D0BACE" w14:textId="77777777" w:rsidR="000D6E86" w:rsidRPr="00141DCF" w:rsidRDefault="000D6E86" w:rsidP="00DE1389">
      <w:pPr>
        <w:spacing w:after="120" w:line="240" w:lineRule="auto"/>
        <w:jc w:val="both"/>
        <w:rPr>
          <w:rFonts w:ascii="Times New Roman" w:hAnsi="Times New Roman" w:cs="Times New Roman"/>
          <w:noProof/>
          <w:sz w:val="24"/>
          <w:szCs w:val="24"/>
        </w:rPr>
      </w:pPr>
    </w:p>
    <w:p w14:paraId="769B2619" w14:textId="77777777" w:rsidR="000D6E86" w:rsidRPr="00141DCF" w:rsidRDefault="000D6E86" w:rsidP="00DE1389">
      <w:pPr>
        <w:spacing w:after="120" w:line="240" w:lineRule="auto"/>
        <w:jc w:val="both"/>
        <w:rPr>
          <w:rFonts w:ascii="Times New Roman" w:hAnsi="Times New Roman" w:cs="Times New Roman"/>
          <w:noProof/>
          <w:sz w:val="24"/>
          <w:szCs w:val="24"/>
        </w:rPr>
      </w:pPr>
    </w:p>
    <w:tbl>
      <w:tblPr>
        <w:tblW w:w="0" w:type="auto"/>
        <w:tblInd w:w="-743" w:type="dxa"/>
        <w:tblLayout w:type="fixed"/>
        <w:tblLook w:val="04A0" w:firstRow="1" w:lastRow="0" w:firstColumn="1" w:lastColumn="0" w:noHBand="0" w:noVBand="1"/>
      </w:tblPr>
      <w:tblGrid>
        <w:gridCol w:w="1418"/>
        <w:gridCol w:w="217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44"/>
        <w:gridCol w:w="648"/>
      </w:tblGrid>
      <w:tr w:rsidR="00F5634E" w:rsidRPr="001D5EAD" w14:paraId="033E2479" w14:textId="77777777" w:rsidTr="00DE1389">
        <w:trPr>
          <w:cantSplit/>
          <w:trHeight w:val="1134"/>
          <w:tblHeader/>
        </w:trPr>
        <w:tc>
          <w:tcPr>
            <w:tcW w:w="1418" w:type="dxa"/>
            <w:tcBorders>
              <w:top w:val="single" w:sz="4" w:space="0" w:color="FFFFFF"/>
              <w:left w:val="single" w:sz="4" w:space="0" w:color="FFFFFF"/>
              <w:bottom w:val="single" w:sz="4" w:space="0" w:color="FFFFFF"/>
              <w:right w:val="single" w:sz="4" w:space="0" w:color="FFFFFF"/>
            </w:tcBorders>
            <w:shd w:val="clear" w:color="000000" w:fill="00B0F0"/>
            <w:vAlign w:val="center"/>
            <w:hideMark/>
          </w:tcPr>
          <w:p w14:paraId="391183A8" w14:textId="77777777" w:rsidR="0068616C" w:rsidRPr="001D5EAD" w:rsidRDefault="0068616C" w:rsidP="0068616C">
            <w:pPr>
              <w:spacing w:after="0" w:line="240" w:lineRule="auto"/>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Core problem</w:t>
            </w:r>
          </w:p>
        </w:tc>
        <w:tc>
          <w:tcPr>
            <w:tcW w:w="2177" w:type="dxa"/>
            <w:tcBorders>
              <w:top w:val="single" w:sz="4" w:space="0" w:color="FFFFFF"/>
              <w:left w:val="nil"/>
              <w:bottom w:val="single" w:sz="4" w:space="0" w:color="FFFFFF"/>
              <w:right w:val="single" w:sz="4" w:space="0" w:color="FFFFFF"/>
            </w:tcBorders>
            <w:shd w:val="clear" w:color="000000" w:fill="00B0F0"/>
            <w:vAlign w:val="center"/>
            <w:hideMark/>
          </w:tcPr>
          <w:p w14:paraId="6FF49BEB" w14:textId="77777777" w:rsidR="0068616C" w:rsidRPr="001D5EAD" w:rsidRDefault="0068616C" w:rsidP="0068616C">
            <w:pPr>
              <w:spacing w:after="0" w:line="240" w:lineRule="auto"/>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Drivers</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160E890D"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AT</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46AC62CE"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BE</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5E5763AF"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CZ</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59980B29"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DE</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38F114E3"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DK</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13BB1F03"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EE</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0CA161B4"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EL</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262DDEEE"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ES</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48CE0E34"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FI</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2403AE25"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FR</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3C3C7F55"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HR</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77EDBB10"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HU</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762E572F"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IT</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6AD3A85F"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LT</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54EF3FEB"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LU</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7973FA80"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LV</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715E026C"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MT</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3E8FE83D"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NL</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31CD4181"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PL</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2A56C76F"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PT</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5E2DB16F"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SE</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19FCCD70"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SI</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1261FA90"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SK</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53D6149E"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CH</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56E1D4FA"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IS</w:t>
            </w:r>
          </w:p>
        </w:tc>
        <w:tc>
          <w:tcPr>
            <w:tcW w:w="417" w:type="dxa"/>
            <w:tcBorders>
              <w:top w:val="single" w:sz="4" w:space="0" w:color="FFFFFF"/>
              <w:left w:val="nil"/>
              <w:bottom w:val="single" w:sz="4" w:space="0" w:color="FFFFFF"/>
              <w:right w:val="single" w:sz="4" w:space="0" w:color="FFFFFF"/>
            </w:tcBorders>
            <w:shd w:val="clear" w:color="000000" w:fill="00B0F0"/>
            <w:textDirection w:val="btLr"/>
            <w:vAlign w:val="center"/>
            <w:hideMark/>
          </w:tcPr>
          <w:p w14:paraId="30B46405"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LI</w:t>
            </w:r>
          </w:p>
        </w:tc>
        <w:tc>
          <w:tcPr>
            <w:tcW w:w="444" w:type="dxa"/>
            <w:tcBorders>
              <w:top w:val="single" w:sz="4" w:space="0" w:color="FFFFFF"/>
              <w:left w:val="nil"/>
              <w:bottom w:val="single" w:sz="4" w:space="0" w:color="FFFFFF"/>
              <w:right w:val="single" w:sz="4" w:space="0" w:color="FFFFFF"/>
            </w:tcBorders>
            <w:shd w:val="clear" w:color="000000" w:fill="A6A6A6"/>
            <w:textDirection w:val="btLr"/>
            <w:vAlign w:val="center"/>
            <w:hideMark/>
          </w:tcPr>
          <w:p w14:paraId="136DEE8F"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Total</w:t>
            </w:r>
          </w:p>
        </w:tc>
        <w:tc>
          <w:tcPr>
            <w:tcW w:w="648" w:type="dxa"/>
            <w:tcBorders>
              <w:top w:val="single" w:sz="4" w:space="0" w:color="FFFFFF"/>
              <w:left w:val="nil"/>
              <w:bottom w:val="single" w:sz="4" w:space="0" w:color="FFFFFF"/>
              <w:right w:val="single" w:sz="4" w:space="0" w:color="FFFFFF"/>
            </w:tcBorders>
            <w:shd w:val="clear" w:color="000000" w:fill="A6A6A6"/>
            <w:textDirection w:val="btLr"/>
            <w:vAlign w:val="center"/>
            <w:hideMark/>
          </w:tcPr>
          <w:p w14:paraId="7B659626" w14:textId="77777777" w:rsidR="0068616C" w:rsidRPr="001D5EAD" w:rsidRDefault="0068616C" w:rsidP="0068616C">
            <w:pPr>
              <w:spacing w:after="0" w:line="240" w:lineRule="auto"/>
              <w:ind w:left="113" w:right="113"/>
              <w:jc w:val="center"/>
              <w:rPr>
                <w:rFonts w:ascii="Verdana" w:eastAsia="Times New Roman" w:hAnsi="Verdana" w:cs="Calibri"/>
                <w:b/>
                <w:bCs/>
                <w:noProof/>
                <w:color w:val="FFFFFF" w:themeColor="background1"/>
                <w:sz w:val="16"/>
                <w:szCs w:val="16"/>
                <w:lang w:eastAsia="en-GB"/>
              </w:rPr>
            </w:pPr>
            <w:r w:rsidRPr="001D5EAD">
              <w:rPr>
                <w:rFonts w:ascii="Verdana" w:eastAsia="Times New Roman" w:hAnsi="Verdana" w:cs="Calibri"/>
                <w:b/>
                <w:bCs/>
                <w:noProof/>
                <w:color w:val="FFFFFF" w:themeColor="background1"/>
                <w:sz w:val="16"/>
                <w:szCs w:val="16"/>
                <w:lang w:eastAsia="en-GB"/>
              </w:rPr>
              <w:t>Share of countries</w:t>
            </w:r>
          </w:p>
        </w:tc>
      </w:tr>
      <w:tr w:rsidR="0068616C" w:rsidRPr="001D5EAD" w14:paraId="17E9FD4E" w14:textId="77777777" w:rsidTr="00DE1389">
        <w:trPr>
          <w:trHeight w:val="240"/>
        </w:trPr>
        <w:tc>
          <w:tcPr>
            <w:tcW w:w="1418" w:type="dxa"/>
            <w:vMerge w:val="restart"/>
            <w:tcBorders>
              <w:top w:val="single" w:sz="4" w:space="0" w:color="FFFFFF"/>
              <w:left w:val="single" w:sz="4" w:space="0" w:color="FFFFFF"/>
              <w:right w:val="single" w:sz="4" w:space="0" w:color="FFFFFF"/>
            </w:tcBorders>
            <w:shd w:val="clear" w:color="auto" w:fill="9BC2E6"/>
            <w:vAlign w:val="center"/>
            <w:hideMark/>
          </w:tcPr>
          <w:p w14:paraId="0209E265" w14:textId="77777777" w:rsidR="0068616C" w:rsidRPr="00703884" w:rsidRDefault="00703884" w:rsidP="00703884">
            <w:pPr>
              <w:spacing w:after="0" w:line="240" w:lineRule="auto"/>
              <w:jc w:val="center"/>
              <w:rPr>
                <w:rFonts w:ascii="Verdana" w:eastAsia="Times New Roman" w:hAnsi="Verdana" w:cs="Calibri"/>
                <w:b/>
                <w:bCs/>
                <w:noProof/>
                <w:color w:val="000000"/>
                <w:sz w:val="16"/>
                <w:szCs w:val="16"/>
                <w:lang w:eastAsia="en-GB"/>
              </w:rPr>
            </w:pPr>
            <w:r w:rsidRPr="00DE1389">
              <w:rPr>
                <w:rFonts w:ascii="Verdana" w:hAnsi="Verdana" w:cs="Times New Roman"/>
                <w:b/>
                <w:noProof/>
                <w:sz w:val="16"/>
              </w:rPr>
              <w:t xml:space="preserve">Law enforcement authorities </w:t>
            </w:r>
            <w:r>
              <w:rPr>
                <w:rFonts w:ascii="Verdana" w:hAnsi="Verdana" w:cs="Times New Roman"/>
                <w:b/>
                <w:noProof/>
                <w:sz w:val="16"/>
              </w:rPr>
              <w:br/>
            </w:r>
            <w:r w:rsidRPr="00DE1389">
              <w:rPr>
                <w:rFonts w:ascii="Verdana" w:hAnsi="Verdana" w:cs="Times New Roman"/>
                <w:b/>
                <w:noProof/>
                <w:sz w:val="16"/>
              </w:rPr>
              <w:t>do not effectively and efficiently exchange information with their partners in other Member States</w:t>
            </w:r>
            <w:r w:rsidRPr="00DE1389">
              <w:rPr>
                <w:rFonts w:ascii="Verdana" w:eastAsia="Times New Roman" w:hAnsi="Verdana" w:cs="Calibri"/>
                <w:b/>
                <w:bCs/>
                <w:noProof/>
                <w:color w:val="000000"/>
                <w:sz w:val="12"/>
                <w:szCs w:val="16"/>
                <w:lang w:eastAsia="en-GB"/>
              </w:rPr>
              <w:t xml:space="preserve"> </w:t>
            </w:r>
          </w:p>
        </w:tc>
        <w:tc>
          <w:tcPr>
            <w:tcW w:w="14111" w:type="dxa"/>
            <w:gridSpan w:val="29"/>
            <w:tcBorders>
              <w:top w:val="single" w:sz="4" w:space="0" w:color="FFFFFF"/>
              <w:left w:val="nil"/>
              <w:bottom w:val="single" w:sz="4" w:space="0" w:color="FFFFFF"/>
              <w:right w:val="single" w:sz="4" w:space="0" w:color="FFFFFF"/>
            </w:tcBorders>
            <w:shd w:val="clear" w:color="000000" w:fill="9BC2E6"/>
            <w:vAlign w:val="center"/>
            <w:hideMark/>
          </w:tcPr>
          <w:p w14:paraId="503EE528"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Difficulties in the implementation of relevant EU provisions</w:t>
            </w:r>
          </w:p>
        </w:tc>
      </w:tr>
      <w:tr w:rsidR="00F5634E" w:rsidRPr="001D5EAD" w14:paraId="2CE7746F" w14:textId="77777777" w:rsidTr="009C6EE0">
        <w:trPr>
          <w:trHeight w:val="675"/>
        </w:trPr>
        <w:tc>
          <w:tcPr>
            <w:tcW w:w="1418" w:type="dxa"/>
            <w:vMerge/>
            <w:tcBorders>
              <w:left w:val="single" w:sz="4" w:space="0" w:color="FFFFFF"/>
              <w:right w:val="single" w:sz="4" w:space="0" w:color="FFFFFF"/>
            </w:tcBorders>
            <w:shd w:val="clear" w:color="auto" w:fill="9BC2E6"/>
            <w:vAlign w:val="center"/>
            <w:hideMark/>
          </w:tcPr>
          <w:p w14:paraId="06A75A01"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000000" w:fill="DDEBF7"/>
            <w:vAlign w:val="center"/>
            <w:hideMark/>
          </w:tcPr>
          <w:p w14:paraId="5D348279" w14:textId="77777777" w:rsidR="0068616C" w:rsidRPr="003C3CB5" w:rsidRDefault="0068616C" w:rsidP="0068616C">
            <w:pPr>
              <w:spacing w:after="0" w:line="240" w:lineRule="auto"/>
              <w:rPr>
                <w:rFonts w:ascii="Verdana" w:eastAsia="Times New Roman" w:hAnsi="Verdana" w:cs="Calibri"/>
                <w:i/>
                <w:iCs/>
                <w:noProof/>
                <w:color w:val="000000"/>
                <w:sz w:val="14"/>
                <w:szCs w:val="14"/>
                <w:lang w:eastAsia="en-GB"/>
              </w:rPr>
            </w:pPr>
            <w:r w:rsidRPr="003C3CB5">
              <w:rPr>
                <w:rFonts w:ascii="Verdana" w:eastAsia="Times New Roman" w:hAnsi="Verdana" w:cs="Calibri"/>
                <w:i/>
                <w:iCs/>
                <w:noProof/>
                <w:color w:val="000000"/>
                <w:sz w:val="14"/>
                <w:szCs w:val="14"/>
                <w:lang w:eastAsia="en-GB"/>
              </w:rPr>
              <w:t xml:space="preserve">Some requirements set in the SFD are unclear and (unnecessarily) complex </w:t>
            </w:r>
          </w:p>
        </w:tc>
        <w:tc>
          <w:tcPr>
            <w:tcW w:w="417" w:type="dxa"/>
            <w:tcBorders>
              <w:top w:val="nil"/>
              <w:left w:val="nil"/>
              <w:bottom w:val="single" w:sz="4" w:space="0" w:color="FFFFFF"/>
              <w:right w:val="single" w:sz="4" w:space="0" w:color="FFFFFF"/>
            </w:tcBorders>
            <w:shd w:val="clear" w:color="000000" w:fill="F2F2F2"/>
            <w:vAlign w:val="center"/>
            <w:hideMark/>
          </w:tcPr>
          <w:p w14:paraId="427E38F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7F5B5F5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F65C57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E54D12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6E983B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76DD6B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BD249B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2D64117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72FF878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4FFE485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692906F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65FE279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242E76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BB5840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D96362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46A7CEC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2EB3AD7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3E13530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0665EDD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F6336D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C3AA93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17BAE0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0CF273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620546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153C59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5CF420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44" w:type="dxa"/>
            <w:tcBorders>
              <w:top w:val="nil"/>
              <w:left w:val="nil"/>
              <w:bottom w:val="single" w:sz="4" w:space="0" w:color="FFFFFF"/>
              <w:right w:val="single" w:sz="4" w:space="0" w:color="FFFFFF"/>
            </w:tcBorders>
            <w:shd w:val="clear" w:color="000000" w:fill="D9D9D9"/>
            <w:noWrap/>
            <w:vAlign w:val="center"/>
            <w:hideMark/>
          </w:tcPr>
          <w:p w14:paraId="5B26395A"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19</w:t>
            </w:r>
          </w:p>
        </w:tc>
        <w:tc>
          <w:tcPr>
            <w:tcW w:w="648" w:type="dxa"/>
            <w:tcBorders>
              <w:top w:val="nil"/>
              <w:left w:val="nil"/>
              <w:bottom w:val="single" w:sz="4" w:space="0" w:color="FFFFFF"/>
              <w:right w:val="single" w:sz="4" w:space="0" w:color="FFFFFF"/>
            </w:tcBorders>
            <w:shd w:val="clear" w:color="000000" w:fill="D9D9D9"/>
            <w:noWrap/>
            <w:vAlign w:val="center"/>
            <w:hideMark/>
          </w:tcPr>
          <w:p w14:paraId="64730DDB"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73%</w:t>
            </w:r>
          </w:p>
        </w:tc>
      </w:tr>
      <w:tr w:rsidR="00F5634E" w:rsidRPr="001D5EAD" w14:paraId="5666BDC1" w14:textId="77777777" w:rsidTr="009C6EE0">
        <w:trPr>
          <w:trHeight w:val="450"/>
        </w:trPr>
        <w:tc>
          <w:tcPr>
            <w:tcW w:w="1418" w:type="dxa"/>
            <w:vMerge/>
            <w:tcBorders>
              <w:left w:val="single" w:sz="4" w:space="0" w:color="FFFFFF"/>
              <w:right w:val="single" w:sz="4" w:space="0" w:color="FFFFFF"/>
            </w:tcBorders>
            <w:shd w:val="clear" w:color="auto" w:fill="9BC2E6"/>
            <w:vAlign w:val="center"/>
            <w:hideMark/>
          </w:tcPr>
          <w:p w14:paraId="466A930D"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000000" w:fill="DDEBF7"/>
            <w:vAlign w:val="center"/>
            <w:hideMark/>
          </w:tcPr>
          <w:p w14:paraId="01983391" w14:textId="77777777" w:rsidR="0068616C" w:rsidRPr="003C3CB5" w:rsidRDefault="0068616C" w:rsidP="0068616C">
            <w:pPr>
              <w:spacing w:after="0" w:line="240" w:lineRule="auto"/>
              <w:rPr>
                <w:rFonts w:ascii="Verdana" w:eastAsia="Times New Roman" w:hAnsi="Verdana" w:cs="Calibri"/>
                <w:i/>
                <w:iCs/>
                <w:noProof/>
                <w:color w:val="000000"/>
                <w:sz w:val="14"/>
                <w:szCs w:val="14"/>
                <w:lang w:eastAsia="en-GB"/>
              </w:rPr>
            </w:pPr>
            <w:r w:rsidRPr="003C3CB5">
              <w:rPr>
                <w:rFonts w:ascii="Verdana" w:eastAsia="Times New Roman" w:hAnsi="Verdana" w:cs="Calibri"/>
                <w:i/>
                <w:iCs/>
                <w:noProof/>
                <w:color w:val="000000"/>
                <w:sz w:val="14"/>
                <w:szCs w:val="14"/>
                <w:lang w:eastAsia="en-GB"/>
              </w:rPr>
              <w:t xml:space="preserve">Uncertainties in the use of the proper legal basis </w:t>
            </w:r>
          </w:p>
        </w:tc>
        <w:tc>
          <w:tcPr>
            <w:tcW w:w="417" w:type="dxa"/>
            <w:tcBorders>
              <w:top w:val="nil"/>
              <w:left w:val="nil"/>
              <w:bottom w:val="single" w:sz="4" w:space="0" w:color="FFFFFF"/>
              <w:right w:val="single" w:sz="4" w:space="0" w:color="FFFFFF"/>
            </w:tcBorders>
            <w:shd w:val="clear" w:color="000000" w:fill="F2F2F2"/>
            <w:vAlign w:val="center"/>
            <w:hideMark/>
          </w:tcPr>
          <w:p w14:paraId="46FEECF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3CD658F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061EC8E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660D237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2116BA9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0001005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41768FA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7C72AEA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56A3E77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68F4423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7D9CD40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047E01A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7112550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67550D4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44EBB39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21565EC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097FFDB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0E346EF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0C925A7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65A470E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708CFFB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6C3A5A6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15AC171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05FE7AD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0EBB476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41AEDDD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44" w:type="dxa"/>
            <w:tcBorders>
              <w:top w:val="nil"/>
              <w:left w:val="nil"/>
              <w:bottom w:val="single" w:sz="4" w:space="0" w:color="FFFFFF"/>
              <w:right w:val="single" w:sz="4" w:space="0" w:color="FFFFFF"/>
            </w:tcBorders>
            <w:shd w:val="clear" w:color="000000" w:fill="D9D9D9"/>
            <w:noWrap/>
            <w:vAlign w:val="center"/>
            <w:hideMark/>
          </w:tcPr>
          <w:p w14:paraId="6C821789"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7</w:t>
            </w:r>
          </w:p>
        </w:tc>
        <w:tc>
          <w:tcPr>
            <w:tcW w:w="648" w:type="dxa"/>
            <w:tcBorders>
              <w:top w:val="nil"/>
              <w:left w:val="nil"/>
              <w:bottom w:val="single" w:sz="4" w:space="0" w:color="FFFFFF"/>
              <w:right w:val="single" w:sz="4" w:space="0" w:color="FFFFFF"/>
            </w:tcBorders>
            <w:shd w:val="clear" w:color="000000" w:fill="D9D9D9"/>
            <w:noWrap/>
            <w:vAlign w:val="center"/>
            <w:hideMark/>
          </w:tcPr>
          <w:p w14:paraId="55CDE212"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27%</w:t>
            </w:r>
          </w:p>
        </w:tc>
      </w:tr>
      <w:tr w:rsidR="0068616C" w:rsidRPr="001D5EAD" w14:paraId="6B1F02C1" w14:textId="77777777" w:rsidTr="009C6EE0">
        <w:trPr>
          <w:trHeight w:val="240"/>
        </w:trPr>
        <w:tc>
          <w:tcPr>
            <w:tcW w:w="1418" w:type="dxa"/>
            <w:vMerge/>
            <w:tcBorders>
              <w:left w:val="single" w:sz="4" w:space="0" w:color="FFFFFF"/>
              <w:right w:val="single" w:sz="4" w:space="0" w:color="FFFFFF"/>
            </w:tcBorders>
            <w:shd w:val="clear" w:color="auto" w:fill="9BC2E6"/>
            <w:vAlign w:val="center"/>
            <w:hideMark/>
          </w:tcPr>
          <w:p w14:paraId="3E8A8090"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14111" w:type="dxa"/>
            <w:gridSpan w:val="29"/>
            <w:tcBorders>
              <w:top w:val="single" w:sz="4" w:space="0" w:color="FFFFFF"/>
              <w:left w:val="nil"/>
              <w:bottom w:val="single" w:sz="4" w:space="0" w:color="FFFFFF"/>
              <w:right w:val="single" w:sz="4" w:space="0" w:color="FFFFFF"/>
            </w:tcBorders>
            <w:shd w:val="clear" w:color="000000" w:fill="9BC2E6"/>
            <w:vAlign w:val="center"/>
            <w:hideMark/>
          </w:tcPr>
          <w:p w14:paraId="6272D9EB"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Insufficient knowledge of existing mechanisms, skill gaps and outdated IT infrastructures</w:t>
            </w:r>
          </w:p>
        </w:tc>
      </w:tr>
      <w:tr w:rsidR="00F5634E" w:rsidRPr="001D5EAD" w14:paraId="0C2DCE08" w14:textId="77777777" w:rsidTr="009C6EE0">
        <w:trPr>
          <w:trHeight w:val="675"/>
        </w:trPr>
        <w:tc>
          <w:tcPr>
            <w:tcW w:w="1418" w:type="dxa"/>
            <w:vMerge/>
            <w:tcBorders>
              <w:left w:val="single" w:sz="4" w:space="0" w:color="FFFFFF"/>
              <w:right w:val="single" w:sz="4" w:space="0" w:color="FFFFFF"/>
            </w:tcBorders>
            <w:shd w:val="clear" w:color="auto" w:fill="9BC2E6"/>
            <w:vAlign w:val="center"/>
            <w:hideMark/>
          </w:tcPr>
          <w:p w14:paraId="1FB9A605"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000000" w:fill="DDEBF7"/>
            <w:vAlign w:val="center"/>
            <w:hideMark/>
          </w:tcPr>
          <w:p w14:paraId="3022C3B1" w14:textId="77777777" w:rsidR="0068616C" w:rsidRPr="003C3CB5" w:rsidRDefault="0068616C" w:rsidP="0068616C">
            <w:pPr>
              <w:spacing w:after="0" w:line="240" w:lineRule="auto"/>
              <w:rPr>
                <w:rFonts w:ascii="Verdana" w:eastAsia="Times New Roman" w:hAnsi="Verdana" w:cs="Calibri"/>
                <w:i/>
                <w:iCs/>
                <w:noProof/>
                <w:color w:val="000000"/>
                <w:sz w:val="14"/>
                <w:szCs w:val="14"/>
                <w:lang w:eastAsia="en-GB"/>
              </w:rPr>
            </w:pPr>
            <w:r w:rsidRPr="003C3CB5">
              <w:rPr>
                <w:rFonts w:ascii="Verdana" w:eastAsia="Times New Roman" w:hAnsi="Verdana" w:cs="Calibri"/>
                <w:i/>
                <w:iCs/>
                <w:noProof/>
                <w:color w:val="000000"/>
                <w:sz w:val="14"/>
                <w:szCs w:val="14"/>
                <w:lang w:eastAsia="en-GB"/>
              </w:rPr>
              <w:t>National LEAs have limited awareness and knowledge of relevant databases</w:t>
            </w:r>
          </w:p>
        </w:tc>
        <w:tc>
          <w:tcPr>
            <w:tcW w:w="417" w:type="dxa"/>
            <w:tcBorders>
              <w:top w:val="nil"/>
              <w:left w:val="nil"/>
              <w:bottom w:val="single" w:sz="4" w:space="0" w:color="FFFFFF"/>
              <w:right w:val="single" w:sz="4" w:space="0" w:color="FFFFFF"/>
            </w:tcBorders>
            <w:shd w:val="clear" w:color="000000" w:fill="F2F2F2"/>
            <w:vAlign w:val="center"/>
            <w:hideMark/>
          </w:tcPr>
          <w:p w14:paraId="40BA27C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4094EC4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2C38A08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137435B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C3E587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ED3DD8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10E5CB2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AB035F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514376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39E33F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73DA5B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30B1C6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7C4E24E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CEA078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192EE79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77630E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C3F644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6F7383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534347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7ECE036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064C95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758D5A2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AC9AAC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5A91E6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40069A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EE103E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44" w:type="dxa"/>
            <w:tcBorders>
              <w:top w:val="nil"/>
              <w:left w:val="nil"/>
              <w:bottom w:val="single" w:sz="4" w:space="0" w:color="FFFFFF"/>
              <w:right w:val="single" w:sz="4" w:space="0" w:color="FFFFFF"/>
            </w:tcBorders>
            <w:shd w:val="clear" w:color="000000" w:fill="D9D9D9"/>
            <w:noWrap/>
            <w:vAlign w:val="center"/>
            <w:hideMark/>
          </w:tcPr>
          <w:p w14:paraId="695F9A85"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24</w:t>
            </w:r>
          </w:p>
        </w:tc>
        <w:tc>
          <w:tcPr>
            <w:tcW w:w="648" w:type="dxa"/>
            <w:tcBorders>
              <w:top w:val="nil"/>
              <w:left w:val="nil"/>
              <w:bottom w:val="single" w:sz="4" w:space="0" w:color="FFFFFF"/>
              <w:right w:val="single" w:sz="4" w:space="0" w:color="FFFFFF"/>
            </w:tcBorders>
            <w:shd w:val="clear" w:color="000000" w:fill="D9D9D9"/>
            <w:noWrap/>
            <w:vAlign w:val="center"/>
            <w:hideMark/>
          </w:tcPr>
          <w:p w14:paraId="13B7C5D9"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92%</w:t>
            </w:r>
          </w:p>
        </w:tc>
      </w:tr>
      <w:tr w:rsidR="00F5634E" w:rsidRPr="001D5EAD" w14:paraId="3598BA79" w14:textId="77777777" w:rsidTr="009C6EE0">
        <w:trPr>
          <w:trHeight w:val="675"/>
        </w:trPr>
        <w:tc>
          <w:tcPr>
            <w:tcW w:w="1418" w:type="dxa"/>
            <w:vMerge/>
            <w:tcBorders>
              <w:left w:val="single" w:sz="4" w:space="0" w:color="FFFFFF"/>
              <w:right w:val="single" w:sz="4" w:space="0" w:color="FFFFFF"/>
            </w:tcBorders>
            <w:shd w:val="clear" w:color="auto" w:fill="9BC2E6"/>
            <w:vAlign w:val="center"/>
            <w:hideMark/>
          </w:tcPr>
          <w:p w14:paraId="5445C539"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000000" w:fill="DDEBF7"/>
            <w:vAlign w:val="center"/>
            <w:hideMark/>
          </w:tcPr>
          <w:p w14:paraId="13ABFE04" w14:textId="77777777" w:rsidR="0068616C" w:rsidRPr="003C3CB5" w:rsidRDefault="0068616C" w:rsidP="0068616C">
            <w:pPr>
              <w:spacing w:after="0" w:line="240" w:lineRule="auto"/>
              <w:rPr>
                <w:rFonts w:ascii="Verdana" w:eastAsia="Times New Roman" w:hAnsi="Verdana" w:cs="Calibri"/>
                <w:i/>
                <w:iCs/>
                <w:noProof/>
                <w:color w:val="000000"/>
                <w:sz w:val="14"/>
                <w:szCs w:val="14"/>
                <w:lang w:eastAsia="en-GB"/>
              </w:rPr>
            </w:pPr>
            <w:r w:rsidRPr="003C3CB5">
              <w:rPr>
                <w:rFonts w:ascii="Verdana" w:eastAsia="Times New Roman" w:hAnsi="Verdana" w:cs="Calibri"/>
                <w:i/>
                <w:iCs/>
                <w:noProof/>
                <w:color w:val="000000"/>
                <w:sz w:val="14"/>
                <w:szCs w:val="14"/>
                <w:lang w:eastAsia="en-GB"/>
              </w:rPr>
              <w:t xml:space="preserve">Limited offer of training that is focused on cross-border law enforcement cooperation </w:t>
            </w:r>
          </w:p>
        </w:tc>
        <w:tc>
          <w:tcPr>
            <w:tcW w:w="417" w:type="dxa"/>
            <w:tcBorders>
              <w:top w:val="nil"/>
              <w:left w:val="nil"/>
              <w:bottom w:val="single" w:sz="4" w:space="0" w:color="FFFFFF"/>
              <w:right w:val="single" w:sz="4" w:space="0" w:color="FFFFFF"/>
            </w:tcBorders>
            <w:shd w:val="clear" w:color="000000" w:fill="002060"/>
            <w:vAlign w:val="center"/>
            <w:hideMark/>
          </w:tcPr>
          <w:p w14:paraId="483C9EE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58A9717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7771CE3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64022AB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422CA00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504945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5BBCDA3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770BC09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18E99BC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5092F0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5C5DF94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1C32166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8924AE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F515A5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F027E5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7DB589D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387542A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58B338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844654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2ED7D0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BE3410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842733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784A4B3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5342EB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4DF1AD2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4B8C764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44" w:type="dxa"/>
            <w:tcBorders>
              <w:top w:val="nil"/>
              <w:left w:val="nil"/>
              <w:bottom w:val="single" w:sz="4" w:space="0" w:color="FFFFFF"/>
              <w:right w:val="single" w:sz="4" w:space="0" w:color="FFFFFF"/>
            </w:tcBorders>
            <w:shd w:val="clear" w:color="000000" w:fill="D9D9D9"/>
            <w:noWrap/>
            <w:vAlign w:val="center"/>
            <w:hideMark/>
          </w:tcPr>
          <w:p w14:paraId="66A16138"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20</w:t>
            </w:r>
          </w:p>
        </w:tc>
        <w:tc>
          <w:tcPr>
            <w:tcW w:w="648" w:type="dxa"/>
            <w:tcBorders>
              <w:top w:val="nil"/>
              <w:left w:val="nil"/>
              <w:bottom w:val="single" w:sz="4" w:space="0" w:color="FFFFFF"/>
              <w:right w:val="single" w:sz="4" w:space="0" w:color="FFFFFF"/>
            </w:tcBorders>
            <w:shd w:val="clear" w:color="000000" w:fill="D9D9D9"/>
            <w:noWrap/>
            <w:vAlign w:val="center"/>
            <w:hideMark/>
          </w:tcPr>
          <w:p w14:paraId="581B97BB"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77%</w:t>
            </w:r>
          </w:p>
        </w:tc>
      </w:tr>
      <w:tr w:rsidR="00F5634E" w:rsidRPr="001D5EAD" w14:paraId="41CAA23C" w14:textId="77777777" w:rsidTr="009C6EE0">
        <w:trPr>
          <w:trHeight w:val="675"/>
        </w:trPr>
        <w:tc>
          <w:tcPr>
            <w:tcW w:w="1418" w:type="dxa"/>
            <w:vMerge/>
            <w:tcBorders>
              <w:left w:val="single" w:sz="4" w:space="0" w:color="FFFFFF"/>
              <w:right w:val="single" w:sz="4" w:space="0" w:color="FFFFFF"/>
            </w:tcBorders>
            <w:shd w:val="clear" w:color="auto" w:fill="9BC2E6"/>
            <w:vAlign w:val="center"/>
            <w:hideMark/>
          </w:tcPr>
          <w:p w14:paraId="3F36901F"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000000" w:fill="DDEBF7"/>
            <w:vAlign w:val="center"/>
            <w:hideMark/>
          </w:tcPr>
          <w:p w14:paraId="2B43B8C6" w14:textId="77777777" w:rsidR="0068616C" w:rsidRPr="003C3CB5" w:rsidRDefault="0068616C" w:rsidP="0068616C">
            <w:pPr>
              <w:spacing w:after="0" w:line="240" w:lineRule="auto"/>
              <w:rPr>
                <w:rFonts w:ascii="Verdana" w:eastAsia="Times New Roman" w:hAnsi="Verdana" w:cs="Calibri"/>
                <w:i/>
                <w:iCs/>
                <w:noProof/>
                <w:color w:val="000000"/>
                <w:sz w:val="14"/>
                <w:szCs w:val="14"/>
                <w:lang w:eastAsia="en-GB"/>
              </w:rPr>
            </w:pPr>
            <w:r w:rsidRPr="003C3CB5">
              <w:rPr>
                <w:rFonts w:ascii="Verdana" w:eastAsia="Times New Roman" w:hAnsi="Verdana" w:cs="Calibri"/>
                <w:i/>
                <w:iCs/>
                <w:noProof/>
                <w:color w:val="000000"/>
                <w:sz w:val="14"/>
                <w:szCs w:val="14"/>
                <w:lang w:eastAsia="en-GB"/>
              </w:rPr>
              <w:t>Language barriers hamper the cross-border exchange of information</w:t>
            </w:r>
          </w:p>
        </w:tc>
        <w:tc>
          <w:tcPr>
            <w:tcW w:w="417" w:type="dxa"/>
            <w:tcBorders>
              <w:top w:val="nil"/>
              <w:left w:val="nil"/>
              <w:bottom w:val="single" w:sz="4" w:space="0" w:color="FFFFFF"/>
              <w:right w:val="single" w:sz="4" w:space="0" w:color="FFFFFF"/>
            </w:tcBorders>
            <w:shd w:val="clear" w:color="000000" w:fill="002060"/>
            <w:vAlign w:val="center"/>
            <w:hideMark/>
          </w:tcPr>
          <w:p w14:paraId="601450A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066716E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3BE53AA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640924F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4DDBE5F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0811B3C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2A29E57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454740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6F3DEB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64B34EA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4DDDE79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509594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2B3BE9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4A32B4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22C011C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3D76774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04CAA7E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6D98ED5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1ED6E07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346D89B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69485D6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183466A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2D51EE0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3B255D9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2383EB3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16E30E1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44" w:type="dxa"/>
            <w:tcBorders>
              <w:top w:val="nil"/>
              <w:left w:val="nil"/>
              <w:bottom w:val="single" w:sz="4" w:space="0" w:color="FFFFFF"/>
              <w:right w:val="single" w:sz="4" w:space="0" w:color="FFFFFF"/>
            </w:tcBorders>
            <w:shd w:val="clear" w:color="000000" w:fill="D9D9D9"/>
            <w:noWrap/>
            <w:vAlign w:val="center"/>
            <w:hideMark/>
          </w:tcPr>
          <w:p w14:paraId="1F9F9CC3"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12</w:t>
            </w:r>
          </w:p>
        </w:tc>
        <w:tc>
          <w:tcPr>
            <w:tcW w:w="648" w:type="dxa"/>
            <w:tcBorders>
              <w:top w:val="nil"/>
              <w:left w:val="nil"/>
              <w:bottom w:val="single" w:sz="4" w:space="0" w:color="FFFFFF"/>
              <w:right w:val="single" w:sz="4" w:space="0" w:color="FFFFFF"/>
            </w:tcBorders>
            <w:shd w:val="clear" w:color="000000" w:fill="D9D9D9"/>
            <w:noWrap/>
            <w:vAlign w:val="center"/>
            <w:hideMark/>
          </w:tcPr>
          <w:p w14:paraId="494D9E9C"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46%</w:t>
            </w:r>
          </w:p>
        </w:tc>
      </w:tr>
      <w:tr w:rsidR="00F5634E" w:rsidRPr="001D5EAD" w14:paraId="2748BBE6" w14:textId="77777777" w:rsidTr="009C6EE0">
        <w:trPr>
          <w:trHeight w:val="900"/>
        </w:trPr>
        <w:tc>
          <w:tcPr>
            <w:tcW w:w="1418" w:type="dxa"/>
            <w:vMerge/>
            <w:tcBorders>
              <w:left w:val="single" w:sz="4" w:space="0" w:color="FFFFFF"/>
              <w:right w:val="single" w:sz="4" w:space="0" w:color="FFFFFF"/>
            </w:tcBorders>
            <w:shd w:val="clear" w:color="auto" w:fill="9BC2E6"/>
            <w:vAlign w:val="center"/>
            <w:hideMark/>
          </w:tcPr>
          <w:p w14:paraId="15BEB04A"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000000" w:fill="DDEBF7"/>
            <w:vAlign w:val="center"/>
            <w:hideMark/>
          </w:tcPr>
          <w:p w14:paraId="4F7DCE37" w14:textId="77777777" w:rsidR="0068616C" w:rsidRPr="003C3CB5" w:rsidRDefault="0068616C" w:rsidP="0068616C">
            <w:pPr>
              <w:spacing w:after="0" w:line="240" w:lineRule="auto"/>
              <w:rPr>
                <w:rFonts w:ascii="Verdana" w:eastAsia="Times New Roman" w:hAnsi="Verdana" w:cs="Calibri"/>
                <w:i/>
                <w:iCs/>
                <w:noProof/>
                <w:color w:val="000000"/>
                <w:sz w:val="14"/>
                <w:szCs w:val="14"/>
                <w:lang w:eastAsia="en-GB"/>
              </w:rPr>
            </w:pPr>
            <w:r w:rsidRPr="003C3CB5">
              <w:rPr>
                <w:rFonts w:ascii="Verdana" w:eastAsia="Times New Roman" w:hAnsi="Verdana" w:cs="Calibri"/>
                <w:i/>
                <w:iCs/>
                <w:noProof/>
                <w:color w:val="000000"/>
                <w:sz w:val="14"/>
                <w:szCs w:val="14"/>
                <w:lang w:eastAsia="en-GB"/>
              </w:rPr>
              <w:t>Use of rudimentary search tools hampers the adoption of transliteration and “fuzzy logic” search</w:t>
            </w:r>
          </w:p>
        </w:tc>
        <w:tc>
          <w:tcPr>
            <w:tcW w:w="417" w:type="dxa"/>
            <w:tcBorders>
              <w:top w:val="nil"/>
              <w:left w:val="nil"/>
              <w:bottom w:val="single" w:sz="4" w:space="0" w:color="FFFFFF"/>
              <w:right w:val="single" w:sz="4" w:space="0" w:color="FFFFFF"/>
            </w:tcBorders>
            <w:shd w:val="clear" w:color="000000" w:fill="F2F2F2"/>
            <w:vAlign w:val="center"/>
            <w:hideMark/>
          </w:tcPr>
          <w:p w14:paraId="285CEAD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0FA9682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710CC52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11F3689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42004E6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20CBE42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48FCDB9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278078B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6A39D9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DE1313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532943B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7117F40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3EF8EED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6EEF2FD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690AB8A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5B5B849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60FB449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2284231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4243CE7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3E54E7F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5A542A80"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9EF51A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1D1D709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0D75AF7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76D95B2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0B8B72E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44" w:type="dxa"/>
            <w:tcBorders>
              <w:top w:val="nil"/>
              <w:left w:val="nil"/>
              <w:bottom w:val="single" w:sz="4" w:space="0" w:color="FFFFFF"/>
              <w:right w:val="single" w:sz="4" w:space="0" w:color="FFFFFF"/>
            </w:tcBorders>
            <w:shd w:val="clear" w:color="000000" w:fill="D9D9D9"/>
            <w:noWrap/>
            <w:vAlign w:val="center"/>
            <w:hideMark/>
          </w:tcPr>
          <w:p w14:paraId="7FC34873"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13</w:t>
            </w:r>
          </w:p>
        </w:tc>
        <w:tc>
          <w:tcPr>
            <w:tcW w:w="648" w:type="dxa"/>
            <w:tcBorders>
              <w:top w:val="nil"/>
              <w:left w:val="nil"/>
              <w:bottom w:val="single" w:sz="4" w:space="0" w:color="FFFFFF"/>
              <w:right w:val="single" w:sz="4" w:space="0" w:color="FFFFFF"/>
            </w:tcBorders>
            <w:shd w:val="clear" w:color="000000" w:fill="D9D9D9"/>
            <w:noWrap/>
            <w:vAlign w:val="center"/>
            <w:hideMark/>
          </w:tcPr>
          <w:p w14:paraId="01BF69C1"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50%</w:t>
            </w:r>
          </w:p>
        </w:tc>
      </w:tr>
      <w:tr w:rsidR="0068616C" w:rsidRPr="001D5EAD" w14:paraId="15822B54" w14:textId="77777777" w:rsidTr="009C6EE0">
        <w:trPr>
          <w:trHeight w:val="240"/>
        </w:trPr>
        <w:tc>
          <w:tcPr>
            <w:tcW w:w="1418" w:type="dxa"/>
            <w:vMerge/>
            <w:tcBorders>
              <w:left w:val="single" w:sz="4" w:space="0" w:color="FFFFFF"/>
              <w:right w:val="single" w:sz="4" w:space="0" w:color="FFFFFF"/>
            </w:tcBorders>
            <w:shd w:val="clear" w:color="auto" w:fill="9BC2E6"/>
            <w:vAlign w:val="center"/>
            <w:hideMark/>
          </w:tcPr>
          <w:p w14:paraId="2C5D3588"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14111" w:type="dxa"/>
            <w:gridSpan w:val="29"/>
            <w:tcBorders>
              <w:top w:val="single" w:sz="4" w:space="0" w:color="FFFFFF"/>
              <w:left w:val="nil"/>
              <w:bottom w:val="single" w:sz="4" w:space="0" w:color="FFFFFF"/>
              <w:right w:val="single" w:sz="4" w:space="0" w:color="FFFFFF"/>
            </w:tcBorders>
            <w:shd w:val="clear" w:color="000000" w:fill="9BC2E6"/>
            <w:vAlign w:val="center"/>
            <w:hideMark/>
          </w:tcPr>
          <w:p w14:paraId="0EDB7E1F"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Differences in national implementation choices</w:t>
            </w:r>
          </w:p>
        </w:tc>
      </w:tr>
      <w:tr w:rsidR="00F5634E" w:rsidRPr="001D5EAD" w14:paraId="7A3B6F1F" w14:textId="77777777" w:rsidTr="009C6EE0">
        <w:trPr>
          <w:trHeight w:val="900"/>
        </w:trPr>
        <w:tc>
          <w:tcPr>
            <w:tcW w:w="1418" w:type="dxa"/>
            <w:vMerge/>
            <w:tcBorders>
              <w:left w:val="single" w:sz="4" w:space="0" w:color="FFFFFF"/>
              <w:right w:val="single" w:sz="4" w:space="0" w:color="FFFFFF"/>
            </w:tcBorders>
            <w:shd w:val="clear" w:color="auto" w:fill="9BC2E6"/>
            <w:vAlign w:val="center"/>
            <w:hideMark/>
          </w:tcPr>
          <w:p w14:paraId="3DC4F49B"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000000" w:fill="DDEBF7"/>
            <w:vAlign w:val="center"/>
            <w:hideMark/>
          </w:tcPr>
          <w:p w14:paraId="47E8B5E6" w14:textId="77777777" w:rsidR="0068616C" w:rsidRPr="003C3CB5" w:rsidRDefault="0068616C" w:rsidP="0068616C">
            <w:pPr>
              <w:spacing w:after="0" w:line="240" w:lineRule="auto"/>
              <w:rPr>
                <w:rFonts w:ascii="Verdana" w:eastAsia="Times New Roman" w:hAnsi="Verdana" w:cs="Calibri"/>
                <w:i/>
                <w:iCs/>
                <w:noProof/>
                <w:color w:val="000000"/>
                <w:sz w:val="14"/>
                <w:szCs w:val="14"/>
                <w:lang w:eastAsia="en-GB"/>
              </w:rPr>
            </w:pPr>
            <w:r w:rsidRPr="003C3CB5">
              <w:rPr>
                <w:rFonts w:ascii="Verdana" w:eastAsia="Times New Roman" w:hAnsi="Verdana" w:cs="Calibri"/>
                <w:i/>
                <w:iCs/>
                <w:noProof/>
                <w:color w:val="000000"/>
                <w:sz w:val="14"/>
                <w:szCs w:val="14"/>
                <w:lang w:eastAsia="en-GB"/>
              </w:rPr>
              <w:t xml:space="preserve">SPOCs do not always play their coordination role and lack resources to face the increasing number of requests </w:t>
            </w:r>
          </w:p>
        </w:tc>
        <w:tc>
          <w:tcPr>
            <w:tcW w:w="417" w:type="dxa"/>
            <w:tcBorders>
              <w:top w:val="nil"/>
              <w:left w:val="nil"/>
              <w:bottom w:val="single" w:sz="4" w:space="0" w:color="FFFFFF"/>
              <w:right w:val="single" w:sz="4" w:space="0" w:color="FFFFFF"/>
            </w:tcBorders>
            <w:shd w:val="clear" w:color="000000" w:fill="F2F2F2"/>
            <w:vAlign w:val="center"/>
            <w:hideMark/>
          </w:tcPr>
          <w:p w14:paraId="45971F5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519AC7F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39F71E4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5850B2A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2AE280F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4E7B5F5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6E04BED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719B66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4076D90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2A71561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5901453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20C92F0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611E673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666AF8A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30D3188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2D60F3C5"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7B74A8A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4576F193"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7F1E653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4C1F21B7"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615D3ED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513FFA3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1E6F20D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284AD00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591BC88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F2F2F2"/>
            <w:vAlign w:val="center"/>
            <w:hideMark/>
          </w:tcPr>
          <w:p w14:paraId="19E7D18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44" w:type="dxa"/>
            <w:tcBorders>
              <w:top w:val="nil"/>
              <w:left w:val="nil"/>
              <w:bottom w:val="single" w:sz="4" w:space="0" w:color="FFFFFF"/>
              <w:right w:val="single" w:sz="4" w:space="0" w:color="FFFFFF"/>
            </w:tcBorders>
            <w:shd w:val="clear" w:color="000000" w:fill="D9D9D9"/>
            <w:noWrap/>
            <w:vAlign w:val="center"/>
            <w:hideMark/>
          </w:tcPr>
          <w:p w14:paraId="6D5E31FC"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7</w:t>
            </w:r>
          </w:p>
        </w:tc>
        <w:tc>
          <w:tcPr>
            <w:tcW w:w="648" w:type="dxa"/>
            <w:tcBorders>
              <w:top w:val="nil"/>
              <w:left w:val="nil"/>
              <w:bottom w:val="single" w:sz="4" w:space="0" w:color="FFFFFF"/>
              <w:right w:val="single" w:sz="4" w:space="0" w:color="FFFFFF"/>
            </w:tcBorders>
            <w:shd w:val="clear" w:color="000000" w:fill="D9D9D9"/>
            <w:noWrap/>
            <w:vAlign w:val="center"/>
            <w:hideMark/>
          </w:tcPr>
          <w:p w14:paraId="51B079BF"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27%</w:t>
            </w:r>
          </w:p>
        </w:tc>
      </w:tr>
      <w:tr w:rsidR="00F5634E" w:rsidRPr="001D5EAD" w14:paraId="26F87F3B" w14:textId="77777777" w:rsidTr="009C6EE0">
        <w:trPr>
          <w:trHeight w:val="1125"/>
        </w:trPr>
        <w:tc>
          <w:tcPr>
            <w:tcW w:w="1418" w:type="dxa"/>
            <w:vMerge/>
            <w:tcBorders>
              <w:left w:val="single" w:sz="4" w:space="0" w:color="FFFFFF"/>
              <w:right w:val="single" w:sz="4" w:space="0" w:color="FFFFFF"/>
            </w:tcBorders>
            <w:shd w:val="clear" w:color="auto" w:fill="9BC2E6"/>
            <w:vAlign w:val="center"/>
            <w:hideMark/>
          </w:tcPr>
          <w:p w14:paraId="5522F730"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000000" w:fill="DDEBF7"/>
            <w:vAlign w:val="center"/>
            <w:hideMark/>
          </w:tcPr>
          <w:p w14:paraId="3971E140" w14:textId="77777777" w:rsidR="0068616C" w:rsidRPr="003C3CB5" w:rsidRDefault="0068616C" w:rsidP="0068616C">
            <w:pPr>
              <w:spacing w:after="0" w:line="240" w:lineRule="auto"/>
              <w:rPr>
                <w:rFonts w:ascii="Verdana" w:eastAsia="Times New Roman" w:hAnsi="Verdana" w:cs="Calibri"/>
                <w:i/>
                <w:iCs/>
                <w:noProof/>
                <w:color w:val="000000"/>
                <w:sz w:val="14"/>
                <w:szCs w:val="14"/>
                <w:lang w:eastAsia="en-GB"/>
              </w:rPr>
            </w:pPr>
            <w:r w:rsidRPr="003C3CB5">
              <w:rPr>
                <w:rFonts w:ascii="Verdana" w:eastAsia="Times New Roman" w:hAnsi="Verdana" w:cs="Calibri"/>
                <w:i/>
                <w:iCs/>
                <w:noProof/>
                <w:color w:val="000000"/>
                <w:sz w:val="14"/>
                <w:szCs w:val="14"/>
                <w:lang w:eastAsia="en-GB"/>
              </w:rPr>
              <w:t>Differences in access rights and use EU of and international databases and platforms between national law enforcement authorities</w:t>
            </w:r>
          </w:p>
        </w:tc>
        <w:tc>
          <w:tcPr>
            <w:tcW w:w="417" w:type="dxa"/>
            <w:tcBorders>
              <w:top w:val="nil"/>
              <w:left w:val="nil"/>
              <w:bottom w:val="single" w:sz="4" w:space="0" w:color="FFFFFF"/>
              <w:right w:val="single" w:sz="4" w:space="0" w:color="FFFFFF"/>
            </w:tcBorders>
            <w:shd w:val="clear" w:color="000000" w:fill="002060"/>
            <w:vAlign w:val="center"/>
            <w:hideMark/>
          </w:tcPr>
          <w:p w14:paraId="60DB34E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54898E42"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3C235BF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338C9C8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345CBF0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51A4CC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D00868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5836864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3ECAD87E"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06E02D2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131AAD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973698C"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6BA4F43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323A432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02E8F7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1542F52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4C42ECA"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3543DE1F"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07AD160B"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1633621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4C47BC44"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770E4C59"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7A93F5C1"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F2F2F2"/>
            <w:vAlign w:val="center"/>
            <w:hideMark/>
          </w:tcPr>
          <w:p w14:paraId="1947DE08"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 </w:t>
            </w:r>
          </w:p>
        </w:tc>
        <w:tc>
          <w:tcPr>
            <w:tcW w:w="417" w:type="dxa"/>
            <w:tcBorders>
              <w:top w:val="nil"/>
              <w:left w:val="nil"/>
              <w:bottom w:val="single" w:sz="4" w:space="0" w:color="FFFFFF"/>
              <w:right w:val="single" w:sz="4" w:space="0" w:color="FFFFFF"/>
            </w:tcBorders>
            <w:shd w:val="clear" w:color="000000" w:fill="002060"/>
            <w:vAlign w:val="center"/>
            <w:hideMark/>
          </w:tcPr>
          <w:p w14:paraId="751DA88D"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17" w:type="dxa"/>
            <w:tcBorders>
              <w:top w:val="nil"/>
              <w:left w:val="nil"/>
              <w:bottom w:val="single" w:sz="4" w:space="0" w:color="FFFFFF"/>
              <w:right w:val="single" w:sz="4" w:space="0" w:color="FFFFFF"/>
            </w:tcBorders>
            <w:shd w:val="clear" w:color="000000" w:fill="002060"/>
            <w:vAlign w:val="center"/>
            <w:hideMark/>
          </w:tcPr>
          <w:p w14:paraId="0DD82CA6" w14:textId="77777777" w:rsidR="0068616C" w:rsidRPr="001D5EAD" w:rsidRDefault="0068616C" w:rsidP="0068616C">
            <w:pPr>
              <w:spacing w:after="0" w:line="240" w:lineRule="auto"/>
              <w:jc w:val="center"/>
              <w:rPr>
                <w:rFonts w:ascii="Verdana" w:eastAsia="Times New Roman" w:hAnsi="Verdana" w:cs="Calibri"/>
                <w:b/>
                <w:bCs/>
                <w:noProof/>
                <w:color w:val="002060"/>
                <w:sz w:val="16"/>
                <w:szCs w:val="16"/>
                <w:lang w:eastAsia="en-GB"/>
              </w:rPr>
            </w:pPr>
            <w:r w:rsidRPr="001D5EAD">
              <w:rPr>
                <w:rFonts w:ascii="Verdana" w:eastAsia="Times New Roman" w:hAnsi="Verdana" w:cs="Calibri"/>
                <w:b/>
                <w:bCs/>
                <w:noProof/>
                <w:color w:val="002060"/>
                <w:sz w:val="16"/>
                <w:szCs w:val="16"/>
                <w:lang w:eastAsia="en-GB"/>
              </w:rPr>
              <w:t>x</w:t>
            </w:r>
          </w:p>
        </w:tc>
        <w:tc>
          <w:tcPr>
            <w:tcW w:w="444" w:type="dxa"/>
            <w:tcBorders>
              <w:top w:val="nil"/>
              <w:left w:val="nil"/>
              <w:bottom w:val="single" w:sz="4" w:space="0" w:color="FFFFFF"/>
              <w:right w:val="single" w:sz="4" w:space="0" w:color="FFFFFF"/>
            </w:tcBorders>
            <w:shd w:val="clear" w:color="000000" w:fill="D9D9D9"/>
            <w:noWrap/>
            <w:vAlign w:val="center"/>
            <w:hideMark/>
          </w:tcPr>
          <w:p w14:paraId="3935A6DC"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21</w:t>
            </w:r>
          </w:p>
        </w:tc>
        <w:tc>
          <w:tcPr>
            <w:tcW w:w="648" w:type="dxa"/>
            <w:tcBorders>
              <w:top w:val="nil"/>
              <w:left w:val="nil"/>
              <w:bottom w:val="single" w:sz="4" w:space="0" w:color="FFFFFF"/>
              <w:right w:val="single" w:sz="4" w:space="0" w:color="FFFFFF"/>
            </w:tcBorders>
            <w:shd w:val="clear" w:color="000000" w:fill="D9D9D9"/>
            <w:noWrap/>
            <w:vAlign w:val="center"/>
            <w:hideMark/>
          </w:tcPr>
          <w:p w14:paraId="5A4F157F" w14:textId="77777777" w:rsidR="0068616C" w:rsidRPr="001D5EAD" w:rsidRDefault="0068616C" w:rsidP="0068616C">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81%</w:t>
            </w:r>
          </w:p>
        </w:tc>
      </w:tr>
      <w:tr w:rsidR="00F5634E" w:rsidRPr="001D5EAD" w14:paraId="2D1F6627" w14:textId="77777777" w:rsidTr="009C6EE0">
        <w:trPr>
          <w:trHeight w:val="240"/>
        </w:trPr>
        <w:tc>
          <w:tcPr>
            <w:tcW w:w="1418" w:type="dxa"/>
            <w:vMerge/>
            <w:tcBorders>
              <w:left w:val="single" w:sz="4" w:space="0" w:color="FFFFFF"/>
              <w:bottom w:val="nil"/>
              <w:right w:val="single" w:sz="4" w:space="0" w:color="FFFFFF"/>
            </w:tcBorders>
            <w:shd w:val="clear" w:color="auto" w:fill="9BC2E6"/>
            <w:vAlign w:val="center"/>
            <w:hideMark/>
          </w:tcPr>
          <w:p w14:paraId="2635C8F6"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p>
        </w:tc>
        <w:tc>
          <w:tcPr>
            <w:tcW w:w="2177" w:type="dxa"/>
            <w:tcBorders>
              <w:top w:val="nil"/>
              <w:left w:val="nil"/>
              <w:bottom w:val="single" w:sz="4" w:space="0" w:color="FFFFFF"/>
              <w:right w:val="single" w:sz="4" w:space="0" w:color="FFFFFF"/>
            </w:tcBorders>
            <w:shd w:val="clear" w:color="auto" w:fill="9BC2E6"/>
            <w:noWrap/>
            <w:vAlign w:val="center"/>
            <w:hideMark/>
          </w:tcPr>
          <w:p w14:paraId="786B46A0" w14:textId="77777777" w:rsidR="0068616C" w:rsidRPr="001D5EAD" w:rsidRDefault="0068616C" w:rsidP="0068616C">
            <w:pPr>
              <w:spacing w:after="0" w:line="240" w:lineRule="auto"/>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Total</w:t>
            </w:r>
          </w:p>
        </w:tc>
        <w:tc>
          <w:tcPr>
            <w:tcW w:w="417" w:type="dxa"/>
            <w:tcBorders>
              <w:top w:val="nil"/>
              <w:left w:val="nil"/>
              <w:bottom w:val="single" w:sz="4" w:space="0" w:color="FFFFFF"/>
              <w:right w:val="single" w:sz="4" w:space="0" w:color="FFFFFF"/>
            </w:tcBorders>
            <w:shd w:val="clear" w:color="000000" w:fill="9BC2E6"/>
            <w:vAlign w:val="center"/>
            <w:hideMark/>
          </w:tcPr>
          <w:p w14:paraId="46817058" w14:textId="77777777" w:rsidR="0068616C" w:rsidRPr="00223EBE" w:rsidRDefault="0068616C" w:rsidP="0068616C">
            <w:pPr>
              <w:spacing w:after="0" w:line="240" w:lineRule="auto"/>
              <w:jc w:val="center"/>
              <w:rPr>
                <w:rFonts w:ascii="Verdana" w:eastAsia="Times New Roman" w:hAnsi="Verdana" w:cs="Calibri"/>
                <w:b/>
                <w:bCs/>
                <w:noProof/>
                <w:color w:val="000000"/>
                <w:sz w:val="14"/>
                <w:szCs w:val="14"/>
                <w:lang w:eastAsia="en-GB"/>
              </w:rPr>
            </w:pPr>
            <w:r w:rsidRPr="00223EBE">
              <w:rPr>
                <w:rFonts w:ascii="Verdana" w:eastAsia="Times New Roman" w:hAnsi="Verdana" w:cs="Calibri"/>
                <w:b/>
                <w:bCs/>
                <w:noProof/>
                <w:color w:val="000000"/>
                <w:sz w:val="14"/>
                <w:szCs w:val="14"/>
                <w:lang w:eastAsia="en-GB"/>
              </w:rPr>
              <w:t>3</w:t>
            </w:r>
          </w:p>
        </w:tc>
        <w:tc>
          <w:tcPr>
            <w:tcW w:w="417" w:type="dxa"/>
            <w:tcBorders>
              <w:top w:val="nil"/>
              <w:left w:val="nil"/>
              <w:bottom w:val="single" w:sz="4" w:space="0" w:color="FFFFFF"/>
              <w:right w:val="single" w:sz="4" w:space="0" w:color="FFFFFF"/>
            </w:tcBorders>
            <w:shd w:val="clear" w:color="000000" w:fill="9BC2E6"/>
            <w:vAlign w:val="center"/>
            <w:hideMark/>
          </w:tcPr>
          <w:p w14:paraId="6EBFC27F"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1</w:t>
            </w:r>
          </w:p>
        </w:tc>
        <w:tc>
          <w:tcPr>
            <w:tcW w:w="417" w:type="dxa"/>
            <w:tcBorders>
              <w:top w:val="nil"/>
              <w:left w:val="nil"/>
              <w:bottom w:val="single" w:sz="4" w:space="0" w:color="FFFFFF"/>
              <w:right w:val="single" w:sz="4" w:space="0" w:color="FFFFFF"/>
            </w:tcBorders>
            <w:shd w:val="clear" w:color="000000" w:fill="9BC2E6"/>
            <w:vAlign w:val="center"/>
            <w:hideMark/>
          </w:tcPr>
          <w:p w14:paraId="4D957CDE"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7</w:t>
            </w:r>
          </w:p>
        </w:tc>
        <w:tc>
          <w:tcPr>
            <w:tcW w:w="417" w:type="dxa"/>
            <w:tcBorders>
              <w:top w:val="nil"/>
              <w:left w:val="nil"/>
              <w:bottom w:val="single" w:sz="4" w:space="0" w:color="FFFFFF"/>
              <w:right w:val="single" w:sz="4" w:space="0" w:color="FFFFFF"/>
            </w:tcBorders>
            <w:shd w:val="clear" w:color="000000" w:fill="9BC2E6"/>
            <w:vAlign w:val="center"/>
            <w:hideMark/>
          </w:tcPr>
          <w:p w14:paraId="7AE43EDD"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2</w:t>
            </w:r>
          </w:p>
        </w:tc>
        <w:tc>
          <w:tcPr>
            <w:tcW w:w="417" w:type="dxa"/>
            <w:tcBorders>
              <w:top w:val="nil"/>
              <w:left w:val="nil"/>
              <w:bottom w:val="single" w:sz="4" w:space="0" w:color="FFFFFF"/>
              <w:right w:val="single" w:sz="4" w:space="0" w:color="FFFFFF"/>
            </w:tcBorders>
            <w:shd w:val="clear" w:color="000000" w:fill="9BC2E6"/>
            <w:vAlign w:val="center"/>
            <w:hideMark/>
          </w:tcPr>
          <w:p w14:paraId="214CABE8"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4</w:t>
            </w:r>
          </w:p>
        </w:tc>
        <w:tc>
          <w:tcPr>
            <w:tcW w:w="417" w:type="dxa"/>
            <w:tcBorders>
              <w:top w:val="nil"/>
              <w:left w:val="nil"/>
              <w:bottom w:val="single" w:sz="4" w:space="0" w:color="FFFFFF"/>
              <w:right w:val="single" w:sz="4" w:space="0" w:color="FFFFFF"/>
            </w:tcBorders>
            <w:shd w:val="clear" w:color="000000" w:fill="9BC2E6"/>
            <w:vAlign w:val="center"/>
            <w:hideMark/>
          </w:tcPr>
          <w:p w14:paraId="156BB46E"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6</w:t>
            </w:r>
          </w:p>
        </w:tc>
        <w:tc>
          <w:tcPr>
            <w:tcW w:w="417" w:type="dxa"/>
            <w:tcBorders>
              <w:top w:val="nil"/>
              <w:left w:val="nil"/>
              <w:bottom w:val="single" w:sz="4" w:space="0" w:color="FFFFFF"/>
              <w:right w:val="single" w:sz="4" w:space="0" w:color="FFFFFF"/>
            </w:tcBorders>
            <w:shd w:val="clear" w:color="000000" w:fill="9BC2E6"/>
            <w:vAlign w:val="center"/>
            <w:hideMark/>
          </w:tcPr>
          <w:p w14:paraId="5FF5AEEF"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5</w:t>
            </w:r>
          </w:p>
        </w:tc>
        <w:tc>
          <w:tcPr>
            <w:tcW w:w="417" w:type="dxa"/>
            <w:tcBorders>
              <w:top w:val="nil"/>
              <w:left w:val="nil"/>
              <w:bottom w:val="single" w:sz="4" w:space="0" w:color="FFFFFF"/>
              <w:right w:val="single" w:sz="4" w:space="0" w:color="FFFFFF"/>
            </w:tcBorders>
            <w:shd w:val="clear" w:color="000000" w:fill="9BC2E6"/>
            <w:vAlign w:val="center"/>
            <w:hideMark/>
          </w:tcPr>
          <w:p w14:paraId="6F44F1E5"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6</w:t>
            </w:r>
          </w:p>
        </w:tc>
        <w:tc>
          <w:tcPr>
            <w:tcW w:w="417" w:type="dxa"/>
            <w:tcBorders>
              <w:top w:val="nil"/>
              <w:left w:val="nil"/>
              <w:bottom w:val="single" w:sz="4" w:space="0" w:color="FFFFFF"/>
              <w:right w:val="single" w:sz="4" w:space="0" w:color="FFFFFF"/>
            </w:tcBorders>
            <w:shd w:val="clear" w:color="000000" w:fill="9BC2E6"/>
            <w:vAlign w:val="center"/>
            <w:hideMark/>
          </w:tcPr>
          <w:p w14:paraId="4300CDAF" w14:textId="77777777" w:rsidR="0068616C" w:rsidRPr="00223EBE" w:rsidRDefault="0068616C" w:rsidP="0068616C">
            <w:pPr>
              <w:spacing w:after="0" w:line="240" w:lineRule="auto"/>
              <w:jc w:val="center"/>
              <w:rPr>
                <w:rFonts w:ascii="Verdana" w:eastAsia="Times New Roman" w:hAnsi="Verdana" w:cs="Calibri"/>
                <w:b/>
                <w:bCs/>
                <w:noProof/>
                <w:color w:val="000000"/>
                <w:sz w:val="14"/>
                <w:szCs w:val="14"/>
                <w:lang w:eastAsia="en-GB"/>
              </w:rPr>
            </w:pPr>
            <w:r w:rsidRPr="00223EBE">
              <w:rPr>
                <w:rFonts w:ascii="Verdana" w:eastAsia="Times New Roman" w:hAnsi="Verdana" w:cs="Calibri"/>
                <w:b/>
                <w:bCs/>
                <w:noProof/>
                <w:color w:val="000000"/>
                <w:sz w:val="14"/>
                <w:szCs w:val="14"/>
                <w:lang w:eastAsia="en-GB"/>
              </w:rPr>
              <w:t>4</w:t>
            </w:r>
          </w:p>
        </w:tc>
        <w:tc>
          <w:tcPr>
            <w:tcW w:w="417" w:type="dxa"/>
            <w:tcBorders>
              <w:top w:val="nil"/>
              <w:left w:val="nil"/>
              <w:bottom w:val="single" w:sz="4" w:space="0" w:color="FFFFFF"/>
              <w:right w:val="single" w:sz="4" w:space="0" w:color="FFFFFF"/>
            </w:tcBorders>
            <w:shd w:val="clear" w:color="000000" w:fill="9BC2E6"/>
            <w:vAlign w:val="center"/>
            <w:hideMark/>
          </w:tcPr>
          <w:p w14:paraId="10DF9735"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4</w:t>
            </w:r>
          </w:p>
        </w:tc>
        <w:tc>
          <w:tcPr>
            <w:tcW w:w="417" w:type="dxa"/>
            <w:tcBorders>
              <w:top w:val="nil"/>
              <w:left w:val="nil"/>
              <w:bottom w:val="single" w:sz="4" w:space="0" w:color="FFFFFF"/>
              <w:right w:val="single" w:sz="4" w:space="0" w:color="FFFFFF"/>
            </w:tcBorders>
            <w:shd w:val="clear" w:color="000000" w:fill="9BC2E6"/>
            <w:vAlign w:val="center"/>
            <w:hideMark/>
          </w:tcPr>
          <w:p w14:paraId="6CB87D8E"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3</w:t>
            </w:r>
          </w:p>
        </w:tc>
        <w:tc>
          <w:tcPr>
            <w:tcW w:w="417" w:type="dxa"/>
            <w:tcBorders>
              <w:top w:val="nil"/>
              <w:left w:val="nil"/>
              <w:bottom w:val="single" w:sz="4" w:space="0" w:color="FFFFFF"/>
              <w:right w:val="single" w:sz="4" w:space="0" w:color="FFFFFF"/>
            </w:tcBorders>
            <w:shd w:val="clear" w:color="000000" w:fill="9BC2E6"/>
            <w:vAlign w:val="center"/>
            <w:hideMark/>
          </w:tcPr>
          <w:p w14:paraId="7CB59E5A"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5</w:t>
            </w:r>
          </w:p>
        </w:tc>
        <w:tc>
          <w:tcPr>
            <w:tcW w:w="417" w:type="dxa"/>
            <w:tcBorders>
              <w:top w:val="nil"/>
              <w:left w:val="nil"/>
              <w:bottom w:val="single" w:sz="4" w:space="0" w:color="FFFFFF"/>
              <w:right w:val="single" w:sz="4" w:space="0" w:color="FFFFFF"/>
            </w:tcBorders>
            <w:shd w:val="clear" w:color="000000" w:fill="9BC2E6"/>
            <w:vAlign w:val="center"/>
            <w:hideMark/>
          </w:tcPr>
          <w:p w14:paraId="5E88E6F1"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4</w:t>
            </w:r>
          </w:p>
        </w:tc>
        <w:tc>
          <w:tcPr>
            <w:tcW w:w="417" w:type="dxa"/>
            <w:tcBorders>
              <w:top w:val="nil"/>
              <w:left w:val="nil"/>
              <w:bottom w:val="single" w:sz="4" w:space="0" w:color="FFFFFF"/>
              <w:right w:val="single" w:sz="4" w:space="0" w:color="FFFFFF"/>
            </w:tcBorders>
            <w:shd w:val="clear" w:color="000000" w:fill="9BC2E6"/>
            <w:vAlign w:val="center"/>
            <w:hideMark/>
          </w:tcPr>
          <w:p w14:paraId="45109C51"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6</w:t>
            </w:r>
          </w:p>
        </w:tc>
        <w:tc>
          <w:tcPr>
            <w:tcW w:w="417" w:type="dxa"/>
            <w:tcBorders>
              <w:top w:val="nil"/>
              <w:left w:val="nil"/>
              <w:bottom w:val="single" w:sz="4" w:space="0" w:color="FFFFFF"/>
              <w:right w:val="single" w:sz="4" w:space="0" w:color="FFFFFF"/>
            </w:tcBorders>
            <w:shd w:val="clear" w:color="000000" w:fill="9BC2E6"/>
            <w:vAlign w:val="center"/>
            <w:hideMark/>
          </w:tcPr>
          <w:p w14:paraId="2949B76E"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3</w:t>
            </w:r>
          </w:p>
        </w:tc>
        <w:tc>
          <w:tcPr>
            <w:tcW w:w="417" w:type="dxa"/>
            <w:tcBorders>
              <w:top w:val="nil"/>
              <w:left w:val="nil"/>
              <w:bottom w:val="single" w:sz="4" w:space="0" w:color="FFFFFF"/>
              <w:right w:val="single" w:sz="4" w:space="0" w:color="FFFFFF"/>
            </w:tcBorders>
            <w:shd w:val="clear" w:color="000000" w:fill="9BC2E6"/>
            <w:vAlign w:val="center"/>
            <w:hideMark/>
          </w:tcPr>
          <w:p w14:paraId="0C0EAEF0"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1</w:t>
            </w:r>
          </w:p>
        </w:tc>
        <w:tc>
          <w:tcPr>
            <w:tcW w:w="417" w:type="dxa"/>
            <w:tcBorders>
              <w:top w:val="nil"/>
              <w:left w:val="nil"/>
              <w:bottom w:val="single" w:sz="4" w:space="0" w:color="FFFFFF"/>
              <w:right w:val="single" w:sz="4" w:space="0" w:color="FFFFFF"/>
            </w:tcBorders>
            <w:shd w:val="clear" w:color="000000" w:fill="9BC2E6"/>
            <w:vAlign w:val="center"/>
            <w:hideMark/>
          </w:tcPr>
          <w:p w14:paraId="2A59D49A"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4</w:t>
            </w:r>
          </w:p>
        </w:tc>
        <w:tc>
          <w:tcPr>
            <w:tcW w:w="417" w:type="dxa"/>
            <w:tcBorders>
              <w:top w:val="nil"/>
              <w:left w:val="nil"/>
              <w:bottom w:val="single" w:sz="4" w:space="0" w:color="FFFFFF"/>
              <w:right w:val="single" w:sz="4" w:space="0" w:color="FFFFFF"/>
            </w:tcBorders>
            <w:shd w:val="clear" w:color="000000" w:fill="9BC2E6"/>
            <w:vAlign w:val="center"/>
            <w:hideMark/>
          </w:tcPr>
          <w:p w14:paraId="533DE040"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3</w:t>
            </w:r>
          </w:p>
        </w:tc>
        <w:tc>
          <w:tcPr>
            <w:tcW w:w="417" w:type="dxa"/>
            <w:tcBorders>
              <w:top w:val="nil"/>
              <w:left w:val="nil"/>
              <w:bottom w:val="single" w:sz="4" w:space="0" w:color="FFFFFF"/>
              <w:right w:val="single" w:sz="4" w:space="0" w:color="FFFFFF"/>
            </w:tcBorders>
            <w:shd w:val="clear" w:color="000000" w:fill="9BC2E6"/>
            <w:vAlign w:val="center"/>
            <w:hideMark/>
          </w:tcPr>
          <w:p w14:paraId="07D0DBF5"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7</w:t>
            </w:r>
          </w:p>
        </w:tc>
        <w:tc>
          <w:tcPr>
            <w:tcW w:w="417" w:type="dxa"/>
            <w:tcBorders>
              <w:top w:val="nil"/>
              <w:left w:val="nil"/>
              <w:bottom w:val="single" w:sz="4" w:space="0" w:color="FFFFFF"/>
              <w:right w:val="single" w:sz="4" w:space="0" w:color="FFFFFF"/>
            </w:tcBorders>
            <w:shd w:val="clear" w:color="000000" w:fill="9BC2E6"/>
            <w:vAlign w:val="center"/>
            <w:hideMark/>
          </w:tcPr>
          <w:p w14:paraId="7292FE46"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5</w:t>
            </w:r>
          </w:p>
        </w:tc>
        <w:tc>
          <w:tcPr>
            <w:tcW w:w="417" w:type="dxa"/>
            <w:tcBorders>
              <w:top w:val="nil"/>
              <w:left w:val="nil"/>
              <w:bottom w:val="single" w:sz="4" w:space="0" w:color="FFFFFF"/>
              <w:right w:val="single" w:sz="4" w:space="0" w:color="FFFFFF"/>
            </w:tcBorders>
            <w:shd w:val="clear" w:color="000000" w:fill="9BC2E6"/>
            <w:vAlign w:val="center"/>
            <w:hideMark/>
          </w:tcPr>
          <w:p w14:paraId="0C31AD15"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5</w:t>
            </w:r>
          </w:p>
        </w:tc>
        <w:tc>
          <w:tcPr>
            <w:tcW w:w="417" w:type="dxa"/>
            <w:tcBorders>
              <w:top w:val="nil"/>
              <w:left w:val="nil"/>
              <w:bottom w:val="single" w:sz="4" w:space="0" w:color="FFFFFF"/>
              <w:right w:val="single" w:sz="4" w:space="0" w:color="FFFFFF"/>
            </w:tcBorders>
            <w:shd w:val="clear" w:color="000000" w:fill="9BC2E6"/>
            <w:vAlign w:val="center"/>
            <w:hideMark/>
          </w:tcPr>
          <w:p w14:paraId="68C9B699" w14:textId="77777777" w:rsidR="0068616C" w:rsidRPr="00223EBE" w:rsidRDefault="0068616C" w:rsidP="0068616C">
            <w:pPr>
              <w:spacing w:after="0" w:line="240" w:lineRule="auto"/>
              <w:jc w:val="center"/>
              <w:rPr>
                <w:rFonts w:ascii="Verdana" w:eastAsia="Times New Roman" w:hAnsi="Verdana" w:cs="Calibri"/>
                <w:b/>
                <w:bCs/>
                <w:noProof/>
                <w:color w:val="000000"/>
                <w:sz w:val="14"/>
                <w:szCs w:val="14"/>
                <w:lang w:eastAsia="en-GB"/>
              </w:rPr>
            </w:pPr>
            <w:r w:rsidRPr="00223EBE">
              <w:rPr>
                <w:rFonts w:ascii="Verdana" w:eastAsia="Times New Roman" w:hAnsi="Verdana" w:cs="Calibri"/>
                <w:b/>
                <w:bCs/>
                <w:noProof/>
                <w:color w:val="000000"/>
                <w:sz w:val="14"/>
                <w:szCs w:val="14"/>
                <w:lang w:eastAsia="en-GB"/>
              </w:rPr>
              <w:t>6</w:t>
            </w:r>
          </w:p>
        </w:tc>
        <w:tc>
          <w:tcPr>
            <w:tcW w:w="417" w:type="dxa"/>
            <w:tcBorders>
              <w:top w:val="nil"/>
              <w:left w:val="nil"/>
              <w:bottom w:val="single" w:sz="4" w:space="0" w:color="FFFFFF"/>
              <w:right w:val="single" w:sz="4" w:space="0" w:color="FFFFFF"/>
            </w:tcBorders>
            <w:shd w:val="clear" w:color="000000" w:fill="9BC2E6"/>
            <w:vAlign w:val="center"/>
            <w:hideMark/>
          </w:tcPr>
          <w:p w14:paraId="1D6EFFB9"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8</w:t>
            </w:r>
          </w:p>
        </w:tc>
        <w:tc>
          <w:tcPr>
            <w:tcW w:w="417" w:type="dxa"/>
            <w:tcBorders>
              <w:top w:val="nil"/>
              <w:left w:val="nil"/>
              <w:bottom w:val="single" w:sz="4" w:space="0" w:color="FFFFFF"/>
              <w:right w:val="single" w:sz="4" w:space="0" w:color="FFFFFF"/>
            </w:tcBorders>
            <w:shd w:val="clear" w:color="000000" w:fill="9BC2E6"/>
            <w:vAlign w:val="center"/>
            <w:hideMark/>
          </w:tcPr>
          <w:p w14:paraId="46552483"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4</w:t>
            </w:r>
          </w:p>
        </w:tc>
        <w:tc>
          <w:tcPr>
            <w:tcW w:w="417" w:type="dxa"/>
            <w:tcBorders>
              <w:top w:val="nil"/>
              <w:left w:val="nil"/>
              <w:bottom w:val="single" w:sz="4" w:space="0" w:color="FFFFFF"/>
              <w:right w:val="single" w:sz="4" w:space="0" w:color="FFFFFF"/>
            </w:tcBorders>
            <w:shd w:val="clear" w:color="000000" w:fill="9BC2E6"/>
            <w:vAlign w:val="center"/>
            <w:hideMark/>
          </w:tcPr>
          <w:p w14:paraId="4B669A4B" w14:textId="77777777" w:rsidR="0068616C" w:rsidRPr="00223EBE" w:rsidRDefault="000D6E86" w:rsidP="0068616C">
            <w:pPr>
              <w:spacing w:after="0" w:line="240" w:lineRule="auto"/>
              <w:jc w:val="center"/>
              <w:rPr>
                <w:rFonts w:ascii="Verdana" w:eastAsia="Times New Roman" w:hAnsi="Verdana" w:cs="Calibri"/>
                <w:b/>
                <w:bCs/>
                <w:noProof/>
                <w:color w:val="000000"/>
                <w:sz w:val="14"/>
                <w:szCs w:val="14"/>
                <w:lang w:eastAsia="en-GB"/>
              </w:rPr>
            </w:pPr>
            <w:r>
              <w:rPr>
                <w:rFonts w:ascii="Verdana" w:eastAsia="Times New Roman" w:hAnsi="Verdana" w:cs="Calibri"/>
                <w:b/>
                <w:bCs/>
                <w:noProof/>
                <w:color w:val="000000"/>
                <w:sz w:val="14"/>
                <w:szCs w:val="14"/>
                <w:lang w:eastAsia="en-GB"/>
              </w:rPr>
              <w:t>4</w:t>
            </w:r>
          </w:p>
        </w:tc>
        <w:tc>
          <w:tcPr>
            <w:tcW w:w="417" w:type="dxa"/>
            <w:tcBorders>
              <w:top w:val="nil"/>
              <w:left w:val="nil"/>
              <w:bottom w:val="single" w:sz="4" w:space="0" w:color="FFFFFF"/>
              <w:right w:val="single" w:sz="4" w:space="0" w:color="FFFFFF"/>
            </w:tcBorders>
            <w:shd w:val="clear" w:color="000000" w:fill="9BC2E6"/>
            <w:vAlign w:val="center"/>
            <w:hideMark/>
          </w:tcPr>
          <w:p w14:paraId="3A3A0DE2" w14:textId="77777777" w:rsidR="0068616C" w:rsidRPr="00223EBE" w:rsidRDefault="0068616C" w:rsidP="0068616C">
            <w:pPr>
              <w:spacing w:after="0" w:line="240" w:lineRule="auto"/>
              <w:jc w:val="center"/>
              <w:rPr>
                <w:rFonts w:ascii="Verdana" w:eastAsia="Times New Roman" w:hAnsi="Verdana" w:cs="Calibri"/>
                <w:b/>
                <w:bCs/>
                <w:noProof/>
                <w:color w:val="000000"/>
                <w:sz w:val="14"/>
                <w:szCs w:val="14"/>
                <w:lang w:eastAsia="en-GB"/>
              </w:rPr>
            </w:pPr>
            <w:r w:rsidRPr="00223EBE">
              <w:rPr>
                <w:rFonts w:ascii="Verdana" w:eastAsia="Times New Roman" w:hAnsi="Verdana" w:cs="Calibri"/>
                <w:b/>
                <w:bCs/>
                <w:noProof/>
                <w:color w:val="000000"/>
                <w:sz w:val="14"/>
                <w:szCs w:val="14"/>
                <w:lang w:eastAsia="en-GB"/>
              </w:rPr>
              <w:t>5</w:t>
            </w:r>
          </w:p>
        </w:tc>
        <w:tc>
          <w:tcPr>
            <w:tcW w:w="1092" w:type="dxa"/>
            <w:gridSpan w:val="2"/>
            <w:tcBorders>
              <w:top w:val="single" w:sz="4" w:space="0" w:color="FFFFFF"/>
              <w:left w:val="nil"/>
              <w:bottom w:val="single" w:sz="4" w:space="0" w:color="FFFFFF"/>
              <w:right w:val="single" w:sz="4" w:space="0" w:color="FFFFFF"/>
            </w:tcBorders>
            <w:shd w:val="clear" w:color="000000" w:fill="A6A6A6"/>
            <w:vAlign w:val="center"/>
            <w:hideMark/>
          </w:tcPr>
          <w:p w14:paraId="60335A63" w14:textId="77777777" w:rsidR="0068616C" w:rsidRPr="001D5EAD" w:rsidRDefault="0068616C" w:rsidP="000D6E86">
            <w:pPr>
              <w:spacing w:after="0" w:line="240" w:lineRule="auto"/>
              <w:jc w:val="center"/>
              <w:rPr>
                <w:rFonts w:ascii="Verdana" w:eastAsia="Times New Roman" w:hAnsi="Verdana" w:cs="Calibri"/>
                <w:b/>
                <w:bCs/>
                <w:noProof/>
                <w:color w:val="000000"/>
                <w:sz w:val="16"/>
                <w:szCs w:val="16"/>
                <w:lang w:eastAsia="en-GB"/>
              </w:rPr>
            </w:pPr>
            <w:r w:rsidRPr="001D5EAD">
              <w:rPr>
                <w:rFonts w:ascii="Verdana" w:eastAsia="Times New Roman" w:hAnsi="Verdana" w:cs="Calibri"/>
                <w:b/>
                <w:bCs/>
                <w:noProof/>
                <w:color w:val="000000"/>
                <w:sz w:val="16"/>
                <w:szCs w:val="16"/>
                <w:lang w:eastAsia="en-GB"/>
              </w:rPr>
              <w:t>1</w:t>
            </w:r>
            <w:r w:rsidR="000D6E86">
              <w:rPr>
                <w:rFonts w:ascii="Verdana" w:eastAsia="Times New Roman" w:hAnsi="Verdana" w:cs="Calibri"/>
                <w:b/>
                <w:bCs/>
                <w:noProof/>
                <w:color w:val="000000"/>
                <w:sz w:val="16"/>
                <w:szCs w:val="16"/>
                <w:lang w:eastAsia="en-GB"/>
              </w:rPr>
              <w:t>15</w:t>
            </w:r>
          </w:p>
        </w:tc>
      </w:tr>
    </w:tbl>
    <w:p w14:paraId="289EA602" w14:textId="77777777" w:rsidR="0068616C" w:rsidRDefault="0068616C" w:rsidP="0068616C">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Pr>
          <w:i/>
          <w:noProof/>
          <w:color w:val="7F7F7F" w:themeColor="text1" w:themeTint="80"/>
          <w:sz w:val="18"/>
          <w:szCs w:val="18"/>
        </w:rPr>
        <w:t xml:space="preserve">Elaboration by the Study </w:t>
      </w:r>
      <w:r w:rsidRPr="009C0147">
        <w:rPr>
          <w:i/>
          <w:noProof/>
          <w:color w:val="7F7F7F" w:themeColor="text1" w:themeTint="80"/>
          <w:sz w:val="18"/>
          <w:szCs w:val="18"/>
        </w:rPr>
        <w:t>to support the preparation of an impact assessment on EU policy initiatives facilitating cross-border law enforcement cooperation</w:t>
      </w:r>
    </w:p>
    <w:p w14:paraId="69536B46" w14:textId="77777777" w:rsidR="00FA3FF8" w:rsidRDefault="00FA3FF8" w:rsidP="0068616C">
      <w:pPr>
        <w:pStyle w:val="Body"/>
        <w:jc w:val="center"/>
        <w:rPr>
          <w:i/>
          <w:noProof/>
          <w:color w:val="7F7F7F" w:themeColor="text1" w:themeTint="80"/>
          <w:sz w:val="18"/>
          <w:szCs w:val="18"/>
        </w:rPr>
      </w:pPr>
    </w:p>
    <w:p w14:paraId="40474062" w14:textId="77777777" w:rsidR="005C596A" w:rsidRPr="0009407D" w:rsidRDefault="005C596A" w:rsidP="005C596A">
      <w:pPr>
        <w:pStyle w:val="ListParagraph"/>
        <w:numPr>
          <w:ilvl w:val="6"/>
          <w:numId w:val="3"/>
        </w:numPr>
        <w:spacing w:after="0" w:line="240" w:lineRule="auto"/>
        <w:ind w:left="357" w:hanging="357"/>
        <w:jc w:val="both"/>
        <w:rPr>
          <w:rFonts w:ascii="Times New Roman" w:hAnsi="Times New Roman" w:cs="Times New Roman"/>
          <w:b/>
          <w:smallCaps/>
          <w:noProof/>
          <w:sz w:val="32"/>
          <w:szCs w:val="24"/>
        </w:rPr>
      </w:pPr>
      <w:r w:rsidRPr="0009407D">
        <w:rPr>
          <w:rFonts w:ascii="Times New Roman" w:hAnsi="Times New Roman" w:cs="Times New Roman"/>
          <w:b/>
          <w:smallCaps/>
          <w:noProof/>
          <w:sz w:val="24"/>
          <w:szCs w:val="24"/>
        </w:rPr>
        <w:t xml:space="preserve">Vertical </w:t>
      </w:r>
      <w:r>
        <w:rPr>
          <w:rFonts w:ascii="Times New Roman" w:hAnsi="Times New Roman" w:cs="Times New Roman"/>
          <w:b/>
          <w:smallCaps/>
          <w:noProof/>
          <w:sz w:val="24"/>
        </w:rPr>
        <w:t>s</w:t>
      </w:r>
      <w:r w:rsidRPr="007C7638">
        <w:rPr>
          <w:rFonts w:ascii="Times New Roman" w:hAnsi="Times New Roman" w:cs="Times New Roman"/>
          <w:b/>
          <w:smallCaps/>
          <w:noProof/>
          <w:sz w:val="24"/>
        </w:rPr>
        <w:t>upporting information regarding</w:t>
      </w:r>
      <w:r>
        <w:rPr>
          <w:rFonts w:ascii="Times New Roman" w:hAnsi="Times New Roman" w:cs="Times New Roman"/>
          <w:b/>
          <w:smallCaps/>
          <w:noProof/>
          <w:sz w:val="24"/>
        </w:rPr>
        <w:t xml:space="preserve"> </w:t>
      </w:r>
      <w:r w:rsidRPr="007C7638">
        <w:rPr>
          <w:rFonts w:ascii="Times New Roman" w:hAnsi="Times New Roman" w:cs="Times New Roman"/>
          <w:b/>
          <w:smallCaps/>
          <w:noProof/>
          <w:sz w:val="24"/>
        </w:rPr>
        <w:t xml:space="preserve">the problem 1 </w:t>
      </w:r>
    </w:p>
    <w:p w14:paraId="087DD548" w14:textId="77777777" w:rsidR="005C596A" w:rsidRPr="00BD2B17" w:rsidRDefault="005C596A" w:rsidP="005C596A">
      <w:pPr>
        <w:pStyle w:val="Text2"/>
        <w:spacing w:after="0"/>
        <w:ind w:left="360"/>
        <w:rPr>
          <w:rFonts w:asciiTheme="minorHAnsi" w:eastAsiaTheme="minorHAnsi" w:hAnsiTheme="minorHAnsi" w:cstheme="minorBidi"/>
          <w:b/>
          <w:noProof/>
          <w:sz w:val="8"/>
          <w:szCs w:val="8"/>
        </w:rPr>
      </w:pPr>
    </w:p>
    <w:p w14:paraId="5E6BF14A" w14:textId="77777777" w:rsidR="0068616C" w:rsidRPr="00245FF0" w:rsidRDefault="0068616C" w:rsidP="0068616C">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binding EU measures with respect to the access to and exchange of information (Part 1)</w:t>
      </w:r>
    </w:p>
    <w:tbl>
      <w:tblPr>
        <w:tblStyle w:val="TableGrid"/>
        <w:tblW w:w="5000" w:type="pct"/>
        <w:tblLook w:val="04A0" w:firstRow="1" w:lastRow="0" w:firstColumn="1" w:lastColumn="0" w:noHBand="0" w:noVBand="1"/>
      </w:tblPr>
      <w:tblGrid>
        <w:gridCol w:w="2461"/>
        <w:gridCol w:w="2216"/>
        <w:gridCol w:w="2358"/>
        <w:gridCol w:w="2615"/>
        <w:gridCol w:w="2676"/>
        <w:gridCol w:w="2460"/>
      </w:tblGrid>
      <w:tr w:rsidR="0068616C" w:rsidRPr="001D5EAD" w14:paraId="1B3481C8" w14:textId="77777777" w:rsidTr="0068616C">
        <w:trPr>
          <w:trHeight w:val="552"/>
          <w:tblHeader/>
        </w:trPr>
        <w:tc>
          <w:tcPr>
            <w:tcW w:w="832" w:type="pct"/>
            <w:shd w:val="clear" w:color="auto" w:fill="00B0F0"/>
          </w:tcPr>
          <w:p w14:paraId="6E147E52" w14:textId="77777777" w:rsidR="0068616C" w:rsidRPr="001D5EAD" w:rsidRDefault="0068616C" w:rsidP="0068616C">
            <w:pPr>
              <w:pStyle w:val="Boxtext"/>
              <w:rPr>
                <w:noProof/>
                <w:sz w:val="16"/>
                <w:szCs w:val="16"/>
              </w:rPr>
            </w:pPr>
          </w:p>
        </w:tc>
        <w:tc>
          <w:tcPr>
            <w:tcW w:w="749" w:type="pct"/>
            <w:shd w:val="clear" w:color="auto" w:fill="00B0F0"/>
          </w:tcPr>
          <w:p w14:paraId="233EF2D9"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Decision 2006/560 on the common use of liaison officers posted abroad</w:t>
            </w:r>
          </w:p>
        </w:tc>
        <w:tc>
          <w:tcPr>
            <w:tcW w:w="797" w:type="pct"/>
            <w:shd w:val="clear" w:color="auto" w:fill="00B0F0"/>
          </w:tcPr>
          <w:p w14:paraId="40F72767"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Decision 2008/633</w:t>
            </w:r>
          </w:p>
          <w:p w14:paraId="64AF7993"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(VIS for terrorist offences and of other serious criminal offences)</w:t>
            </w:r>
          </w:p>
        </w:tc>
        <w:tc>
          <w:tcPr>
            <w:tcW w:w="884" w:type="pct"/>
            <w:shd w:val="clear" w:color="auto" w:fill="00B0F0"/>
          </w:tcPr>
          <w:p w14:paraId="3AD7F078"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Framework Decision 2006/960 (SFD)</w:t>
            </w:r>
          </w:p>
        </w:tc>
        <w:tc>
          <w:tcPr>
            <w:tcW w:w="905" w:type="pct"/>
            <w:shd w:val="clear" w:color="auto" w:fill="00B0F0"/>
          </w:tcPr>
          <w:p w14:paraId="0930ECEF" w14:textId="77777777" w:rsidR="0068616C" w:rsidRPr="001D5EAD" w:rsidRDefault="0068616C" w:rsidP="00E97BEC">
            <w:pPr>
              <w:pStyle w:val="Boxtext"/>
              <w:jc w:val="center"/>
              <w:rPr>
                <w:noProof/>
                <w:color w:val="FFFFFF" w:themeColor="background1"/>
                <w:sz w:val="16"/>
                <w:szCs w:val="16"/>
              </w:rPr>
            </w:pPr>
            <w:r w:rsidRPr="001D5EAD">
              <w:rPr>
                <w:noProof/>
                <w:color w:val="FFFFFF" w:themeColor="background1"/>
                <w:sz w:val="16"/>
                <w:szCs w:val="16"/>
              </w:rPr>
              <w:t xml:space="preserve">Regulation 2018/1860 </w:t>
            </w:r>
            <w:r w:rsidRPr="001D5EAD">
              <w:rPr>
                <w:noProof/>
                <w:color w:val="FFFFFF" w:themeColor="background1"/>
                <w:sz w:val="16"/>
                <w:szCs w:val="16"/>
              </w:rPr>
              <w:br/>
              <w:t>Regulation 2018/1861</w:t>
            </w:r>
            <w:r w:rsidRPr="001D5EAD">
              <w:rPr>
                <w:noProof/>
                <w:color w:val="FFFFFF" w:themeColor="background1"/>
                <w:sz w:val="16"/>
                <w:szCs w:val="16"/>
              </w:rPr>
              <w:br/>
              <w:t>Regulation 2018/1862</w:t>
            </w:r>
          </w:p>
        </w:tc>
        <w:tc>
          <w:tcPr>
            <w:tcW w:w="832" w:type="pct"/>
            <w:shd w:val="clear" w:color="auto" w:fill="00B0F0"/>
          </w:tcPr>
          <w:p w14:paraId="34FE4F49"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Regulation 2019/818 (Interoperability between EU information systems)</w:t>
            </w:r>
          </w:p>
        </w:tc>
      </w:tr>
      <w:tr w:rsidR="0068616C" w:rsidRPr="001D5EAD" w14:paraId="4C169AED" w14:textId="77777777" w:rsidTr="0068616C">
        <w:trPr>
          <w:trHeight w:val="1224"/>
        </w:trPr>
        <w:tc>
          <w:tcPr>
            <w:tcW w:w="832" w:type="pct"/>
            <w:shd w:val="clear" w:color="auto" w:fill="D9D9D9"/>
          </w:tcPr>
          <w:p w14:paraId="48639C77" w14:textId="77777777" w:rsidR="0068616C" w:rsidRPr="001D5EAD" w:rsidRDefault="0068616C" w:rsidP="0068616C">
            <w:pPr>
              <w:pStyle w:val="Boxtext"/>
              <w:jc w:val="left"/>
              <w:rPr>
                <w:noProof/>
                <w:sz w:val="16"/>
                <w:szCs w:val="16"/>
              </w:rPr>
            </w:pPr>
            <w:r w:rsidRPr="001D5EAD">
              <w:rPr>
                <w:noProof/>
                <w:sz w:val="16"/>
                <w:szCs w:val="16"/>
              </w:rPr>
              <w:t>Objective</w:t>
            </w:r>
          </w:p>
        </w:tc>
        <w:tc>
          <w:tcPr>
            <w:tcW w:w="749" w:type="pct"/>
          </w:tcPr>
          <w:p w14:paraId="30764DA9" w14:textId="77777777" w:rsidR="0068616C" w:rsidRPr="001D5EAD" w:rsidRDefault="0068616C" w:rsidP="0068616C">
            <w:pPr>
              <w:pStyle w:val="Boxtext"/>
              <w:jc w:val="left"/>
              <w:rPr>
                <w:noProof/>
                <w:sz w:val="16"/>
                <w:szCs w:val="16"/>
              </w:rPr>
            </w:pPr>
            <w:r w:rsidRPr="001D5EAD">
              <w:rPr>
                <w:noProof/>
                <w:sz w:val="16"/>
                <w:szCs w:val="16"/>
              </w:rPr>
              <w:t xml:space="preserve">To ensure that Europol’s liaison officers seconded to third countries and international </w:t>
            </w:r>
            <w:r>
              <w:rPr>
                <w:noProof/>
                <w:sz w:val="16"/>
                <w:szCs w:val="16"/>
              </w:rPr>
              <w:t>o</w:t>
            </w:r>
            <w:r w:rsidRPr="001D5EAD">
              <w:rPr>
                <w:noProof/>
                <w:sz w:val="16"/>
                <w:szCs w:val="16"/>
              </w:rPr>
              <w:t>rganisations provide it with information relating to serious threats of criminal offences to Member States for those criminal offences for which Europol is competent under the Europol Convention</w:t>
            </w:r>
          </w:p>
        </w:tc>
        <w:tc>
          <w:tcPr>
            <w:tcW w:w="797" w:type="pct"/>
          </w:tcPr>
          <w:p w14:paraId="458E0A5C" w14:textId="77777777" w:rsidR="0068616C" w:rsidRPr="001D5EAD" w:rsidRDefault="0068616C" w:rsidP="0068616C">
            <w:pPr>
              <w:pStyle w:val="Boxtext"/>
              <w:jc w:val="left"/>
              <w:rPr>
                <w:noProof/>
                <w:sz w:val="16"/>
                <w:szCs w:val="16"/>
              </w:rPr>
            </w:pPr>
            <w:r w:rsidRPr="001D5EAD">
              <w:rPr>
                <w:noProof/>
                <w:sz w:val="16"/>
                <w:szCs w:val="16"/>
              </w:rPr>
              <w:t>To provide access to Member States' designated authorities and the European Police Office (Europol) for consultation of the Visa Information System (VIS) for the purposes of the prevention, detection and investigation of terrorist offences and of other serious criminal offences</w:t>
            </w:r>
          </w:p>
        </w:tc>
        <w:tc>
          <w:tcPr>
            <w:tcW w:w="884" w:type="pct"/>
          </w:tcPr>
          <w:p w14:paraId="75304D93" w14:textId="77777777" w:rsidR="0068616C" w:rsidRPr="001D5EAD" w:rsidRDefault="0068616C" w:rsidP="0068616C">
            <w:pPr>
              <w:pStyle w:val="Boxtext"/>
              <w:jc w:val="left"/>
              <w:rPr>
                <w:noProof/>
                <w:sz w:val="16"/>
                <w:szCs w:val="16"/>
              </w:rPr>
            </w:pPr>
            <w:r w:rsidRPr="001D5EAD">
              <w:rPr>
                <w:noProof/>
                <w:sz w:val="16"/>
                <w:szCs w:val="16"/>
              </w:rPr>
              <w:t>To establish the rules under which Member States’ law enforcement authorities</w:t>
            </w:r>
            <w:r>
              <w:rPr>
                <w:noProof/>
                <w:sz w:val="16"/>
                <w:szCs w:val="16"/>
              </w:rPr>
              <w:t xml:space="preserve"> </w:t>
            </w:r>
            <w:r w:rsidRPr="001D5EAD">
              <w:rPr>
                <w:noProof/>
                <w:sz w:val="16"/>
                <w:szCs w:val="16"/>
              </w:rPr>
              <w:t>may exchange information and intelligence effectively and expeditiously for the</w:t>
            </w:r>
            <w:r>
              <w:rPr>
                <w:noProof/>
                <w:sz w:val="16"/>
                <w:szCs w:val="16"/>
              </w:rPr>
              <w:t xml:space="preserve"> </w:t>
            </w:r>
            <w:r w:rsidRPr="001D5EAD">
              <w:rPr>
                <w:noProof/>
                <w:sz w:val="16"/>
                <w:szCs w:val="16"/>
              </w:rPr>
              <w:t>purpose of conducting criminal investigations or criminal intelligence operations</w:t>
            </w:r>
          </w:p>
        </w:tc>
        <w:tc>
          <w:tcPr>
            <w:tcW w:w="905" w:type="pct"/>
          </w:tcPr>
          <w:p w14:paraId="591CFEA8" w14:textId="77777777" w:rsidR="0068616C" w:rsidRPr="001D5EAD" w:rsidRDefault="0068616C" w:rsidP="0068616C">
            <w:pPr>
              <w:pStyle w:val="Tablebullet1"/>
              <w:ind w:left="87" w:hanging="159"/>
              <w:jc w:val="left"/>
              <w:rPr>
                <w:noProof/>
                <w:sz w:val="16"/>
                <w:szCs w:val="16"/>
              </w:rPr>
            </w:pPr>
            <w:r w:rsidRPr="001D5EAD">
              <w:rPr>
                <w:noProof/>
                <w:sz w:val="16"/>
                <w:szCs w:val="16"/>
                <w:u w:val="single"/>
              </w:rPr>
              <w:t>Regulation 2018/1860</w:t>
            </w:r>
            <w:r w:rsidRPr="001D5EAD">
              <w:rPr>
                <w:noProof/>
                <w:sz w:val="16"/>
                <w:szCs w:val="16"/>
              </w:rPr>
              <w:t>: to strengthen enforcement of the EU’s return policy and reduces incentives for illegal immigration into the EU.</w:t>
            </w:r>
          </w:p>
          <w:p w14:paraId="48624F6B" w14:textId="77777777" w:rsidR="0068616C" w:rsidRPr="001D5EAD" w:rsidRDefault="0068616C" w:rsidP="0068616C">
            <w:pPr>
              <w:pStyle w:val="Tablebullet1"/>
              <w:ind w:left="87" w:hanging="159"/>
              <w:jc w:val="left"/>
              <w:rPr>
                <w:noProof/>
                <w:sz w:val="16"/>
                <w:szCs w:val="16"/>
              </w:rPr>
            </w:pPr>
            <w:r w:rsidRPr="001D5EAD">
              <w:rPr>
                <w:noProof/>
                <w:sz w:val="16"/>
                <w:szCs w:val="16"/>
                <w:u w:val="single"/>
              </w:rPr>
              <w:t>Regulation 2018/1861</w:t>
            </w:r>
            <w:r w:rsidRPr="001D5EAD">
              <w:rPr>
                <w:noProof/>
                <w:sz w:val="16"/>
                <w:szCs w:val="16"/>
              </w:rPr>
              <w:t>: to define the establishment, operation and use of the Schengen Information System (SIS) in the field of border checks, and amending the Convention implementing the Schengen Agreement.</w:t>
            </w:r>
          </w:p>
          <w:p w14:paraId="7E8D9448" w14:textId="77777777" w:rsidR="0068616C" w:rsidRPr="00A90E83" w:rsidRDefault="0068616C" w:rsidP="009F2E2F">
            <w:pPr>
              <w:pStyle w:val="Tablebullet1"/>
              <w:ind w:left="87" w:hanging="159"/>
              <w:jc w:val="left"/>
              <w:rPr>
                <w:noProof/>
                <w:sz w:val="16"/>
                <w:szCs w:val="16"/>
              </w:rPr>
            </w:pPr>
            <w:r w:rsidRPr="001D5EAD">
              <w:rPr>
                <w:noProof/>
                <w:sz w:val="16"/>
                <w:szCs w:val="16"/>
                <w:u w:val="single"/>
              </w:rPr>
              <w:t>Regulation 2018/1862</w:t>
            </w:r>
            <w:r w:rsidRPr="001D5EAD">
              <w:rPr>
                <w:noProof/>
                <w:sz w:val="16"/>
                <w:szCs w:val="16"/>
              </w:rPr>
              <w:t>: to define the establishment, operation and use of the Schengen Information System (SIS) in the field of police cooperation and judicial cooperation in criminal matters</w:t>
            </w:r>
          </w:p>
        </w:tc>
        <w:tc>
          <w:tcPr>
            <w:tcW w:w="832" w:type="pct"/>
          </w:tcPr>
          <w:p w14:paraId="187E9B40" w14:textId="77777777" w:rsidR="0068616C" w:rsidRPr="001D5EAD" w:rsidRDefault="0068616C" w:rsidP="0068616C">
            <w:pPr>
              <w:pStyle w:val="Boxtext"/>
              <w:jc w:val="left"/>
              <w:rPr>
                <w:noProof/>
                <w:sz w:val="16"/>
                <w:szCs w:val="16"/>
              </w:rPr>
            </w:pPr>
            <w:r w:rsidRPr="001D5EAD">
              <w:rPr>
                <w:noProof/>
                <w:sz w:val="16"/>
                <w:szCs w:val="16"/>
              </w:rPr>
              <w:t>To establish a European search portal (ESP) for the purposes of facilitating the fast, seamless, efficient, systematic and controlled access of Member State authorities and Union agencies to the EU information systems</w:t>
            </w:r>
          </w:p>
        </w:tc>
      </w:tr>
      <w:tr w:rsidR="0068616C" w:rsidRPr="001D5EAD" w14:paraId="6935FE6E" w14:textId="77777777" w:rsidTr="0068616C">
        <w:tc>
          <w:tcPr>
            <w:tcW w:w="832" w:type="pct"/>
          </w:tcPr>
          <w:p w14:paraId="1A42442D" w14:textId="77777777" w:rsidR="0068616C" w:rsidRPr="001D5EAD" w:rsidRDefault="0068616C" w:rsidP="0068616C">
            <w:pPr>
              <w:pStyle w:val="Boxtext"/>
              <w:jc w:val="left"/>
              <w:rPr>
                <w:noProof/>
                <w:sz w:val="16"/>
                <w:szCs w:val="16"/>
              </w:rPr>
            </w:pPr>
            <w:r w:rsidRPr="001D5EAD">
              <w:rPr>
                <w:noProof/>
                <w:sz w:val="16"/>
                <w:szCs w:val="16"/>
              </w:rPr>
              <w:t xml:space="preserve">Type of information to be exchanged </w:t>
            </w:r>
          </w:p>
        </w:tc>
        <w:tc>
          <w:tcPr>
            <w:tcW w:w="749" w:type="pct"/>
          </w:tcPr>
          <w:p w14:paraId="7B3E3029" w14:textId="77777777" w:rsidR="0068616C" w:rsidRPr="001D5EAD" w:rsidRDefault="0068616C" w:rsidP="0068616C">
            <w:pPr>
              <w:pStyle w:val="Boxtext"/>
              <w:jc w:val="left"/>
              <w:rPr>
                <w:noProof/>
                <w:sz w:val="16"/>
                <w:szCs w:val="16"/>
              </w:rPr>
            </w:pPr>
            <w:r w:rsidRPr="001D5EAD">
              <w:rPr>
                <w:noProof/>
                <w:sz w:val="16"/>
                <w:szCs w:val="16"/>
              </w:rPr>
              <w:t>Serious threats of criminal offences</w:t>
            </w:r>
          </w:p>
        </w:tc>
        <w:tc>
          <w:tcPr>
            <w:tcW w:w="797" w:type="pct"/>
          </w:tcPr>
          <w:p w14:paraId="1BCA8F7B" w14:textId="77777777" w:rsidR="0068616C" w:rsidRPr="001D5EAD" w:rsidRDefault="0068616C" w:rsidP="0068616C">
            <w:pPr>
              <w:pStyle w:val="Boxtext"/>
              <w:jc w:val="left"/>
              <w:rPr>
                <w:noProof/>
                <w:sz w:val="16"/>
                <w:szCs w:val="16"/>
                <w:lang w:val="it-IT"/>
              </w:rPr>
            </w:pPr>
            <w:r w:rsidRPr="001D5EAD">
              <w:rPr>
                <w:noProof/>
                <w:sz w:val="16"/>
                <w:szCs w:val="16"/>
                <w:lang w:val="it-IT"/>
              </w:rPr>
              <w:t>VIS data (personal data, travel data)</w:t>
            </w:r>
          </w:p>
        </w:tc>
        <w:tc>
          <w:tcPr>
            <w:tcW w:w="884" w:type="pct"/>
          </w:tcPr>
          <w:p w14:paraId="44EF1B74" w14:textId="77777777" w:rsidR="0068616C" w:rsidRPr="001D5EAD" w:rsidRDefault="0068616C" w:rsidP="0068616C">
            <w:pPr>
              <w:pStyle w:val="Boxtext"/>
              <w:jc w:val="left"/>
              <w:rPr>
                <w:noProof/>
                <w:sz w:val="16"/>
                <w:szCs w:val="16"/>
              </w:rPr>
            </w:pPr>
            <w:r w:rsidRPr="001D5EAD">
              <w:rPr>
                <w:noProof/>
                <w:sz w:val="16"/>
                <w:szCs w:val="16"/>
              </w:rPr>
              <w:t>Information and intelligence referred to any type of information or data held by Law Enforcement Authorities (LEAs) or held by public authorities/private entities and which is available to LEAs without the use of coercive measures.</w:t>
            </w:r>
          </w:p>
        </w:tc>
        <w:tc>
          <w:tcPr>
            <w:tcW w:w="905" w:type="pct"/>
          </w:tcPr>
          <w:p w14:paraId="23FD0CB4" w14:textId="77777777" w:rsidR="0068616C" w:rsidRPr="001D5EAD" w:rsidRDefault="0068616C" w:rsidP="0068616C">
            <w:pPr>
              <w:pStyle w:val="Boxtext"/>
              <w:jc w:val="left"/>
              <w:rPr>
                <w:noProof/>
                <w:sz w:val="16"/>
                <w:szCs w:val="16"/>
              </w:rPr>
            </w:pPr>
            <w:r w:rsidRPr="001D5EAD">
              <w:rPr>
                <w:noProof/>
                <w:sz w:val="16"/>
                <w:szCs w:val="16"/>
              </w:rPr>
              <w:t>Personal data and supplementary information</w:t>
            </w:r>
          </w:p>
        </w:tc>
        <w:tc>
          <w:tcPr>
            <w:tcW w:w="832" w:type="pct"/>
          </w:tcPr>
          <w:p w14:paraId="3DDD2DE2" w14:textId="77777777" w:rsidR="0068616C" w:rsidRPr="001D5EAD" w:rsidRDefault="0068616C" w:rsidP="0068616C">
            <w:pPr>
              <w:pStyle w:val="Boxtext"/>
              <w:jc w:val="left"/>
              <w:rPr>
                <w:noProof/>
                <w:sz w:val="16"/>
                <w:szCs w:val="16"/>
              </w:rPr>
            </w:pPr>
            <w:r w:rsidRPr="001D5EAD">
              <w:rPr>
                <w:noProof/>
                <w:sz w:val="16"/>
                <w:szCs w:val="16"/>
              </w:rPr>
              <w:t>Personal data and travel documents</w:t>
            </w:r>
          </w:p>
        </w:tc>
      </w:tr>
      <w:tr w:rsidR="0068616C" w:rsidRPr="001D5EAD" w14:paraId="487E0C00" w14:textId="77777777" w:rsidTr="0068616C">
        <w:tc>
          <w:tcPr>
            <w:tcW w:w="832" w:type="pct"/>
          </w:tcPr>
          <w:p w14:paraId="576EBF2A" w14:textId="77777777" w:rsidR="0068616C" w:rsidRPr="001D5EAD" w:rsidRDefault="0068616C" w:rsidP="0068616C">
            <w:pPr>
              <w:pStyle w:val="Boxtext"/>
              <w:jc w:val="left"/>
              <w:rPr>
                <w:noProof/>
                <w:sz w:val="16"/>
                <w:szCs w:val="16"/>
              </w:rPr>
            </w:pPr>
            <w:r w:rsidRPr="001D5EAD">
              <w:rPr>
                <w:noProof/>
                <w:sz w:val="16"/>
                <w:szCs w:val="16"/>
              </w:rPr>
              <w:t>Tools/ information systems used to exchange information</w:t>
            </w:r>
          </w:p>
        </w:tc>
        <w:tc>
          <w:tcPr>
            <w:tcW w:w="749" w:type="pct"/>
            <w:shd w:val="clear" w:color="auto" w:fill="A6A6A6"/>
          </w:tcPr>
          <w:p w14:paraId="4EA89C1A" w14:textId="77777777" w:rsidR="0068616C" w:rsidRPr="001D5EAD" w:rsidDel="003765A5" w:rsidRDefault="0068616C" w:rsidP="0068616C">
            <w:pPr>
              <w:pStyle w:val="Boxtext"/>
              <w:jc w:val="left"/>
              <w:rPr>
                <w:noProof/>
                <w:sz w:val="16"/>
                <w:szCs w:val="16"/>
              </w:rPr>
            </w:pPr>
          </w:p>
        </w:tc>
        <w:tc>
          <w:tcPr>
            <w:tcW w:w="797" w:type="pct"/>
          </w:tcPr>
          <w:p w14:paraId="3579763A" w14:textId="77777777" w:rsidR="0068616C" w:rsidRPr="001D5EAD" w:rsidRDefault="0068616C" w:rsidP="0068616C">
            <w:pPr>
              <w:pStyle w:val="Boxtext"/>
              <w:jc w:val="left"/>
              <w:rPr>
                <w:noProof/>
                <w:sz w:val="16"/>
                <w:szCs w:val="16"/>
              </w:rPr>
            </w:pPr>
            <w:r w:rsidRPr="001D5EAD">
              <w:rPr>
                <w:noProof/>
                <w:sz w:val="16"/>
                <w:szCs w:val="16"/>
              </w:rPr>
              <w:t>Substantiated request in written or electronic form</w:t>
            </w:r>
          </w:p>
        </w:tc>
        <w:tc>
          <w:tcPr>
            <w:tcW w:w="884" w:type="pct"/>
          </w:tcPr>
          <w:p w14:paraId="0FB94E50" w14:textId="77777777" w:rsidR="0068616C" w:rsidRPr="001D5EAD" w:rsidRDefault="0068616C" w:rsidP="0068616C">
            <w:pPr>
              <w:pStyle w:val="Tablebullet1"/>
              <w:ind w:left="329" w:hanging="283"/>
              <w:jc w:val="left"/>
              <w:rPr>
                <w:noProof/>
                <w:sz w:val="16"/>
                <w:szCs w:val="16"/>
              </w:rPr>
            </w:pPr>
            <w:r w:rsidRPr="001D5EAD">
              <w:rPr>
                <w:noProof/>
                <w:sz w:val="16"/>
                <w:szCs w:val="16"/>
              </w:rPr>
              <w:t>Annex A includes a form to be used by the requested Member State in case of transmission/delay/ refusal of information</w:t>
            </w:r>
          </w:p>
          <w:p w14:paraId="52FE123A" w14:textId="77777777" w:rsidR="0068616C" w:rsidRPr="001D5EAD" w:rsidRDefault="0068616C" w:rsidP="0068616C">
            <w:pPr>
              <w:pStyle w:val="Tablebullet1"/>
              <w:ind w:left="329" w:hanging="283"/>
              <w:jc w:val="left"/>
              <w:rPr>
                <w:noProof/>
                <w:sz w:val="16"/>
                <w:szCs w:val="16"/>
              </w:rPr>
            </w:pPr>
            <w:r w:rsidRPr="001D5EAD">
              <w:rPr>
                <w:noProof/>
                <w:sz w:val="16"/>
                <w:szCs w:val="16"/>
              </w:rPr>
              <w:t>Annex B: request form for information and intelligence to be used by the requesting member state</w:t>
            </w:r>
          </w:p>
        </w:tc>
        <w:tc>
          <w:tcPr>
            <w:tcW w:w="905" w:type="pct"/>
          </w:tcPr>
          <w:p w14:paraId="780E19A0" w14:textId="77777777" w:rsidR="0068616C" w:rsidRPr="001D5EAD" w:rsidRDefault="0068616C" w:rsidP="0068616C">
            <w:pPr>
              <w:pStyle w:val="Boxtext"/>
              <w:jc w:val="left"/>
              <w:rPr>
                <w:noProof/>
                <w:sz w:val="16"/>
                <w:szCs w:val="16"/>
              </w:rPr>
            </w:pPr>
            <w:r w:rsidRPr="001D5EAD">
              <w:rPr>
                <w:noProof/>
                <w:sz w:val="16"/>
                <w:szCs w:val="16"/>
              </w:rPr>
              <w:t>SIS</w:t>
            </w:r>
          </w:p>
        </w:tc>
        <w:tc>
          <w:tcPr>
            <w:tcW w:w="832" w:type="pct"/>
          </w:tcPr>
          <w:p w14:paraId="4FFA182B" w14:textId="77777777" w:rsidR="0068616C" w:rsidRPr="001D5EAD" w:rsidRDefault="0068616C" w:rsidP="0068616C">
            <w:pPr>
              <w:pStyle w:val="Boxtext"/>
              <w:jc w:val="left"/>
              <w:rPr>
                <w:noProof/>
                <w:sz w:val="16"/>
                <w:szCs w:val="16"/>
              </w:rPr>
            </w:pPr>
            <w:r w:rsidRPr="001D5EAD">
              <w:rPr>
                <w:noProof/>
                <w:sz w:val="16"/>
                <w:szCs w:val="16"/>
              </w:rPr>
              <w:t>ESP</w:t>
            </w:r>
          </w:p>
        </w:tc>
      </w:tr>
      <w:tr w:rsidR="0068616C" w:rsidRPr="001D5EAD" w14:paraId="2F9AD697" w14:textId="77777777" w:rsidTr="0068616C">
        <w:tc>
          <w:tcPr>
            <w:tcW w:w="832" w:type="pct"/>
          </w:tcPr>
          <w:p w14:paraId="269F48CC" w14:textId="77777777" w:rsidR="0068616C" w:rsidRPr="001D5EAD" w:rsidRDefault="0068616C" w:rsidP="0068616C">
            <w:pPr>
              <w:pStyle w:val="Boxtext"/>
              <w:jc w:val="left"/>
              <w:rPr>
                <w:noProof/>
                <w:sz w:val="16"/>
                <w:szCs w:val="16"/>
              </w:rPr>
            </w:pPr>
            <w:r w:rsidRPr="001D5EAD">
              <w:rPr>
                <w:noProof/>
                <w:sz w:val="16"/>
                <w:szCs w:val="16"/>
              </w:rPr>
              <w:t>Specific actors involved in the exchange of information</w:t>
            </w:r>
          </w:p>
        </w:tc>
        <w:tc>
          <w:tcPr>
            <w:tcW w:w="749" w:type="pct"/>
          </w:tcPr>
          <w:p w14:paraId="47B88A0F" w14:textId="77777777" w:rsidR="0068616C" w:rsidRPr="001D5EAD" w:rsidRDefault="0068616C" w:rsidP="0068616C">
            <w:pPr>
              <w:pStyle w:val="Boxtext"/>
              <w:jc w:val="left"/>
              <w:rPr>
                <w:noProof/>
                <w:sz w:val="16"/>
                <w:szCs w:val="16"/>
              </w:rPr>
            </w:pPr>
            <w:r w:rsidRPr="001D5EAD">
              <w:rPr>
                <w:noProof/>
                <w:sz w:val="16"/>
                <w:szCs w:val="16"/>
              </w:rPr>
              <w:t>Europol liaison officers</w:t>
            </w:r>
          </w:p>
        </w:tc>
        <w:tc>
          <w:tcPr>
            <w:tcW w:w="797" w:type="pct"/>
          </w:tcPr>
          <w:p w14:paraId="0D953406" w14:textId="77777777" w:rsidR="0068616C" w:rsidRPr="001D5EAD" w:rsidRDefault="0068616C" w:rsidP="0068616C">
            <w:pPr>
              <w:pStyle w:val="Boxtext"/>
              <w:jc w:val="left"/>
              <w:rPr>
                <w:noProof/>
                <w:sz w:val="16"/>
                <w:szCs w:val="16"/>
              </w:rPr>
            </w:pPr>
            <w:r w:rsidRPr="001D5EAD">
              <w:rPr>
                <w:noProof/>
                <w:sz w:val="16"/>
                <w:szCs w:val="16"/>
              </w:rPr>
              <w:t>Designated authorities of Member States</w:t>
            </w:r>
          </w:p>
        </w:tc>
        <w:tc>
          <w:tcPr>
            <w:tcW w:w="884" w:type="pct"/>
          </w:tcPr>
          <w:p w14:paraId="2FF9841A" w14:textId="77777777" w:rsidR="0068616C" w:rsidRPr="001D5EAD" w:rsidRDefault="0068616C" w:rsidP="0068616C">
            <w:pPr>
              <w:pStyle w:val="Boxtext"/>
              <w:jc w:val="left"/>
              <w:rPr>
                <w:noProof/>
                <w:sz w:val="16"/>
                <w:szCs w:val="16"/>
              </w:rPr>
            </w:pPr>
            <w:r w:rsidRPr="001D5EAD">
              <w:rPr>
                <w:noProof/>
                <w:sz w:val="16"/>
                <w:szCs w:val="16"/>
              </w:rPr>
              <w:t>Competent law enforcement authority;</w:t>
            </w:r>
          </w:p>
          <w:p w14:paraId="124D9C96" w14:textId="77777777" w:rsidR="0068616C" w:rsidRPr="001D5EAD" w:rsidRDefault="0068616C" w:rsidP="0068616C">
            <w:pPr>
              <w:pStyle w:val="Boxtext"/>
              <w:jc w:val="left"/>
              <w:rPr>
                <w:noProof/>
                <w:sz w:val="16"/>
                <w:szCs w:val="16"/>
              </w:rPr>
            </w:pPr>
            <w:r w:rsidRPr="001D5EAD">
              <w:rPr>
                <w:noProof/>
                <w:sz w:val="16"/>
                <w:szCs w:val="16"/>
              </w:rPr>
              <w:t>Competent Prosecutor/Judicial authority</w:t>
            </w:r>
          </w:p>
        </w:tc>
        <w:tc>
          <w:tcPr>
            <w:tcW w:w="905" w:type="pct"/>
          </w:tcPr>
          <w:p w14:paraId="467CD061" w14:textId="77777777" w:rsidR="0068616C" w:rsidRPr="001D5EAD" w:rsidRDefault="0068616C" w:rsidP="0068616C">
            <w:pPr>
              <w:pStyle w:val="Boxtext"/>
              <w:jc w:val="left"/>
              <w:rPr>
                <w:noProof/>
                <w:sz w:val="16"/>
                <w:szCs w:val="16"/>
              </w:rPr>
            </w:pPr>
            <w:r w:rsidRPr="001D5EAD">
              <w:rPr>
                <w:noProof/>
                <w:sz w:val="16"/>
                <w:szCs w:val="16"/>
              </w:rPr>
              <w:t>Sirene Bureau</w:t>
            </w:r>
          </w:p>
        </w:tc>
        <w:tc>
          <w:tcPr>
            <w:tcW w:w="832" w:type="pct"/>
          </w:tcPr>
          <w:p w14:paraId="3D52E152" w14:textId="77777777" w:rsidR="0068616C" w:rsidRPr="001D5EAD" w:rsidRDefault="0068616C" w:rsidP="0068616C">
            <w:pPr>
              <w:pStyle w:val="Boxtext"/>
              <w:jc w:val="left"/>
              <w:rPr>
                <w:noProof/>
                <w:sz w:val="16"/>
                <w:szCs w:val="16"/>
              </w:rPr>
            </w:pPr>
            <w:r w:rsidRPr="001D5EAD">
              <w:rPr>
                <w:noProof/>
                <w:sz w:val="16"/>
                <w:szCs w:val="16"/>
              </w:rPr>
              <w:t xml:space="preserve">Member State authorities and EU agencies having access to, at least, one of the EU information systems. Queries to the Common Identity </w:t>
            </w:r>
            <w:r>
              <w:rPr>
                <w:noProof/>
                <w:sz w:val="16"/>
                <w:szCs w:val="16"/>
              </w:rPr>
              <w:t>R</w:t>
            </w:r>
            <w:r w:rsidRPr="001D5EAD">
              <w:rPr>
                <w:noProof/>
                <w:sz w:val="16"/>
                <w:szCs w:val="16"/>
              </w:rPr>
              <w:t>epository (CIR) shall be carried out by a police authority</w:t>
            </w:r>
          </w:p>
        </w:tc>
      </w:tr>
      <w:tr w:rsidR="0068616C" w:rsidRPr="001D5EAD" w14:paraId="15BB9396" w14:textId="77777777" w:rsidTr="0068616C">
        <w:tc>
          <w:tcPr>
            <w:tcW w:w="832" w:type="pct"/>
          </w:tcPr>
          <w:p w14:paraId="6227237D" w14:textId="77777777" w:rsidR="0068616C" w:rsidRPr="001D5EAD" w:rsidRDefault="0068616C" w:rsidP="0068616C">
            <w:pPr>
              <w:pStyle w:val="Boxtext"/>
              <w:jc w:val="left"/>
              <w:rPr>
                <w:noProof/>
                <w:sz w:val="16"/>
                <w:szCs w:val="16"/>
              </w:rPr>
            </w:pPr>
            <w:r w:rsidRPr="001D5EAD">
              <w:rPr>
                <w:noProof/>
                <w:sz w:val="16"/>
                <w:szCs w:val="16"/>
              </w:rPr>
              <w:t>Timing for exchanging information</w:t>
            </w:r>
          </w:p>
        </w:tc>
        <w:tc>
          <w:tcPr>
            <w:tcW w:w="749" w:type="pct"/>
            <w:shd w:val="clear" w:color="auto" w:fill="A6A6A6" w:themeFill="background1" w:themeFillShade="A6"/>
          </w:tcPr>
          <w:p w14:paraId="12895AF0" w14:textId="77777777" w:rsidR="0068616C" w:rsidRPr="001D5EAD" w:rsidDel="003765A5" w:rsidRDefault="0068616C" w:rsidP="0068616C">
            <w:pPr>
              <w:pStyle w:val="Boxtext"/>
              <w:jc w:val="left"/>
              <w:rPr>
                <w:noProof/>
                <w:sz w:val="16"/>
                <w:szCs w:val="16"/>
              </w:rPr>
            </w:pPr>
          </w:p>
        </w:tc>
        <w:tc>
          <w:tcPr>
            <w:tcW w:w="797" w:type="pct"/>
          </w:tcPr>
          <w:p w14:paraId="3A726B93" w14:textId="77777777" w:rsidR="0068616C" w:rsidRPr="001D5EAD" w:rsidDel="007E2E09" w:rsidRDefault="0068616C" w:rsidP="0068616C">
            <w:pPr>
              <w:pStyle w:val="Boxtext"/>
              <w:jc w:val="left"/>
              <w:rPr>
                <w:noProof/>
                <w:sz w:val="16"/>
                <w:szCs w:val="16"/>
              </w:rPr>
            </w:pPr>
            <w:r w:rsidRPr="001D5EAD">
              <w:rPr>
                <w:noProof/>
                <w:sz w:val="16"/>
                <w:szCs w:val="16"/>
              </w:rPr>
              <w:t>Immediately and, in any case, no later than 60 days</w:t>
            </w:r>
          </w:p>
        </w:tc>
        <w:tc>
          <w:tcPr>
            <w:tcW w:w="884" w:type="pct"/>
          </w:tcPr>
          <w:p w14:paraId="5295BDB1" w14:textId="77777777" w:rsidR="0068616C" w:rsidRPr="001D5EAD" w:rsidDel="007E2E09" w:rsidRDefault="0068616C" w:rsidP="0068616C">
            <w:pPr>
              <w:pStyle w:val="Boxtext"/>
              <w:jc w:val="left"/>
              <w:rPr>
                <w:noProof/>
                <w:sz w:val="16"/>
                <w:szCs w:val="16"/>
              </w:rPr>
            </w:pPr>
            <w:r w:rsidRPr="001D5EAD">
              <w:rPr>
                <w:noProof/>
                <w:sz w:val="16"/>
                <w:szCs w:val="16"/>
              </w:rPr>
              <w:t>Urgent request of information or intelligence held in a database directly accessible by a law enforcement authority: 8 hours (able to be postponed to maximum 3 days);</w:t>
            </w:r>
          </w:p>
          <w:p w14:paraId="559B2097" w14:textId="77777777" w:rsidR="0068616C" w:rsidRPr="001D5EAD" w:rsidRDefault="0068616C" w:rsidP="0068616C">
            <w:pPr>
              <w:pStyle w:val="Boxtext"/>
              <w:jc w:val="left"/>
              <w:rPr>
                <w:noProof/>
                <w:sz w:val="16"/>
                <w:szCs w:val="16"/>
              </w:rPr>
            </w:pPr>
            <w:r w:rsidRPr="001D5EAD">
              <w:rPr>
                <w:noProof/>
                <w:sz w:val="16"/>
                <w:szCs w:val="16"/>
              </w:rPr>
              <w:t>Non urgent request of information or intelligence referred to the crimes above, held in a database directly accessible by a law enforcement authority: 1 week;</w:t>
            </w:r>
          </w:p>
          <w:p w14:paraId="3B3E3346" w14:textId="77777777" w:rsidR="0068616C" w:rsidRPr="001D5EAD" w:rsidRDefault="0068616C" w:rsidP="0068616C">
            <w:pPr>
              <w:pStyle w:val="Boxtext"/>
              <w:jc w:val="left"/>
              <w:rPr>
                <w:noProof/>
                <w:sz w:val="16"/>
                <w:szCs w:val="16"/>
              </w:rPr>
            </w:pPr>
            <w:r w:rsidRPr="001D5EAD">
              <w:rPr>
                <w:noProof/>
                <w:sz w:val="16"/>
                <w:szCs w:val="16"/>
              </w:rPr>
              <w:t>Other cases: within 14 days</w:t>
            </w:r>
          </w:p>
        </w:tc>
        <w:tc>
          <w:tcPr>
            <w:tcW w:w="905" w:type="pct"/>
            <w:shd w:val="clear" w:color="auto" w:fill="A6A6A6" w:themeFill="background1" w:themeFillShade="A6"/>
          </w:tcPr>
          <w:p w14:paraId="5C41C5EA" w14:textId="77777777" w:rsidR="0068616C" w:rsidRPr="001D5EAD" w:rsidRDefault="0068616C" w:rsidP="0068616C">
            <w:pPr>
              <w:pStyle w:val="Boxtext"/>
              <w:jc w:val="left"/>
              <w:rPr>
                <w:noProof/>
                <w:sz w:val="16"/>
                <w:szCs w:val="16"/>
              </w:rPr>
            </w:pPr>
          </w:p>
        </w:tc>
        <w:tc>
          <w:tcPr>
            <w:tcW w:w="832" w:type="pct"/>
            <w:shd w:val="clear" w:color="auto" w:fill="A6A6A6" w:themeFill="background1" w:themeFillShade="A6"/>
          </w:tcPr>
          <w:p w14:paraId="625298C4" w14:textId="77777777" w:rsidR="0068616C" w:rsidRPr="001D5EAD" w:rsidRDefault="0068616C" w:rsidP="0068616C">
            <w:pPr>
              <w:pStyle w:val="Boxtext"/>
              <w:jc w:val="left"/>
              <w:rPr>
                <w:noProof/>
                <w:sz w:val="16"/>
                <w:szCs w:val="16"/>
              </w:rPr>
            </w:pPr>
          </w:p>
        </w:tc>
      </w:tr>
      <w:tr w:rsidR="0068616C" w:rsidRPr="001D5EAD" w14:paraId="71398E0F" w14:textId="77777777" w:rsidTr="0068616C">
        <w:tc>
          <w:tcPr>
            <w:tcW w:w="832" w:type="pct"/>
          </w:tcPr>
          <w:p w14:paraId="5819A90C" w14:textId="77777777" w:rsidR="0068616C" w:rsidRPr="001D5EAD" w:rsidRDefault="0068616C" w:rsidP="0068616C">
            <w:pPr>
              <w:pStyle w:val="Boxtext"/>
              <w:jc w:val="left"/>
              <w:rPr>
                <w:noProof/>
                <w:sz w:val="16"/>
                <w:szCs w:val="16"/>
              </w:rPr>
            </w:pPr>
            <w:r w:rsidRPr="001D5EAD">
              <w:rPr>
                <w:noProof/>
                <w:sz w:val="16"/>
                <w:szCs w:val="16"/>
              </w:rPr>
              <w:t>Language to be used for the exchange of information</w:t>
            </w:r>
          </w:p>
        </w:tc>
        <w:tc>
          <w:tcPr>
            <w:tcW w:w="749" w:type="pct"/>
            <w:shd w:val="clear" w:color="auto" w:fill="A6A6A6" w:themeFill="background1" w:themeFillShade="A6"/>
          </w:tcPr>
          <w:p w14:paraId="6B771D1B" w14:textId="77777777" w:rsidR="0068616C" w:rsidRPr="001D5EAD" w:rsidDel="003765A5" w:rsidRDefault="0068616C" w:rsidP="0068616C">
            <w:pPr>
              <w:pStyle w:val="Boxtext"/>
              <w:jc w:val="left"/>
              <w:rPr>
                <w:noProof/>
                <w:sz w:val="16"/>
                <w:szCs w:val="16"/>
              </w:rPr>
            </w:pPr>
          </w:p>
        </w:tc>
        <w:tc>
          <w:tcPr>
            <w:tcW w:w="797" w:type="pct"/>
            <w:shd w:val="clear" w:color="auto" w:fill="A6A6A6" w:themeFill="background1" w:themeFillShade="A6"/>
          </w:tcPr>
          <w:p w14:paraId="53A4764A" w14:textId="77777777" w:rsidR="0068616C" w:rsidRPr="001D5EAD" w:rsidRDefault="0068616C" w:rsidP="0068616C">
            <w:pPr>
              <w:pStyle w:val="Boxtext"/>
              <w:jc w:val="left"/>
              <w:rPr>
                <w:noProof/>
                <w:sz w:val="16"/>
                <w:szCs w:val="16"/>
              </w:rPr>
            </w:pPr>
          </w:p>
        </w:tc>
        <w:tc>
          <w:tcPr>
            <w:tcW w:w="884" w:type="pct"/>
          </w:tcPr>
          <w:p w14:paraId="675ADADC" w14:textId="77777777" w:rsidR="0068616C" w:rsidRPr="001D5EAD" w:rsidRDefault="0068616C" w:rsidP="0068616C">
            <w:pPr>
              <w:pStyle w:val="Boxtext"/>
              <w:jc w:val="left"/>
              <w:rPr>
                <w:noProof/>
                <w:sz w:val="16"/>
                <w:szCs w:val="16"/>
              </w:rPr>
            </w:pPr>
            <w:r w:rsidRPr="001D5EAD">
              <w:rPr>
                <w:noProof/>
                <w:sz w:val="16"/>
                <w:szCs w:val="16"/>
              </w:rPr>
              <w:t>Language applicable for the channel used</w:t>
            </w:r>
          </w:p>
        </w:tc>
        <w:tc>
          <w:tcPr>
            <w:tcW w:w="905" w:type="pct"/>
            <w:shd w:val="clear" w:color="auto" w:fill="A6A6A6" w:themeFill="background1" w:themeFillShade="A6"/>
          </w:tcPr>
          <w:p w14:paraId="238B0BEE" w14:textId="77777777" w:rsidR="0068616C" w:rsidRPr="001D5EAD" w:rsidRDefault="0068616C" w:rsidP="0068616C">
            <w:pPr>
              <w:pStyle w:val="Boxtext"/>
              <w:jc w:val="left"/>
              <w:rPr>
                <w:noProof/>
                <w:sz w:val="16"/>
                <w:szCs w:val="16"/>
              </w:rPr>
            </w:pPr>
          </w:p>
        </w:tc>
        <w:tc>
          <w:tcPr>
            <w:tcW w:w="832" w:type="pct"/>
            <w:shd w:val="clear" w:color="auto" w:fill="A6A6A6" w:themeFill="background1" w:themeFillShade="A6"/>
          </w:tcPr>
          <w:p w14:paraId="2855736B" w14:textId="77777777" w:rsidR="0068616C" w:rsidRPr="001D5EAD" w:rsidRDefault="0068616C" w:rsidP="0068616C">
            <w:pPr>
              <w:pStyle w:val="Boxtext"/>
              <w:jc w:val="left"/>
              <w:rPr>
                <w:noProof/>
                <w:sz w:val="16"/>
                <w:szCs w:val="16"/>
              </w:rPr>
            </w:pPr>
          </w:p>
        </w:tc>
      </w:tr>
      <w:tr w:rsidR="0068616C" w:rsidRPr="001D5EAD" w14:paraId="689A340A" w14:textId="77777777" w:rsidTr="0068616C">
        <w:tc>
          <w:tcPr>
            <w:tcW w:w="832" w:type="pct"/>
          </w:tcPr>
          <w:p w14:paraId="480BCC83" w14:textId="77777777" w:rsidR="0068616C" w:rsidRPr="001D5EAD" w:rsidRDefault="0068616C" w:rsidP="0068616C">
            <w:pPr>
              <w:pStyle w:val="Boxtext"/>
              <w:jc w:val="left"/>
              <w:rPr>
                <w:noProof/>
                <w:sz w:val="16"/>
                <w:szCs w:val="16"/>
              </w:rPr>
            </w:pPr>
            <w:r w:rsidRPr="001D5EAD">
              <w:rPr>
                <w:noProof/>
                <w:sz w:val="16"/>
                <w:szCs w:val="16"/>
              </w:rPr>
              <w:t xml:space="preserve">Requirements for exchanging information relating to specific areas </w:t>
            </w:r>
          </w:p>
        </w:tc>
        <w:tc>
          <w:tcPr>
            <w:tcW w:w="749" w:type="pct"/>
            <w:shd w:val="clear" w:color="auto" w:fill="A6A6A6" w:themeFill="background1" w:themeFillShade="A6"/>
          </w:tcPr>
          <w:p w14:paraId="07B18932" w14:textId="77777777" w:rsidR="0068616C" w:rsidRPr="001D5EAD" w:rsidRDefault="0068616C" w:rsidP="0068616C">
            <w:pPr>
              <w:pStyle w:val="Boxtext"/>
              <w:jc w:val="left"/>
              <w:rPr>
                <w:noProof/>
                <w:sz w:val="16"/>
                <w:szCs w:val="16"/>
              </w:rPr>
            </w:pPr>
          </w:p>
        </w:tc>
        <w:tc>
          <w:tcPr>
            <w:tcW w:w="797" w:type="pct"/>
          </w:tcPr>
          <w:p w14:paraId="40E90134" w14:textId="77777777" w:rsidR="0068616C" w:rsidRPr="001D5EAD" w:rsidRDefault="0068616C" w:rsidP="0068616C">
            <w:pPr>
              <w:pStyle w:val="Boxtext"/>
              <w:jc w:val="left"/>
              <w:rPr>
                <w:noProof/>
                <w:sz w:val="16"/>
                <w:szCs w:val="16"/>
              </w:rPr>
            </w:pPr>
            <w:r w:rsidRPr="001D5EAD">
              <w:rPr>
                <w:noProof/>
                <w:sz w:val="16"/>
                <w:szCs w:val="16"/>
              </w:rPr>
              <w:t xml:space="preserve">Two requirements are necessary: </w:t>
            </w:r>
          </w:p>
          <w:p w14:paraId="45E01104" w14:textId="77777777" w:rsidR="0068616C" w:rsidRPr="001D5EAD" w:rsidRDefault="0068616C" w:rsidP="0068616C">
            <w:pPr>
              <w:pStyle w:val="Boxtext"/>
              <w:jc w:val="left"/>
              <w:rPr>
                <w:noProof/>
                <w:sz w:val="16"/>
                <w:szCs w:val="16"/>
              </w:rPr>
            </w:pPr>
            <w:r w:rsidRPr="001D5EAD">
              <w:rPr>
                <w:noProof/>
                <w:sz w:val="16"/>
                <w:szCs w:val="16"/>
              </w:rPr>
              <w:t xml:space="preserve">Access for consultation must be necessary for the purpose of the prevention, detection or investigation of terrorist offences or other serious criminal offences; </w:t>
            </w:r>
          </w:p>
          <w:p w14:paraId="3FF99A39" w14:textId="77777777" w:rsidR="0068616C" w:rsidRPr="001D5EAD" w:rsidRDefault="0068616C" w:rsidP="0068616C">
            <w:pPr>
              <w:pStyle w:val="Boxtext"/>
              <w:jc w:val="left"/>
              <w:rPr>
                <w:noProof/>
                <w:sz w:val="16"/>
                <w:szCs w:val="16"/>
              </w:rPr>
            </w:pPr>
            <w:r w:rsidRPr="001D5EAD">
              <w:rPr>
                <w:noProof/>
                <w:sz w:val="16"/>
                <w:szCs w:val="16"/>
              </w:rPr>
              <w:t xml:space="preserve">There are reasonable </w:t>
            </w:r>
            <w:r>
              <w:rPr>
                <w:noProof/>
                <w:sz w:val="16"/>
                <w:szCs w:val="16"/>
              </w:rPr>
              <w:t>g</w:t>
            </w:r>
            <w:r w:rsidRPr="001D5EAD">
              <w:rPr>
                <w:noProof/>
                <w:sz w:val="16"/>
                <w:szCs w:val="16"/>
              </w:rPr>
              <w:t>rounds to consider that consultation</w:t>
            </w:r>
            <w:r>
              <w:rPr>
                <w:noProof/>
                <w:sz w:val="16"/>
                <w:szCs w:val="16"/>
              </w:rPr>
              <w:t xml:space="preserve"> </w:t>
            </w:r>
            <w:r w:rsidRPr="001D5EAD">
              <w:rPr>
                <w:noProof/>
                <w:sz w:val="16"/>
                <w:szCs w:val="16"/>
              </w:rPr>
              <w:t>of VIS data will contribute to the prevention, detection or investigation of a criminal offence</w:t>
            </w:r>
          </w:p>
        </w:tc>
        <w:tc>
          <w:tcPr>
            <w:tcW w:w="884" w:type="pct"/>
            <w:shd w:val="clear" w:color="auto" w:fill="A6A6A6" w:themeFill="background1" w:themeFillShade="A6"/>
          </w:tcPr>
          <w:p w14:paraId="659E5964" w14:textId="77777777" w:rsidR="0068616C" w:rsidRPr="001D5EAD" w:rsidRDefault="0068616C" w:rsidP="0068616C">
            <w:pPr>
              <w:pStyle w:val="Boxtext"/>
              <w:jc w:val="left"/>
              <w:rPr>
                <w:noProof/>
                <w:sz w:val="16"/>
                <w:szCs w:val="16"/>
              </w:rPr>
            </w:pPr>
          </w:p>
        </w:tc>
        <w:tc>
          <w:tcPr>
            <w:tcW w:w="905" w:type="pct"/>
            <w:shd w:val="clear" w:color="auto" w:fill="A6A6A6" w:themeFill="background1" w:themeFillShade="A6"/>
          </w:tcPr>
          <w:p w14:paraId="06D8459F" w14:textId="77777777" w:rsidR="0068616C" w:rsidRPr="001D5EAD" w:rsidRDefault="0068616C" w:rsidP="0068616C">
            <w:pPr>
              <w:pStyle w:val="Boxtext"/>
              <w:jc w:val="left"/>
              <w:rPr>
                <w:noProof/>
                <w:sz w:val="16"/>
                <w:szCs w:val="16"/>
              </w:rPr>
            </w:pPr>
          </w:p>
        </w:tc>
        <w:tc>
          <w:tcPr>
            <w:tcW w:w="832" w:type="pct"/>
            <w:shd w:val="clear" w:color="auto" w:fill="A6A6A6" w:themeFill="background1" w:themeFillShade="A6"/>
          </w:tcPr>
          <w:p w14:paraId="31F394A4" w14:textId="77777777" w:rsidR="0068616C" w:rsidRPr="001D5EAD" w:rsidRDefault="0068616C" w:rsidP="0068616C">
            <w:pPr>
              <w:pStyle w:val="Boxtext"/>
              <w:jc w:val="left"/>
              <w:rPr>
                <w:noProof/>
                <w:sz w:val="16"/>
                <w:szCs w:val="16"/>
              </w:rPr>
            </w:pPr>
          </w:p>
        </w:tc>
      </w:tr>
      <w:tr w:rsidR="0068616C" w:rsidRPr="001D5EAD" w14:paraId="489C8BB7" w14:textId="77777777" w:rsidTr="0068616C">
        <w:tc>
          <w:tcPr>
            <w:tcW w:w="832" w:type="pct"/>
          </w:tcPr>
          <w:p w14:paraId="7ECB4303" w14:textId="77777777" w:rsidR="0068616C" w:rsidRPr="001D5EAD" w:rsidRDefault="0068616C" w:rsidP="0068616C">
            <w:pPr>
              <w:pStyle w:val="Boxtext"/>
              <w:jc w:val="left"/>
              <w:rPr>
                <w:noProof/>
                <w:sz w:val="16"/>
                <w:szCs w:val="16"/>
              </w:rPr>
            </w:pPr>
            <w:r w:rsidRPr="001D5EAD">
              <w:rPr>
                <w:noProof/>
                <w:sz w:val="16"/>
                <w:szCs w:val="16"/>
              </w:rPr>
              <w:t>Mechanisms to ensure Data Protection when accessing/exchanging information</w:t>
            </w:r>
          </w:p>
        </w:tc>
        <w:tc>
          <w:tcPr>
            <w:tcW w:w="749" w:type="pct"/>
            <w:shd w:val="clear" w:color="auto" w:fill="A6A6A6" w:themeFill="background1" w:themeFillShade="A6"/>
          </w:tcPr>
          <w:p w14:paraId="56D6D30F" w14:textId="77777777" w:rsidR="0068616C" w:rsidRPr="001D5EAD" w:rsidRDefault="0068616C" w:rsidP="0068616C">
            <w:pPr>
              <w:pStyle w:val="Boxtext"/>
              <w:jc w:val="left"/>
              <w:rPr>
                <w:noProof/>
                <w:sz w:val="16"/>
                <w:szCs w:val="16"/>
              </w:rPr>
            </w:pPr>
          </w:p>
        </w:tc>
        <w:tc>
          <w:tcPr>
            <w:tcW w:w="797" w:type="pct"/>
          </w:tcPr>
          <w:p w14:paraId="0A6BC1CA" w14:textId="77777777" w:rsidR="0068616C" w:rsidRPr="001D5EAD" w:rsidRDefault="0068616C" w:rsidP="0068616C">
            <w:pPr>
              <w:pStyle w:val="Boxtext"/>
              <w:jc w:val="left"/>
              <w:rPr>
                <w:noProof/>
                <w:sz w:val="16"/>
                <w:szCs w:val="16"/>
              </w:rPr>
            </w:pPr>
            <w:r w:rsidRPr="001D5EAD">
              <w:rPr>
                <w:noProof/>
                <w:sz w:val="16"/>
                <w:szCs w:val="16"/>
              </w:rPr>
              <w:t>Each Member State shall adopt the necessary security measures with respect to data to be retrieved from the VIS pursuant to this Decision and to be subsequently stored</w:t>
            </w:r>
          </w:p>
        </w:tc>
        <w:tc>
          <w:tcPr>
            <w:tcW w:w="884" w:type="pct"/>
          </w:tcPr>
          <w:p w14:paraId="62F625F7" w14:textId="77777777" w:rsidR="0068616C" w:rsidRPr="001D5EAD" w:rsidRDefault="0068616C" w:rsidP="0068616C">
            <w:pPr>
              <w:pStyle w:val="Boxtext"/>
              <w:jc w:val="left"/>
              <w:rPr>
                <w:noProof/>
                <w:sz w:val="16"/>
                <w:szCs w:val="16"/>
              </w:rPr>
            </w:pPr>
            <w:r w:rsidRPr="001D5EAD">
              <w:rPr>
                <w:noProof/>
                <w:sz w:val="16"/>
                <w:szCs w:val="16"/>
              </w:rPr>
              <w:t>Usage of channels for international law enforcement cooperation without any further specification</w:t>
            </w:r>
          </w:p>
        </w:tc>
        <w:tc>
          <w:tcPr>
            <w:tcW w:w="905" w:type="pct"/>
          </w:tcPr>
          <w:p w14:paraId="181B6ECB" w14:textId="77777777" w:rsidR="0068616C" w:rsidRPr="001D5EAD" w:rsidRDefault="0068616C" w:rsidP="0068616C">
            <w:pPr>
              <w:pStyle w:val="Boxtext"/>
              <w:jc w:val="left"/>
              <w:rPr>
                <w:noProof/>
                <w:sz w:val="16"/>
                <w:szCs w:val="16"/>
              </w:rPr>
            </w:pPr>
            <w:r w:rsidRPr="001D5EAD">
              <w:rPr>
                <w:noProof/>
                <w:sz w:val="16"/>
                <w:szCs w:val="16"/>
              </w:rPr>
              <w:t xml:space="preserve">Member States shall ensure that the independent supervisory authorities designated in each Member State monitor the lawfulness of the processing of personal data in SIS on their territory, its transmission from their territory and the </w:t>
            </w:r>
            <w:r>
              <w:rPr>
                <w:noProof/>
                <w:sz w:val="16"/>
                <w:szCs w:val="16"/>
              </w:rPr>
              <w:t>e</w:t>
            </w:r>
            <w:r w:rsidRPr="001D5EAD">
              <w:rPr>
                <w:noProof/>
                <w:sz w:val="16"/>
                <w:szCs w:val="16"/>
              </w:rPr>
              <w:t>xchange and further processing of supplementary information on their territory</w:t>
            </w:r>
          </w:p>
        </w:tc>
        <w:tc>
          <w:tcPr>
            <w:tcW w:w="832" w:type="pct"/>
          </w:tcPr>
          <w:p w14:paraId="6F761119" w14:textId="77777777" w:rsidR="0068616C" w:rsidRPr="001D5EAD" w:rsidRDefault="0068616C" w:rsidP="0068616C">
            <w:pPr>
              <w:pStyle w:val="Boxtext"/>
              <w:jc w:val="left"/>
              <w:rPr>
                <w:noProof/>
                <w:sz w:val="16"/>
                <w:szCs w:val="16"/>
              </w:rPr>
            </w:pPr>
            <w:r w:rsidRPr="001D5EAD">
              <w:rPr>
                <w:noProof/>
                <w:sz w:val="16"/>
                <w:szCs w:val="16"/>
              </w:rPr>
              <w:t xml:space="preserve">Biometrical templates shall be stored in the shared BMS only for as long as the corresponding biometric data are stored in the CIR or SIS. </w:t>
            </w:r>
          </w:p>
          <w:p w14:paraId="1F7AE47E" w14:textId="77777777" w:rsidR="0068616C" w:rsidRPr="001D5EAD" w:rsidRDefault="0068616C" w:rsidP="0068616C">
            <w:pPr>
              <w:pStyle w:val="Boxtext"/>
              <w:jc w:val="left"/>
              <w:rPr>
                <w:noProof/>
                <w:sz w:val="16"/>
                <w:szCs w:val="16"/>
              </w:rPr>
            </w:pPr>
            <w:r w:rsidRPr="001D5EAD">
              <w:rPr>
                <w:noProof/>
                <w:sz w:val="16"/>
                <w:szCs w:val="16"/>
              </w:rPr>
              <w:t>Common identity data shall be deleted from the CIR in an automated manner in accordance with the data retention provisions of Regulation (EU) 2019/816</w:t>
            </w:r>
          </w:p>
        </w:tc>
      </w:tr>
      <w:tr w:rsidR="0068616C" w:rsidRPr="001D5EAD" w14:paraId="536A4848" w14:textId="77777777" w:rsidTr="0068616C">
        <w:tc>
          <w:tcPr>
            <w:tcW w:w="832" w:type="pct"/>
          </w:tcPr>
          <w:p w14:paraId="38A8D26F" w14:textId="77777777" w:rsidR="0068616C" w:rsidRPr="001D5EAD" w:rsidRDefault="0068616C" w:rsidP="0068616C">
            <w:pPr>
              <w:pStyle w:val="Boxtext"/>
              <w:jc w:val="left"/>
              <w:rPr>
                <w:noProof/>
                <w:sz w:val="16"/>
                <w:szCs w:val="16"/>
              </w:rPr>
            </w:pPr>
            <w:r w:rsidRPr="001D5EAD">
              <w:rPr>
                <w:noProof/>
                <w:sz w:val="16"/>
                <w:szCs w:val="16"/>
              </w:rPr>
              <w:t>Requirement to develop cross-border threat assessment/risks analysis</w:t>
            </w:r>
          </w:p>
        </w:tc>
        <w:tc>
          <w:tcPr>
            <w:tcW w:w="749" w:type="pct"/>
            <w:shd w:val="clear" w:color="auto" w:fill="A6A6A6" w:themeFill="background1" w:themeFillShade="A6"/>
          </w:tcPr>
          <w:p w14:paraId="3F9DB5D4" w14:textId="77777777" w:rsidR="0068616C" w:rsidRPr="001D5EAD" w:rsidRDefault="0068616C" w:rsidP="0068616C">
            <w:pPr>
              <w:pStyle w:val="Boxtext"/>
              <w:jc w:val="left"/>
              <w:rPr>
                <w:noProof/>
                <w:sz w:val="16"/>
                <w:szCs w:val="16"/>
              </w:rPr>
            </w:pPr>
          </w:p>
        </w:tc>
        <w:tc>
          <w:tcPr>
            <w:tcW w:w="797" w:type="pct"/>
            <w:shd w:val="clear" w:color="auto" w:fill="A6A6A6" w:themeFill="background1" w:themeFillShade="A6"/>
          </w:tcPr>
          <w:p w14:paraId="20556720" w14:textId="77777777" w:rsidR="0068616C" w:rsidRPr="001D5EAD" w:rsidRDefault="0068616C" w:rsidP="0068616C">
            <w:pPr>
              <w:pStyle w:val="Boxtext"/>
              <w:jc w:val="left"/>
              <w:rPr>
                <w:noProof/>
                <w:sz w:val="16"/>
                <w:szCs w:val="16"/>
              </w:rPr>
            </w:pPr>
          </w:p>
        </w:tc>
        <w:tc>
          <w:tcPr>
            <w:tcW w:w="884" w:type="pct"/>
            <w:shd w:val="clear" w:color="auto" w:fill="A6A6A6" w:themeFill="background1" w:themeFillShade="A6"/>
          </w:tcPr>
          <w:p w14:paraId="0761F9B1" w14:textId="77777777" w:rsidR="0068616C" w:rsidRPr="001D5EAD" w:rsidRDefault="0068616C" w:rsidP="0068616C">
            <w:pPr>
              <w:pStyle w:val="Boxtext"/>
              <w:jc w:val="left"/>
              <w:rPr>
                <w:noProof/>
                <w:sz w:val="16"/>
                <w:szCs w:val="16"/>
              </w:rPr>
            </w:pPr>
          </w:p>
        </w:tc>
        <w:tc>
          <w:tcPr>
            <w:tcW w:w="905" w:type="pct"/>
            <w:shd w:val="clear" w:color="auto" w:fill="A6A6A6" w:themeFill="background1" w:themeFillShade="A6"/>
          </w:tcPr>
          <w:p w14:paraId="54B49E37" w14:textId="77777777" w:rsidR="0068616C" w:rsidRPr="001D5EAD" w:rsidRDefault="0068616C" w:rsidP="0068616C">
            <w:pPr>
              <w:pStyle w:val="Boxtext"/>
              <w:jc w:val="left"/>
              <w:rPr>
                <w:noProof/>
                <w:sz w:val="16"/>
                <w:szCs w:val="16"/>
              </w:rPr>
            </w:pPr>
          </w:p>
        </w:tc>
        <w:tc>
          <w:tcPr>
            <w:tcW w:w="832" w:type="pct"/>
            <w:shd w:val="clear" w:color="auto" w:fill="A6A6A6" w:themeFill="background1" w:themeFillShade="A6"/>
          </w:tcPr>
          <w:p w14:paraId="3026968C" w14:textId="77777777" w:rsidR="0068616C" w:rsidRPr="001D5EAD" w:rsidRDefault="0068616C" w:rsidP="0068616C">
            <w:pPr>
              <w:pStyle w:val="Boxtext"/>
              <w:jc w:val="left"/>
              <w:rPr>
                <w:noProof/>
                <w:sz w:val="16"/>
                <w:szCs w:val="16"/>
              </w:rPr>
            </w:pPr>
          </w:p>
        </w:tc>
      </w:tr>
    </w:tbl>
    <w:p w14:paraId="2F63E0AD" w14:textId="77777777" w:rsidR="0068616C" w:rsidRPr="00A90E83" w:rsidRDefault="0068616C" w:rsidP="0068616C">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Pr>
          <w:i/>
          <w:noProof/>
          <w:color w:val="7F7F7F" w:themeColor="text1" w:themeTint="80"/>
          <w:sz w:val="18"/>
          <w:szCs w:val="18"/>
        </w:rPr>
        <w:t xml:space="preserve">Elaboration by the Study </w:t>
      </w:r>
      <w:r w:rsidRPr="009C0147">
        <w:rPr>
          <w:i/>
          <w:noProof/>
          <w:color w:val="7F7F7F" w:themeColor="text1" w:themeTint="80"/>
          <w:sz w:val="18"/>
          <w:szCs w:val="18"/>
        </w:rPr>
        <w:t>to support the preparation of an impact assessment on EU policy initiatives facilitating cross-border law enforcement cooperation</w:t>
      </w:r>
    </w:p>
    <w:p w14:paraId="25AF239E" w14:textId="77777777" w:rsidR="0068616C" w:rsidRPr="00245FF0" w:rsidRDefault="0068616C" w:rsidP="0068616C">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Overview of binding EU measures with respect to the access to and exchange of information (Part 2)</w:t>
      </w:r>
    </w:p>
    <w:tbl>
      <w:tblPr>
        <w:tblStyle w:val="TableGrid"/>
        <w:tblW w:w="5000" w:type="pct"/>
        <w:tblLook w:val="04A0" w:firstRow="1" w:lastRow="0" w:firstColumn="1" w:lastColumn="0" w:noHBand="0" w:noVBand="1"/>
      </w:tblPr>
      <w:tblGrid>
        <w:gridCol w:w="2361"/>
        <w:gridCol w:w="2108"/>
        <w:gridCol w:w="1969"/>
        <w:gridCol w:w="2097"/>
        <w:gridCol w:w="2129"/>
        <w:gridCol w:w="2064"/>
        <w:gridCol w:w="2058"/>
      </w:tblGrid>
      <w:tr w:rsidR="0068616C" w:rsidRPr="001D5EAD" w14:paraId="1B1ADAA5" w14:textId="77777777" w:rsidTr="0068616C">
        <w:trPr>
          <w:trHeight w:val="378"/>
          <w:tblHeader/>
        </w:trPr>
        <w:tc>
          <w:tcPr>
            <w:tcW w:w="798" w:type="pct"/>
            <w:shd w:val="clear" w:color="auto" w:fill="00B0F0"/>
          </w:tcPr>
          <w:p w14:paraId="4AF624E9" w14:textId="77777777" w:rsidR="0068616C" w:rsidRPr="001D5EAD" w:rsidRDefault="0068616C" w:rsidP="0068616C">
            <w:pPr>
              <w:pStyle w:val="Boxtext"/>
              <w:jc w:val="center"/>
              <w:rPr>
                <w:noProof/>
                <w:color w:val="FFFFFF" w:themeColor="background1"/>
                <w:sz w:val="16"/>
                <w:szCs w:val="16"/>
              </w:rPr>
            </w:pPr>
          </w:p>
        </w:tc>
        <w:tc>
          <w:tcPr>
            <w:tcW w:w="713" w:type="pct"/>
            <w:shd w:val="clear" w:color="auto" w:fill="00B0F0"/>
          </w:tcPr>
          <w:p w14:paraId="5FF2E78B"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Decision 2005/671 (exchange of information and cooperation concerning terrorist offences)</w:t>
            </w:r>
          </w:p>
        </w:tc>
        <w:tc>
          <w:tcPr>
            <w:tcW w:w="666" w:type="pct"/>
            <w:shd w:val="clear" w:color="auto" w:fill="00B0F0"/>
          </w:tcPr>
          <w:p w14:paraId="04A9A4BA" w14:textId="77777777" w:rsidR="0068616C" w:rsidRPr="001D5EAD" w:rsidRDefault="0068616C" w:rsidP="0068616C">
            <w:pPr>
              <w:pStyle w:val="Boxtext"/>
              <w:jc w:val="center"/>
              <w:rPr>
                <w:b/>
                <w:noProof/>
                <w:color w:val="FFFFFF" w:themeColor="background1"/>
                <w:sz w:val="16"/>
                <w:szCs w:val="16"/>
              </w:rPr>
            </w:pPr>
            <w:r w:rsidRPr="001D5EAD">
              <w:rPr>
                <w:noProof/>
                <w:color w:val="FFFFFF" w:themeColor="background1"/>
                <w:sz w:val="16"/>
                <w:szCs w:val="16"/>
              </w:rPr>
              <w:t>Council Decision 2008/615/JHA</w:t>
            </w:r>
          </w:p>
          <w:p w14:paraId="7B213641" w14:textId="77777777" w:rsidR="0068616C" w:rsidRPr="001D5EAD" w:rsidRDefault="0068616C" w:rsidP="0068616C">
            <w:pPr>
              <w:pStyle w:val="Boxtext"/>
              <w:jc w:val="center"/>
              <w:rPr>
                <w:rFonts w:cs="Times New Roman"/>
                <w:noProof/>
                <w:color w:val="FFFFFF" w:themeColor="background1"/>
                <w:sz w:val="16"/>
                <w:szCs w:val="16"/>
              </w:rPr>
            </w:pPr>
            <w:r w:rsidRPr="001D5EAD">
              <w:rPr>
                <w:noProof/>
                <w:color w:val="FFFFFF" w:themeColor="background1"/>
                <w:sz w:val="16"/>
                <w:szCs w:val="16"/>
              </w:rPr>
              <w:t>(Prüm Decision)</w:t>
            </w:r>
          </w:p>
        </w:tc>
        <w:tc>
          <w:tcPr>
            <w:tcW w:w="709" w:type="pct"/>
            <w:shd w:val="clear" w:color="auto" w:fill="00B0F0"/>
          </w:tcPr>
          <w:p w14:paraId="442B4EC7" w14:textId="77777777" w:rsidR="0068616C" w:rsidRPr="001D5EAD" w:rsidRDefault="0068616C" w:rsidP="0068616C">
            <w:pPr>
              <w:pStyle w:val="Boxtext"/>
              <w:jc w:val="center"/>
              <w:rPr>
                <w:rFonts w:cs="Times New Roman"/>
                <w:noProof/>
                <w:color w:val="FFFFFF" w:themeColor="background1"/>
                <w:sz w:val="16"/>
                <w:szCs w:val="16"/>
              </w:rPr>
            </w:pPr>
            <w:r w:rsidRPr="001D5EAD">
              <w:rPr>
                <w:noProof/>
                <w:color w:val="FFFFFF" w:themeColor="background1"/>
                <w:sz w:val="16"/>
                <w:szCs w:val="16"/>
              </w:rPr>
              <w:t>Council Decision 2002/348/JHA concerning security in connection with football matches with an international dimension</w:t>
            </w:r>
          </w:p>
        </w:tc>
        <w:tc>
          <w:tcPr>
            <w:tcW w:w="720" w:type="pct"/>
            <w:shd w:val="clear" w:color="auto" w:fill="00B0F0"/>
          </w:tcPr>
          <w:p w14:paraId="4C7A092D"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Decision 2007/412/JHA concerning security in connection with football matches with an international dimension</w:t>
            </w:r>
          </w:p>
        </w:tc>
        <w:tc>
          <w:tcPr>
            <w:tcW w:w="698" w:type="pct"/>
            <w:shd w:val="clear" w:color="auto" w:fill="00B0F0"/>
          </w:tcPr>
          <w:p w14:paraId="00BED7DF"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Decision 2009/917</w:t>
            </w:r>
          </w:p>
          <w:p w14:paraId="346C354B"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(Information technology for customs purposes)</w:t>
            </w:r>
          </w:p>
        </w:tc>
        <w:tc>
          <w:tcPr>
            <w:tcW w:w="696" w:type="pct"/>
            <w:shd w:val="clear" w:color="auto" w:fill="00B0F0"/>
          </w:tcPr>
          <w:p w14:paraId="36454954"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Naples II Convention</w:t>
            </w:r>
          </w:p>
        </w:tc>
      </w:tr>
      <w:tr w:rsidR="0068616C" w:rsidRPr="001D5EAD" w14:paraId="7DE166F2" w14:textId="77777777" w:rsidTr="0068616C">
        <w:tc>
          <w:tcPr>
            <w:tcW w:w="798" w:type="pct"/>
          </w:tcPr>
          <w:p w14:paraId="7042B3DF" w14:textId="77777777" w:rsidR="0068616C" w:rsidRPr="001D5EAD" w:rsidRDefault="0068616C" w:rsidP="0068616C">
            <w:pPr>
              <w:pStyle w:val="Boxtext"/>
              <w:jc w:val="left"/>
              <w:rPr>
                <w:noProof/>
                <w:sz w:val="16"/>
                <w:szCs w:val="16"/>
              </w:rPr>
            </w:pPr>
            <w:r w:rsidRPr="001D5EAD">
              <w:rPr>
                <w:noProof/>
                <w:sz w:val="16"/>
                <w:szCs w:val="16"/>
              </w:rPr>
              <w:t>Objective</w:t>
            </w:r>
          </w:p>
        </w:tc>
        <w:tc>
          <w:tcPr>
            <w:tcW w:w="713" w:type="pct"/>
          </w:tcPr>
          <w:p w14:paraId="49FB5A3D" w14:textId="77777777" w:rsidR="0068616C" w:rsidRPr="001D5EAD" w:rsidRDefault="0068616C" w:rsidP="0068616C">
            <w:pPr>
              <w:pStyle w:val="Boxtext"/>
              <w:jc w:val="left"/>
              <w:rPr>
                <w:noProof/>
                <w:sz w:val="16"/>
                <w:szCs w:val="16"/>
              </w:rPr>
            </w:pPr>
            <w:r w:rsidRPr="001D5EAD">
              <w:rPr>
                <w:noProof/>
                <w:sz w:val="16"/>
                <w:szCs w:val="16"/>
              </w:rPr>
              <w:t xml:space="preserve">To share information with Europol, </w:t>
            </w:r>
            <w:r>
              <w:rPr>
                <w:noProof/>
                <w:sz w:val="16"/>
                <w:szCs w:val="16"/>
              </w:rPr>
              <w:t>E</w:t>
            </w:r>
            <w:r w:rsidRPr="001D5EAD">
              <w:rPr>
                <w:noProof/>
                <w:sz w:val="16"/>
                <w:szCs w:val="16"/>
              </w:rPr>
              <w:t>urojust and Member States</w:t>
            </w:r>
          </w:p>
        </w:tc>
        <w:tc>
          <w:tcPr>
            <w:tcW w:w="666" w:type="pct"/>
          </w:tcPr>
          <w:p w14:paraId="4AC1A31C" w14:textId="77777777" w:rsidR="0068616C" w:rsidRPr="001D5EAD" w:rsidRDefault="0068616C" w:rsidP="0068616C">
            <w:pPr>
              <w:pStyle w:val="Boxtext"/>
              <w:jc w:val="left"/>
              <w:rPr>
                <w:noProof/>
                <w:sz w:val="16"/>
                <w:szCs w:val="16"/>
              </w:rPr>
            </w:pPr>
            <w:r w:rsidRPr="001D5EAD">
              <w:rPr>
                <w:noProof/>
                <w:sz w:val="16"/>
                <w:szCs w:val="16"/>
              </w:rPr>
              <w:t>To improve cross-border cooperation and exchange of information between authorities responsible for the prevention and investigation of criminal offences</w:t>
            </w:r>
          </w:p>
        </w:tc>
        <w:tc>
          <w:tcPr>
            <w:tcW w:w="709" w:type="pct"/>
          </w:tcPr>
          <w:p w14:paraId="019B57EC" w14:textId="77777777" w:rsidR="0068616C" w:rsidRPr="001D5EAD" w:rsidRDefault="0068616C" w:rsidP="0068616C">
            <w:pPr>
              <w:pStyle w:val="Boxtext"/>
              <w:jc w:val="left"/>
              <w:rPr>
                <w:noProof/>
                <w:sz w:val="16"/>
                <w:szCs w:val="16"/>
              </w:rPr>
            </w:pPr>
            <w:r w:rsidRPr="001D5EAD">
              <w:rPr>
                <w:noProof/>
                <w:sz w:val="16"/>
                <w:szCs w:val="16"/>
              </w:rPr>
              <w:t xml:space="preserve">To prevent and combat football-related violence </w:t>
            </w:r>
          </w:p>
        </w:tc>
        <w:tc>
          <w:tcPr>
            <w:tcW w:w="720" w:type="pct"/>
          </w:tcPr>
          <w:p w14:paraId="3F8897AE" w14:textId="77777777" w:rsidR="0068616C" w:rsidRPr="001D5EAD" w:rsidRDefault="0068616C" w:rsidP="0068616C">
            <w:pPr>
              <w:pStyle w:val="Boxtext"/>
              <w:jc w:val="left"/>
              <w:rPr>
                <w:noProof/>
                <w:sz w:val="16"/>
                <w:szCs w:val="16"/>
              </w:rPr>
            </w:pPr>
            <w:r w:rsidRPr="001D5EAD">
              <w:rPr>
                <w:noProof/>
                <w:sz w:val="16"/>
                <w:szCs w:val="16"/>
              </w:rPr>
              <w:t>The measure provides some amendments to the Decision 2002/348/JHA concerning security in connection with football matches with and international dimension</w:t>
            </w:r>
          </w:p>
        </w:tc>
        <w:tc>
          <w:tcPr>
            <w:tcW w:w="698" w:type="pct"/>
          </w:tcPr>
          <w:p w14:paraId="762FC8B9" w14:textId="77777777" w:rsidR="0068616C" w:rsidRPr="001D5EAD" w:rsidRDefault="0068616C" w:rsidP="0068616C">
            <w:pPr>
              <w:pStyle w:val="Boxtext"/>
              <w:jc w:val="left"/>
              <w:rPr>
                <w:noProof/>
                <w:sz w:val="16"/>
                <w:szCs w:val="16"/>
              </w:rPr>
            </w:pPr>
            <w:r w:rsidRPr="001D5EAD">
              <w:rPr>
                <w:noProof/>
                <w:sz w:val="16"/>
                <w:szCs w:val="16"/>
              </w:rPr>
              <w:t xml:space="preserve">To establish Customs Information System; </w:t>
            </w:r>
          </w:p>
          <w:p w14:paraId="223456B2" w14:textId="77777777" w:rsidR="0068616C" w:rsidRPr="001D5EAD" w:rsidRDefault="0068616C" w:rsidP="0068616C">
            <w:pPr>
              <w:pStyle w:val="Boxtext"/>
              <w:jc w:val="left"/>
              <w:rPr>
                <w:noProof/>
                <w:sz w:val="16"/>
                <w:szCs w:val="16"/>
              </w:rPr>
            </w:pPr>
            <w:r w:rsidRPr="001D5EAD">
              <w:rPr>
                <w:noProof/>
                <w:sz w:val="16"/>
                <w:szCs w:val="16"/>
              </w:rPr>
              <w:t>To establish customs files identification database</w:t>
            </w:r>
          </w:p>
        </w:tc>
        <w:tc>
          <w:tcPr>
            <w:tcW w:w="696" w:type="pct"/>
          </w:tcPr>
          <w:p w14:paraId="4CEEBD4F" w14:textId="77777777" w:rsidR="0068616C" w:rsidRPr="001D5EAD" w:rsidRDefault="0068616C" w:rsidP="0068616C">
            <w:pPr>
              <w:pStyle w:val="Boxtext"/>
              <w:jc w:val="left"/>
              <w:rPr>
                <w:noProof/>
                <w:sz w:val="16"/>
                <w:szCs w:val="16"/>
              </w:rPr>
            </w:pPr>
            <w:r w:rsidRPr="001D5EAD">
              <w:rPr>
                <w:noProof/>
                <w:sz w:val="16"/>
                <w:szCs w:val="16"/>
              </w:rPr>
              <w:t>To provide information which may enable the requesting Member State to prevent, detect and prosecute infringements</w:t>
            </w:r>
          </w:p>
        </w:tc>
      </w:tr>
      <w:tr w:rsidR="0068616C" w:rsidRPr="001D5EAD" w14:paraId="533AC8BE" w14:textId="77777777" w:rsidTr="0068616C">
        <w:tc>
          <w:tcPr>
            <w:tcW w:w="798" w:type="pct"/>
          </w:tcPr>
          <w:p w14:paraId="4B375DA8" w14:textId="77777777" w:rsidR="0068616C" w:rsidRPr="001D5EAD" w:rsidRDefault="0068616C" w:rsidP="0068616C">
            <w:pPr>
              <w:pStyle w:val="Boxtext"/>
              <w:jc w:val="left"/>
              <w:rPr>
                <w:noProof/>
                <w:sz w:val="16"/>
                <w:szCs w:val="16"/>
              </w:rPr>
            </w:pPr>
            <w:r w:rsidRPr="001D5EAD">
              <w:rPr>
                <w:noProof/>
                <w:sz w:val="16"/>
                <w:szCs w:val="16"/>
              </w:rPr>
              <w:t xml:space="preserve">Type of information to be exchanged </w:t>
            </w:r>
          </w:p>
        </w:tc>
        <w:tc>
          <w:tcPr>
            <w:tcW w:w="713" w:type="pct"/>
          </w:tcPr>
          <w:p w14:paraId="2610C6BB" w14:textId="77777777" w:rsidR="0068616C" w:rsidRPr="001D5EAD" w:rsidRDefault="0068616C" w:rsidP="0068616C">
            <w:pPr>
              <w:pStyle w:val="Boxtext"/>
              <w:jc w:val="left"/>
              <w:rPr>
                <w:noProof/>
                <w:sz w:val="16"/>
                <w:szCs w:val="16"/>
              </w:rPr>
            </w:pPr>
            <w:r w:rsidRPr="001D5EAD">
              <w:rPr>
                <w:noProof/>
                <w:sz w:val="16"/>
                <w:szCs w:val="16"/>
              </w:rPr>
              <w:t>Personal data, relevant information concerning and resulting from criminal investigations conducted by LEAs with respect to terrorist offences which affect or may affect two or more Member States</w:t>
            </w:r>
          </w:p>
        </w:tc>
        <w:tc>
          <w:tcPr>
            <w:tcW w:w="666" w:type="pct"/>
          </w:tcPr>
          <w:p w14:paraId="6CA4BF75" w14:textId="77777777" w:rsidR="0068616C" w:rsidRPr="001D5EAD" w:rsidRDefault="0068616C" w:rsidP="0068616C">
            <w:pPr>
              <w:pStyle w:val="Boxtext"/>
              <w:jc w:val="left"/>
              <w:rPr>
                <w:noProof/>
                <w:sz w:val="16"/>
                <w:szCs w:val="16"/>
              </w:rPr>
            </w:pPr>
            <w:r w:rsidRPr="001D5EAD">
              <w:rPr>
                <w:noProof/>
                <w:sz w:val="16"/>
                <w:szCs w:val="16"/>
              </w:rPr>
              <w:t>Personal data and information</w:t>
            </w:r>
          </w:p>
        </w:tc>
        <w:tc>
          <w:tcPr>
            <w:tcW w:w="709" w:type="pct"/>
          </w:tcPr>
          <w:p w14:paraId="0751EF4E" w14:textId="77777777" w:rsidR="0068616C" w:rsidRPr="001D5EAD" w:rsidRDefault="0068616C" w:rsidP="0068616C">
            <w:pPr>
              <w:pStyle w:val="Boxtext"/>
              <w:jc w:val="left"/>
              <w:rPr>
                <w:noProof/>
                <w:sz w:val="16"/>
                <w:szCs w:val="16"/>
              </w:rPr>
            </w:pPr>
            <w:r w:rsidRPr="001D5EAD">
              <w:rPr>
                <w:noProof/>
                <w:sz w:val="16"/>
                <w:szCs w:val="16"/>
              </w:rPr>
              <w:t>Personal data</w:t>
            </w:r>
          </w:p>
        </w:tc>
        <w:tc>
          <w:tcPr>
            <w:tcW w:w="720" w:type="pct"/>
          </w:tcPr>
          <w:p w14:paraId="6D564A4A" w14:textId="77777777" w:rsidR="0068616C" w:rsidRPr="001D5EAD" w:rsidRDefault="0068616C" w:rsidP="0068616C">
            <w:pPr>
              <w:pStyle w:val="Boxtext"/>
              <w:jc w:val="left"/>
              <w:rPr>
                <w:noProof/>
                <w:sz w:val="16"/>
                <w:szCs w:val="16"/>
              </w:rPr>
            </w:pPr>
            <w:r w:rsidRPr="001D5EAD">
              <w:rPr>
                <w:noProof/>
                <w:sz w:val="16"/>
                <w:szCs w:val="16"/>
              </w:rPr>
              <w:t>Strategic operational and tactical information</w:t>
            </w:r>
          </w:p>
        </w:tc>
        <w:tc>
          <w:tcPr>
            <w:tcW w:w="698" w:type="pct"/>
          </w:tcPr>
          <w:p w14:paraId="226CF99D" w14:textId="77777777" w:rsidR="0068616C" w:rsidRPr="001D5EAD" w:rsidRDefault="0068616C" w:rsidP="0068616C">
            <w:pPr>
              <w:pStyle w:val="Boxtext"/>
              <w:jc w:val="left"/>
              <w:rPr>
                <w:noProof/>
                <w:sz w:val="16"/>
                <w:szCs w:val="16"/>
              </w:rPr>
            </w:pPr>
            <w:r w:rsidRPr="001D5EAD">
              <w:rPr>
                <w:noProof/>
                <w:sz w:val="16"/>
                <w:szCs w:val="16"/>
              </w:rPr>
              <w:t xml:space="preserve">Personal data and all data useful to achieve the objective in the following categories: </w:t>
            </w:r>
          </w:p>
          <w:p w14:paraId="49B0B1E9" w14:textId="77777777" w:rsidR="0068616C" w:rsidRPr="001D5EAD" w:rsidRDefault="0068616C" w:rsidP="0068616C">
            <w:pPr>
              <w:pStyle w:val="Boxtext"/>
              <w:jc w:val="left"/>
              <w:rPr>
                <w:noProof/>
                <w:sz w:val="16"/>
                <w:szCs w:val="16"/>
              </w:rPr>
            </w:pPr>
            <w:r w:rsidRPr="001D5EAD">
              <w:rPr>
                <w:noProof/>
                <w:sz w:val="16"/>
                <w:szCs w:val="16"/>
              </w:rPr>
              <w:t xml:space="preserve">Commodities; </w:t>
            </w:r>
          </w:p>
          <w:p w14:paraId="1AA60220" w14:textId="77777777" w:rsidR="0068616C" w:rsidRPr="001D5EAD" w:rsidRDefault="0068616C" w:rsidP="0068616C">
            <w:pPr>
              <w:pStyle w:val="Boxtext"/>
              <w:jc w:val="left"/>
              <w:rPr>
                <w:noProof/>
                <w:sz w:val="16"/>
                <w:szCs w:val="16"/>
              </w:rPr>
            </w:pPr>
            <w:r w:rsidRPr="001D5EAD">
              <w:rPr>
                <w:noProof/>
                <w:sz w:val="16"/>
                <w:szCs w:val="16"/>
              </w:rPr>
              <w:t>Means of transport; Businesses;</w:t>
            </w:r>
          </w:p>
          <w:p w14:paraId="6DAC4E3A" w14:textId="77777777" w:rsidR="0068616C" w:rsidRPr="001D5EAD" w:rsidRDefault="0068616C" w:rsidP="0068616C">
            <w:pPr>
              <w:pStyle w:val="Boxtext"/>
              <w:jc w:val="left"/>
              <w:rPr>
                <w:noProof/>
                <w:sz w:val="16"/>
                <w:szCs w:val="16"/>
              </w:rPr>
            </w:pPr>
            <w:r w:rsidRPr="001D5EAD">
              <w:rPr>
                <w:noProof/>
                <w:sz w:val="16"/>
                <w:szCs w:val="16"/>
              </w:rPr>
              <w:t xml:space="preserve">Persons; </w:t>
            </w:r>
          </w:p>
          <w:p w14:paraId="064207A7" w14:textId="77777777" w:rsidR="0068616C" w:rsidRPr="001D5EAD" w:rsidRDefault="0068616C" w:rsidP="0068616C">
            <w:pPr>
              <w:pStyle w:val="Boxtext"/>
              <w:jc w:val="left"/>
              <w:rPr>
                <w:noProof/>
                <w:sz w:val="16"/>
                <w:szCs w:val="16"/>
              </w:rPr>
            </w:pPr>
            <w:r w:rsidRPr="001D5EAD">
              <w:rPr>
                <w:noProof/>
                <w:sz w:val="16"/>
                <w:szCs w:val="16"/>
              </w:rPr>
              <w:t xml:space="preserve">Fraud trends; </w:t>
            </w:r>
          </w:p>
          <w:p w14:paraId="2E2C3975" w14:textId="77777777" w:rsidR="0068616C" w:rsidRPr="001D5EAD" w:rsidRDefault="0068616C" w:rsidP="0068616C">
            <w:pPr>
              <w:pStyle w:val="Boxtext"/>
              <w:jc w:val="left"/>
              <w:rPr>
                <w:noProof/>
                <w:sz w:val="16"/>
                <w:szCs w:val="16"/>
              </w:rPr>
            </w:pPr>
            <w:r w:rsidRPr="001D5EAD">
              <w:rPr>
                <w:noProof/>
                <w:sz w:val="16"/>
                <w:szCs w:val="16"/>
              </w:rPr>
              <w:t>Availability of expertise;</w:t>
            </w:r>
          </w:p>
          <w:p w14:paraId="71A50249" w14:textId="77777777" w:rsidR="0068616C" w:rsidRPr="001D5EAD" w:rsidRDefault="0068616C" w:rsidP="0068616C">
            <w:pPr>
              <w:pStyle w:val="Boxtext"/>
              <w:jc w:val="left"/>
              <w:rPr>
                <w:noProof/>
                <w:sz w:val="16"/>
                <w:szCs w:val="16"/>
              </w:rPr>
            </w:pPr>
            <w:r w:rsidRPr="001D5EAD">
              <w:rPr>
                <w:noProof/>
                <w:sz w:val="16"/>
                <w:szCs w:val="16"/>
              </w:rPr>
              <w:t xml:space="preserve">Items detained, seized or confiscated; </w:t>
            </w:r>
          </w:p>
          <w:p w14:paraId="6255A0FB" w14:textId="77777777" w:rsidR="0068616C" w:rsidRPr="001D5EAD" w:rsidRDefault="0068616C" w:rsidP="0068616C">
            <w:pPr>
              <w:pStyle w:val="Boxtext"/>
              <w:jc w:val="left"/>
              <w:rPr>
                <w:noProof/>
                <w:sz w:val="16"/>
                <w:szCs w:val="16"/>
              </w:rPr>
            </w:pPr>
            <w:r w:rsidRPr="001D5EAD">
              <w:rPr>
                <w:noProof/>
                <w:sz w:val="16"/>
                <w:szCs w:val="16"/>
              </w:rPr>
              <w:t xml:space="preserve">Cash detained, seized or confiscated. </w:t>
            </w:r>
          </w:p>
          <w:p w14:paraId="0A0D9DC5" w14:textId="77777777" w:rsidR="0068616C" w:rsidRPr="001D5EAD" w:rsidRDefault="0068616C" w:rsidP="0068616C">
            <w:pPr>
              <w:pStyle w:val="Boxtext"/>
              <w:jc w:val="left"/>
              <w:rPr>
                <w:noProof/>
                <w:sz w:val="16"/>
                <w:szCs w:val="16"/>
              </w:rPr>
            </w:pPr>
            <w:r w:rsidRPr="001D5EAD">
              <w:rPr>
                <w:noProof/>
                <w:sz w:val="16"/>
                <w:szCs w:val="16"/>
              </w:rPr>
              <w:t>No items of personal data shall be entered in any event within the category "fraud trends"</w:t>
            </w:r>
            <w:r>
              <w:rPr>
                <w:noProof/>
                <w:sz w:val="16"/>
                <w:szCs w:val="16"/>
              </w:rPr>
              <w:t xml:space="preserve"> </w:t>
            </w:r>
          </w:p>
        </w:tc>
        <w:tc>
          <w:tcPr>
            <w:tcW w:w="696" w:type="pct"/>
            <w:shd w:val="clear" w:color="auto" w:fill="A6A6A6" w:themeFill="background1" w:themeFillShade="A6"/>
          </w:tcPr>
          <w:p w14:paraId="476A4736" w14:textId="77777777" w:rsidR="0068616C" w:rsidRPr="001D5EAD" w:rsidRDefault="0068616C" w:rsidP="0068616C">
            <w:pPr>
              <w:pStyle w:val="Boxtext"/>
              <w:jc w:val="left"/>
              <w:rPr>
                <w:noProof/>
                <w:sz w:val="16"/>
                <w:szCs w:val="16"/>
              </w:rPr>
            </w:pPr>
          </w:p>
        </w:tc>
      </w:tr>
      <w:tr w:rsidR="0068616C" w:rsidRPr="001D5EAD" w14:paraId="202E38DA" w14:textId="77777777" w:rsidTr="0068616C">
        <w:tc>
          <w:tcPr>
            <w:tcW w:w="798" w:type="pct"/>
          </w:tcPr>
          <w:p w14:paraId="113410F8" w14:textId="77777777" w:rsidR="0068616C" w:rsidRPr="001D5EAD" w:rsidRDefault="0068616C" w:rsidP="0068616C">
            <w:pPr>
              <w:pStyle w:val="Boxtext"/>
              <w:jc w:val="left"/>
              <w:rPr>
                <w:noProof/>
                <w:sz w:val="16"/>
                <w:szCs w:val="16"/>
              </w:rPr>
            </w:pPr>
            <w:r w:rsidRPr="001D5EAD">
              <w:rPr>
                <w:noProof/>
                <w:sz w:val="16"/>
                <w:szCs w:val="16"/>
              </w:rPr>
              <w:t>Tools/ information systems used to exchange information</w:t>
            </w:r>
          </w:p>
        </w:tc>
        <w:tc>
          <w:tcPr>
            <w:tcW w:w="713" w:type="pct"/>
            <w:shd w:val="clear" w:color="auto" w:fill="A6A6A6" w:themeFill="background1" w:themeFillShade="A6"/>
          </w:tcPr>
          <w:p w14:paraId="157BBBCF" w14:textId="77777777" w:rsidR="0068616C" w:rsidRPr="001D5EAD" w:rsidRDefault="0068616C" w:rsidP="0068616C">
            <w:pPr>
              <w:pStyle w:val="Boxtext"/>
              <w:jc w:val="left"/>
              <w:rPr>
                <w:noProof/>
                <w:sz w:val="16"/>
                <w:szCs w:val="16"/>
              </w:rPr>
            </w:pPr>
          </w:p>
        </w:tc>
        <w:tc>
          <w:tcPr>
            <w:tcW w:w="666" w:type="pct"/>
            <w:shd w:val="clear" w:color="auto" w:fill="A6A6A6" w:themeFill="background1" w:themeFillShade="A6"/>
          </w:tcPr>
          <w:p w14:paraId="46E0B324" w14:textId="77777777" w:rsidR="0068616C" w:rsidRPr="001D5EAD" w:rsidRDefault="0068616C" w:rsidP="0068616C">
            <w:pPr>
              <w:pStyle w:val="Boxtext"/>
              <w:jc w:val="left"/>
              <w:rPr>
                <w:noProof/>
                <w:sz w:val="16"/>
                <w:szCs w:val="16"/>
              </w:rPr>
            </w:pPr>
          </w:p>
        </w:tc>
        <w:tc>
          <w:tcPr>
            <w:tcW w:w="709" w:type="pct"/>
            <w:shd w:val="clear" w:color="auto" w:fill="A6A6A6" w:themeFill="background1" w:themeFillShade="A6"/>
          </w:tcPr>
          <w:p w14:paraId="354535BC" w14:textId="77777777" w:rsidR="0068616C" w:rsidRPr="001D5EAD" w:rsidRDefault="0068616C" w:rsidP="0068616C">
            <w:pPr>
              <w:pStyle w:val="Boxtext"/>
              <w:jc w:val="left"/>
              <w:rPr>
                <w:noProof/>
                <w:sz w:val="16"/>
                <w:szCs w:val="16"/>
              </w:rPr>
            </w:pPr>
          </w:p>
        </w:tc>
        <w:tc>
          <w:tcPr>
            <w:tcW w:w="720" w:type="pct"/>
          </w:tcPr>
          <w:p w14:paraId="3B2B35FA" w14:textId="77777777" w:rsidR="0068616C" w:rsidRPr="001D5EAD" w:rsidRDefault="0068616C" w:rsidP="0068616C">
            <w:pPr>
              <w:pStyle w:val="Boxtext"/>
              <w:jc w:val="left"/>
              <w:rPr>
                <w:noProof/>
                <w:sz w:val="16"/>
                <w:szCs w:val="16"/>
              </w:rPr>
            </w:pPr>
            <w:r w:rsidRPr="001D5EAD">
              <w:rPr>
                <w:noProof/>
                <w:sz w:val="16"/>
                <w:szCs w:val="16"/>
              </w:rPr>
              <w:t xml:space="preserve">Information shall be exchanged using the appropriate forms contained in the appendix to the Football Handbook (2006/C 322/01) </w:t>
            </w:r>
          </w:p>
        </w:tc>
        <w:tc>
          <w:tcPr>
            <w:tcW w:w="698" w:type="pct"/>
          </w:tcPr>
          <w:p w14:paraId="03C29902" w14:textId="77777777" w:rsidR="0068616C" w:rsidRPr="001D5EAD" w:rsidRDefault="0068616C" w:rsidP="0068616C">
            <w:pPr>
              <w:pStyle w:val="Boxtext"/>
              <w:jc w:val="left"/>
              <w:rPr>
                <w:noProof/>
                <w:sz w:val="16"/>
                <w:szCs w:val="16"/>
              </w:rPr>
            </w:pPr>
            <w:r w:rsidRPr="001D5EAD">
              <w:rPr>
                <w:noProof/>
                <w:sz w:val="16"/>
                <w:szCs w:val="16"/>
              </w:rPr>
              <w:t>Customs Information System (established for the purpose)</w:t>
            </w:r>
          </w:p>
        </w:tc>
        <w:tc>
          <w:tcPr>
            <w:tcW w:w="696" w:type="pct"/>
            <w:shd w:val="clear" w:color="auto" w:fill="A6A6A6" w:themeFill="background1" w:themeFillShade="A6"/>
          </w:tcPr>
          <w:p w14:paraId="5B748564" w14:textId="77777777" w:rsidR="0068616C" w:rsidRPr="001D5EAD" w:rsidRDefault="0068616C" w:rsidP="0068616C">
            <w:pPr>
              <w:pStyle w:val="Boxtext"/>
              <w:jc w:val="left"/>
              <w:rPr>
                <w:noProof/>
                <w:sz w:val="16"/>
                <w:szCs w:val="16"/>
              </w:rPr>
            </w:pPr>
          </w:p>
        </w:tc>
      </w:tr>
      <w:tr w:rsidR="0068616C" w:rsidRPr="001D5EAD" w14:paraId="64B486C1" w14:textId="77777777" w:rsidTr="0068616C">
        <w:tc>
          <w:tcPr>
            <w:tcW w:w="798" w:type="pct"/>
          </w:tcPr>
          <w:p w14:paraId="2847CFC6" w14:textId="77777777" w:rsidR="0068616C" w:rsidRPr="001D5EAD" w:rsidRDefault="0068616C" w:rsidP="0068616C">
            <w:pPr>
              <w:pStyle w:val="Boxtext"/>
              <w:jc w:val="left"/>
              <w:rPr>
                <w:noProof/>
                <w:sz w:val="16"/>
                <w:szCs w:val="16"/>
              </w:rPr>
            </w:pPr>
            <w:r w:rsidRPr="001D5EAD">
              <w:rPr>
                <w:noProof/>
                <w:sz w:val="16"/>
                <w:szCs w:val="16"/>
              </w:rPr>
              <w:t>Specific actors involved in the exchange of information</w:t>
            </w:r>
          </w:p>
        </w:tc>
        <w:tc>
          <w:tcPr>
            <w:tcW w:w="713" w:type="pct"/>
            <w:shd w:val="clear" w:color="auto" w:fill="A6A6A6" w:themeFill="background1" w:themeFillShade="A6"/>
          </w:tcPr>
          <w:p w14:paraId="65FAAAD4" w14:textId="77777777" w:rsidR="0068616C" w:rsidRPr="001D5EAD" w:rsidRDefault="0068616C" w:rsidP="0068616C">
            <w:pPr>
              <w:pStyle w:val="Boxtext"/>
              <w:jc w:val="left"/>
              <w:rPr>
                <w:noProof/>
                <w:sz w:val="16"/>
                <w:szCs w:val="16"/>
              </w:rPr>
            </w:pPr>
          </w:p>
        </w:tc>
        <w:tc>
          <w:tcPr>
            <w:tcW w:w="666" w:type="pct"/>
          </w:tcPr>
          <w:p w14:paraId="5C78874B" w14:textId="77777777" w:rsidR="0068616C" w:rsidRPr="001D5EAD" w:rsidRDefault="0068616C" w:rsidP="0068616C">
            <w:pPr>
              <w:pStyle w:val="Boxtext"/>
              <w:jc w:val="left"/>
              <w:rPr>
                <w:noProof/>
                <w:sz w:val="16"/>
                <w:szCs w:val="16"/>
              </w:rPr>
            </w:pPr>
            <w:r w:rsidRPr="001D5EAD">
              <w:rPr>
                <w:noProof/>
                <w:sz w:val="16"/>
                <w:szCs w:val="16"/>
              </w:rPr>
              <w:t xml:space="preserve">Specific National Contact Point (NCP) </w:t>
            </w:r>
          </w:p>
        </w:tc>
        <w:tc>
          <w:tcPr>
            <w:tcW w:w="709" w:type="pct"/>
          </w:tcPr>
          <w:p w14:paraId="16EB20E4" w14:textId="77777777" w:rsidR="0068616C" w:rsidRPr="001D5EAD" w:rsidRDefault="0068616C" w:rsidP="0068616C">
            <w:pPr>
              <w:pStyle w:val="Boxtext"/>
              <w:jc w:val="left"/>
              <w:rPr>
                <w:noProof/>
                <w:sz w:val="16"/>
                <w:szCs w:val="16"/>
              </w:rPr>
            </w:pPr>
            <w:r w:rsidRPr="001D5EAD">
              <w:rPr>
                <w:noProof/>
                <w:sz w:val="16"/>
                <w:szCs w:val="16"/>
              </w:rPr>
              <w:t>National football information point (NFIP)</w:t>
            </w:r>
          </w:p>
        </w:tc>
        <w:tc>
          <w:tcPr>
            <w:tcW w:w="720" w:type="pct"/>
          </w:tcPr>
          <w:p w14:paraId="555979BB" w14:textId="77777777" w:rsidR="0068616C" w:rsidRPr="001D5EAD" w:rsidRDefault="0068616C" w:rsidP="0068616C">
            <w:pPr>
              <w:pStyle w:val="Boxtext"/>
              <w:jc w:val="left"/>
              <w:rPr>
                <w:noProof/>
                <w:sz w:val="16"/>
                <w:szCs w:val="16"/>
              </w:rPr>
            </w:pPr>
            <w:r w:rsidRPr="001D5EAD">
              <w:rPr>
                <w:noProof/>
                <w:sz w:val="16"/>
                <w:szCs w:val="16"/>
              </w:rPr>
              <w:t>NFIP and competent authorities in Member States</w:t>
            </w:r>
          </w:p>
        </w:tc>
        <w:tc>
          <w:tcPr>
            <w:tcW w:w="698" w:type="pct"/>
          </w:tcPr>
          <w:p w14:paraId="649FEFE5" w14:textId="77777777" w:rsidR="0068616C" w:rsidRPr="001D5EAD" w:rsidRDefault="0068616C" w:rsidP="0068616C">
            <w:pPr>
              <w:pStyle w:val="Boxtext"/>
              <w:jc w:val="left"/>
              <w:rPr>
                <w:noProof/>
                <w:sz w:val="16"/>
                <w:szCs w:val="16"/>
              </w:rPr>
            </w:pPr>
            <w:r w:rsidRPr="001D5EAD">
              <w:rPr>
                <w:noProof/>
                <w:sz w:val="16"/>
                <w:szCs w:val="16"/>
              </w:rPr>
              <w:t>Direct access to data entered into the Customs Information System shall be reserved to customs administrations, but may also include other authorities competent, according to the laws, regulations and procedures of the specific Member State</w:t>
            </w:r>
          </w:p>
        </w:tc>
        <w:tc>
          <w:tcPr>
            <w:tcW w:w="696" w:type="pct"/>
          </w:tcPr>
          <w:p w14:paraId="66C312C9" w14:textId="77777777" w:rsidR="0068616C" w:rsidRPr="001D5EAD" w:rsidRDefault="0068616C" w:rsidP="0068616C">
            <w:pPr>
              <w:pStyle w:val="Boxtext"/>
              <w:jc w:val="left"/>
              <w:rPr>
                <w:noProof/>
                <w:sz w:val="16"/>
                <w:szCs w:val="16"/>
              </w:rPr>
            </w:pPr>
            <w:r w:rsidRPr="001D5EAD">
              <w:rPr>
                <w:noProof/>
                <w:sz w:val="16"/>
                <w:szCs w:val="16"/>
              </w:rPr>
              <w:t>Customs authorities</w:t>
            </w:r>
          </w:p>
        </w:tc>
      </w:tr>
      <w:tr w:rsidR="0068616C" w:rsidRPr="001D5EAD" w14:paraId="6120ED52" w14:textId="77777777" w:rsidTr="0068616C">
        <w:tc>
          <w:tcPr>
            <w:tcW w:w="798" w:type="pct"/>
          </w:tcPr>
          <w:p w14:paraId="7CA27CDE" w14:textId="77777777" w:rsidR="0068616C" w:rsidRPr="001D5EAD" w:rsidRDefault="0068616C" w:rsidP="0068616C">
            <w:pPr>
              <w:pStyle w:val="Boxtext"/>
              <w:jc w:val="left"/>
              <w:rPr>
                <w:noProof/>
                <w:sz w:val="16"/>
                <w:szCs w:val="16"/>
              </w:rPr>
            </w:pPr>
            <w:r w:rsidRPr="001D5EAD">
              <w:rPr>
                <w:noProof/>
                <w:sz w:val="16"/>
                <w:szCs w:val="16"/>
              </w:rPr>
              <w:t>Timing for exchanging information</w:t>
            </w:r>
          </w:p>
        </w:tc>
        <w:tc>
          <w:tcPr>
            <w:tcW w:w="713" w:type="pct"/>
            <w:shd w:val="clear" w:color="auto" w:fill="A6A6A6" w:themeFill="background1" w:themeFillShade="A6"/>
          </w:tcPr>
          <w:p w14:paraId="009D39ED" w14:textId="77777777" w:rsidR="0068616C" w:rsidRPr="001D5EAD" w:rsidRDefault="0068616C" w:rsidP="0068616C">
            <w:pPr>
              <w:pStyle w:val="Boxtext"/>
              <w:jc w:val="left"/>
              <w:rPr>
                <w:noProof/>
                <w:sz w:val="16"/>
                <w:szCs w:val="16"/>
              </w:rPr>
            </w:pPr>
          </w:p>
        </w:tc>
        <w:tc>
          <w:tcPr>
            <w:tcW w:w="666" w:type="pct"/>
            <w:shd w:val="clear" w:color="auto" w:fill="A6A6A6" w:themeFill="background1" w:themeFillShade="A6"/>
          </w:tcPr>
          <w:p w14:paraId="2AC3F484" w14:textId="77777777" w:rsidR="0068616C" w:rsidRPr="001D5EAD" w:rsidRDefault="0068616C" w:rsidP="0068616C">
            <w:pPr>
              <w:pStyle w:val="Boxtext"/>
              <w:jc w:val="left"/>
              <w:rPr>
                <w:noProof/>
                <w:sz w:val="16"/>
                <w:szCs w:val="16"/>
              </w:rPr>
            </w:pPr>
          </w:p>
        </w:tc>
        <w:tc>
          <w:tcPr>
            <w:tcW w:w="709" w:type="pct"/>
            <w:shd w:val="clear" w:color="auto" w:fill="A6A6A6" w:themeFill="background1" w:themeFillShade="A6"/>
          </w:tcPr>
          <w:p w14:paraId="3A88475E" w14:textId="77777777" w:rsidR="0068616C" w:rsidRPr="001D5EAD" w:rsidRDefault="0068616C" w:rsidP="0068616C">
            <w:pPr>
              <w:pStyle w:val="Boxtext"/>
              <w:jc w:val="left"/>
              <w:rPr>
                <w:noProof/>
                <w:sz w:val="16"/>
                <w:szCs w:val="16"/>
              </w:rPr>
            </w:pPr>
          </w:p>
        </w:tc>
        <w:tc>
          <w:tcPr>
            <w:tcW w:w="720" w:type="pct"/>
            <w:shd w:val="clear" w:color="auto" w:fill="A6A6A6" w:themeFill="background1" w:themeFillShade="A6"/>
          </w:tcPr>
          <w:p w14:paraId="1926B735" w14:textId="77777777" w:rsidR="0068616C" w:rsidRPr="001D5EAD" w:rsidRDefault="0068616C" w:rsidP="0068616C">
            <w:pPr>
              <w:pStyle w:val="Boxtext"/>
              <w:jc w:val="left"/>
              <w:rPr>
                <w:noProof/>
                <w:sz w:val="16"/>
                <w:szCs w:val="16"/>
              </w:rPr>
            </w:pPr>
          </w:p>
        </w:tc>
        <w:tc>
          <w:tcPr>
            <w:tcW w:w="698" w:type="pct"/>
            <w:shd w:val="clear" w:color="auto" w:fill="A6A6A6" w:themeFill="background1" w:themeFillShade="A6"/>
          </w:tcPr>
          <w:p w14:paraId="7D4F2426" w14:textId="77777777" w:rsidR="0068616C" w:rsidRPr="001D5EAD" w:rsidRDefault="0068616C" w:rsidP="0068616C">
            <w:pPr>
              <w:pStyle w:val="Boxtext"/>
              <w:jc w:val="left"/>
              <w:rPr>
                <w:noProof/>
                <w:sz w:val="16"/>
                <w:szCs w:val="16"/>
              </w:rPr>
            </w:pPr>
          </w:p>
        </w:tc>
        <w:tc>
          <w:tcPr>
            <w:tcW w:w="696" w:type="pct"/>
            <w:shd w:val="clear" w:color="auto" w:fill="A6A6A6" w:themeFill="background1" w:themeFillShade="A6"/>
          </w:tcPr>
          <w:p w14:paraId="602AB2F9" w14:textId="77777777" w:rsidR="0068616C" w:rsidRPr="001D5EAD" w:rsidRDefault="0068616C" w:rsidP="0068616C">
            <w:pPr>
              <w:pStyle w:val="Boxtext"/>
              <w:jc w:val="left"/>
              <w:rPr>
                <w:noProof/>
                <w:sz w:val="16"/>
                <w:szCs w:val="16"/>
              </w:rPr>
            </w:pPr>
          </w:p>
        </w:tc>
      </w:tr>
      <w:tr w:rsidR="0068616C" w:rsidRPr="001D5EAD" w14:paraId="227E77C0" w14:textId="77777777" w:rsidTr="0068616C">
        <w:tc>
          <w:tcPr>
            <w:tcW w:w="798" w:type="pct"/>
          </w:tcPr>
          <w:p w14:paraId="473D4E16" w14:textId="77777777" w:rsidR="0068616C" w:rsidRPr="001D5EAD" w:rsidRDefault="0068616C" w:rsidP="0068616C">
            <w:pPr>
              <w:pStyle w:val="Boxtext"/>
              <w:jc w:val="left"/>
              <w:rPr>
                <w:noProof/>
                <w:sz w:val="16"/>
                <w:szCs w:val="16"/>
              </w:rPr>
            </w:pPr>
            <w:r w:rsidRPr="001D5EAD">
              <w:rPr>
                <w:noProof/>
                <w:sz w:val="16"/>
                <w:szCs w:val="16"/>
              </w:rPr>
              <w:t>Language to be used for the exchange of information</w:t>
            </w:r>
          </w:p>
        </w:tc>
        <w:tc>
          <w:tcPr>
            <w:tcW w:w="713" w:type="pct"/>
            <w:shd w:val="clear" w:color="auto" w:fill="A6A6A6" w:themeFill="background1" w:themeFillShade="A6"/>
          </w:tcPr>
          <w:p w14:paraId="15E98008" w14:textId="77777777" w:rsidR="0068616C" w:rsidRPr="001D5EAD" w:rsidRDefault="0068616C" w:rsidP="0068616C">
            <w:pPr>
              <w:pStyle w:val="Boxtext"/>
              <w:jc w:val="left"/>
              <w:rPr>
                <w:noProof/>
                <w:sz w:val="16"/>
                <w:szCs w:val="16"/>
              </w:rPr>
            </w:pPr>
          </w:p>
        </w:tc>
        <w:tc>
          <w:tcPr>
            <w:tcW w:w="666" w:type="pct"/>
            <w:shd w:val="clear" w:color="auto" w:fill="A6A6A6" w:themeFill="background1" w:themeFillShade="A6"/>
          </w:tcPr>
          <w:p w14:paraId="39E164CF" w14:textId="77777777" w:rsidR="0068616C" w:rsidRPr="001D5EAD" w:rsidRDefault="0068616C" w:rsidP="0068616C">
            <w:pPr>
              <w:pStyle w:val="Boxtext"/>
              <w:jc w:val="left"/>
              <w:rPr>
                <w:noProof/>
                <w:sz w:val="16"/>
                <w:szCs w:val="16"/>
              </w:rPr>
            </w:pPr>
          </w:p>
        </w:tc>
        <w:tc>
          <w:tcPr>
            <w:tcW w:w="709" w:type="pct"/>
          </w:tcPr>
          <w:p w14:paraId="16E531FE" w14:textId="77777777" w:rsidR="0068616C" w:rsidRPr="001D5EAD" w:rsidRDefault="0068616C" w:rsidP="0068616C">
            <w:pPr>
              <w:pStyle w:val="Boxtext"/>
              <w:jc w:val="left"/>
              <w:rPr>
                <w:noProof/>
                <w:sz w:val="16"/>
                <w:szCs w:val="16"/>
              </w:rPr>
            </w:pPr>
            <w:r w:rsidRPr="001D5EAD">
              <w:rPr>
                <w:noProof/>
                <w:sz w:val="16"/>
                <w:szCs w:val="16"/>
              </w:rPr>
              <w:t>National language.</w:t>
            </w:r>
          </w:p>
          <w:p w14:paraId="71BB9A1D" w14:textId="77777777" w:rsidR="0068616C" w:rsidRPr="001D5EAD" w:rsidRDefault="0068616C" w:rsidP="0068616C">
            <w:pPr>
              <w:pStyle w:val="Boxtext"/>
              <w:jc w:val="left"/>
              <w:rPr>
                <w:noProof/>
                <w:sz w:val="16"/>
                <w:szCs w:val="16"/>
              </w:rPr>
            </w:pPr>
            <w:r w:rsidRPr="001D5EAD">
              <w:rPr>
                <w:noProof/>
                <w:sz w:val="16"/>
                <w:szCs w:val="16"/>
              </w:rPr>
              <w:t>Translation in a working language common to both sides should be used</w:t>
            </w:r>
          </w:p>
        </w:tc>
        <w:tc>
          <w:tcPr>
            <w:tcW w:w="720" w:type="pct"/>
          </w:tcPr>
          <w:p w14:paraId="45143742" w14:textId="77777777" w:rsidR="0068616C" w:rsidRPr="001D5EAD" w:rsidRDefault="0068616C" w:rsidP="0068616C">
            <w:pPr>
              <w:pStyle w:val="Boxtext"/>
              <w:jc w:val="left"/>
              <w:rPr>
                <w:noProof/>
                <w:sz w:val="16"/>
                <w:szCs w:val="16"/>
              </w:rPr>
            </w:pPr>
            <w:r w:rsidRPr="001D5EAD">
              <w:rPr>
                <w:noProof/>
                <w:sz w:val="16"/>
                <w:szCs w:val="16"/>
              </w:rPr>
              <w:t>National language.</w:t>
            </w:r>
          </w:p>
          <w:p w14:paraId="3398A808" w14:textId="77777777" w:rsidR="0068616C" w:rsidRPr="001D5EAD" w:rsidRDefault="0068616C" w:rsidP="0068616C">
            <w:pPr>
              <w:pStyle w:val="Boxtext"/>
              <w:jc w:val="left"/>
              <w:rPr>
                <w:noProof/>
                <w:sz w:val="16"/>
                <w:szCs w:val="16"/>
              </w:rPr>
            </w:pPr>
            <w:r w:rsidRPr="001D5EAD">
              <w:rPr>
                <w:noProof/>
                <w:sz w:val="16"/>
                <w:szCs w:val="16"/>
              </w:rPr>
              <w:t>Translation in a working language common to both sides should be used</w:t>
            </w:r>
          </w:p>
        </w:tc>
        <w:tc>
          <w:tcPr>
            <w:tcW w:w="698" w:type="pct"/>
            <w:shd w:val="clear" w:color="auto" w:fill="A6A6A6" w:themeFill="background1" w:themeFillShade="A6"/>
          </w:tcPr>
          <w:p w14:paraId="02731892" w14:textId="77777777" w:rsidR="0068616C" w:rsidRPr="001D5EAD" w:rsidRDefault="0068616C" w:rsidP="0068616C">
            <w:pPr>
              <w:pStyle w:val="Boxtext"/>
              <w:jc w:val="left"/>
              <w:rPr>
                <w:noProof/>
                <w:sz w:val="16"/>
                <w:szCs w:val="16"/>
              </w:rPr>
            </w:pPr>
          </w:p>
        </w:tc>
        <w:tc>
          <w:tcPr>
            <w:tcW w:w="696" w:type="pct"/>
          </w:tcPr>
          <w:p w14:paraId="14824E77" w14:textId="77777777" w:rsidR="0068616C" w:rsidRPr="001D5EAD" w:rsidRDefault="0068616C" w:rsidP="0068616C">
            <w:pPr>
              <w:pStyle w:val="Boxtext"/>
              <w:jc w:val="left"/>
              <w:rPr>
                <w:noProof/>
                <w:sz w:val="16"/>
                <w:szCs w:val="16"/>
              </w:rPr>
            </w:pPr>
            <w:r w:rsidRPr="001D5EAD">
              <w:rPr>
                <w:noProof/>
                <w:sz w:val="16"/>
                <w:szCs w:val="16"/>
              </w:rPr>
              <w:t>Requests shall be submitted in an official language of</w:t>
            </w:r>
          </w:p>
          <w:p w14:paraId="6608F243" w14:textId="77777777" w:rsidR="0068616C" w:rsidRPr="001D5EAD" w:rsidRDefault="0068616C" w:rsidP="0068616C">
            <w:pPr>
              <w:pStyle w:val="Boxtext"/>
              <w:jc w:val="left"/>
              <w:rPr>
                <w:noProof/>
                <w:sz w:val="16"/>
                <w:szCs w:val="16"/>
              </w:rPr>
            </w:pPr>
            <w:r w:rsidRPr="001D5EAD">
              <w:rPr>
                <w:noProof/>
                <w:sz w:val="16"/>
                <w:szCs w:val="16"/>
              </w:rPr>
              <w:t>the Member State of the requested authority or in a</w:t>
            </w:r>
          </w:p>
          <w:p w14:paraId="0042ECAE" w14:textId="77777777" w:rsidR="0068616C" w:rsidRPr="001D5EAD" w:rsidRDefault="0068616C" w:rsidP="0068616C">
            <w:pPr>
              <w:pStyle w:val="Boxtext"/>
              <w:jc w:val="left"/>
              <w:rPr>
                <w:noProof/>
                <w:sz w:val="16"/>
                <w:szCs w:val="16"/>
              </w:rPr>
            </w:pPr>
            <w:r w:rsidRPr="001D5EAD">
              <w:rPr>
                <w:noProof/>
                <w:sz w:val="16"/>
                <w:szCs w:val="16"/>
              </w:rPr>
              <w:t>language acceptable to such authority</w:t>
            </w:r>
          </w:p>
        </w:tc>
      </w:tr>
      <w:tr w:rsidR="0068616C" w:rsidRPr="001D5EAD" w14:paraId="13A42B75" w14:textId="77777777" w:rsidTr="0068616C">
        <w:tc>
          <w:tcPr>
            <w:tcW w:w="798" w:type="pct"/>
          </w:tcPr>
          <w:p w14:paraId="68C4BE7D" w14:textId="77777777" w:rsidR="0068616C" w:rsidRPr="001D5EAD" w:rsidRDefault="0068616C" w:rsidP="0068616C">
            <w:pPr>
              <w:pStyle w:val="Boxtext"/>
              <w:jc w:val="left"/>
              <w:rPr>
                <w:noProof/>
                <w:sz w:val="16"/>
                <w:szCs w:val="16"/>
              </w:rPr>
            </w:pPr>
            <w:r w:rsidRPr="001D5EAD">
              <w:rPr>
                <w:noProof/>
                <w:sz w:val="16"/>
                <w:szCs w:val="16"/>
              </w:rPr>
              <w:t xml:space="preserve">Requirements for exchanging information relating to specific areas </w:t>
            </w:r>
          </w:p>
        </w:tc>
        <w:tc>
          <w:tcPr>
            <w:tcW w:w="713" w:type="pct"/>
            <w:shd w:val="clear" w:color="auto" w:fill="A6A6A6" w:themeFill="background1" w:themeFillShade="A6"/>
          </w:tcPr>
          <w:p w14:paraId="5ECCC369" w14:textId="77777777" w:rsidR="0068616C" w:rsidRPr="001D5EAD" w:rsidRDefault="0068616C" w:rsidP="0068616C">
            <w:pPr>
              <w:pStyle w:val="Boxtext"/>
              <w:jc w:val="left"/>
              <w:rPr>
                <w:noProof/>
                <w:sz w:val="16"/>
                <w:szCs w:val="16"/>
              </w:rPr>
            </w:pPr>
          </w:p>
        </w:tc>
        <w:tc>
          <w:tcPr>
            <w:tcW w:w="666" w:type="pct"/>
            <w:shd w:val="clear" w:color="auto" w:fill="A6A6A6" w:themeFill="background1" w:themeFillShade="A6"/>
          </w:tcPr>
          <w:p w14:paraId="7071729A" w14:textId="77777777" w:rsidR="0068616C" w:rsidRPr="001D5EAD" w:rsidRDefault="0068616C" w:rsidP="0068616C">
            <w:pPr>
              <w:pStyle w:val="Boxtext"/>
              <w:jc w:val="left"/>
              <w:rPr>
                <w:noProof/>
                <w:sz w:val="16"/>
                <w:szCs w:val="16"/>
              </w:rPr>
            </w:pPr>
          </w:p>
        </w:tc>
        <w:tc>
          <w:tcPr>
            <w:tcW w:w="709" w:type="pct"/>
          </w:tcPr>
          <w:p w14:paraId="4B466785" w14:textId="77777777" w:rsidR="0068616C" w:rsidRPr="001D5EAD" w:rsidRDefault="0068616C" w:rsidP="0068616C">
            <w:pPr>
              <w:pStyle w:val="Boxtext"/>
              <w:jc w:val="left"/>
              <w:rPr>
                <w:noProof/>
                <w:sz w:val="16"/>
                <w:szCs w:val="16"/>
              </w:rPr>
            </w:pPr>
            <w:r w:rsidRPr="001D5EAD">
              <w:rPr>
                <w:noProof/>
                <w:sz w:val="16"/>
                <w:szCs w:val="16"/>
              </w:rPr>
              <w:t>Public order purpose (preventing and combating football-related violence)</w:t>
            </w:r>
          </w:p>
        </w:tc>
        <w:tc>
          <w:tcPr>
            <w:tcW w:w="720" w:type="pct"/>
            <w:shd w:val="clear" w:color="auto" w:fill="A6A6A6" w:themeFill="background1" w:themeFillShade="A6"/>
          </w:tcPr>
          <w:p w14:paraId="66FE309B" w14:textId="77777777" w:rsidR="0068616C" w:rsidRPr="001D5EAD" w:rsidRDefault="0068616C" w:rsidP="0068616C">
            <w:pPr>
              <w:pStyle w:val="Boxtext"/>
              <w:jc w:val="left"/>
              <w:rPr>
                <w:noProof/>
                <w:sz w:val="16"/>
                <w:szCs w:val="16"/>
              </w:rPr>
            </w:pPr>
          </w:p>
        </w:tc>
        <w:tc>
          <w:tcPr>
            <w:tcW w:w="698" w:type="pct"/>
          </w:tcPr>
          <w:p w14:paraId="409B9B9A" w14:textId="77777777" w:rsidR="0068616C" w:rsidRPr="001D5EAD" w:rsidRDefault="0068616C" w:rsidP="0068616C">
            <w:pPr>
              <w:pStyle w:val="Boxtext"/>
              <w:jc w:val="left"/>
              <w:rPr>
                <w:noProof/>
                <w:sz w:val="16"/>
                <w:szCs w:val="16"/>
              </w:rPr>
            </w:pPr>
            <w:r w:rsidRPr="001D5EAD">
              <w:rPr>
                <w:noProof/>
                <w:sz w:val="16"/>
                <w:szCs w:val="16"/>
              </w:rPr>
              <w:t>Personal data may be entered into the Customs Information System only if there are real indications, in particular on the basis of prior illegal activities, to suggest that the person concerned has committed, is in the act of committing or will commit serious contraventions of national laws</w:t>
            </w:r>
          </w:p>
        </w:tc>
        <w:tc>
          <w:tcPr>
            <w:tcW w:w="696" w:type="pct"/>
          </w:tcPr>
          <w:p w14:paraId="2CAD2F00" w14:textId="77777777" w:rsidR="0068616C" w:rsidRPr="001D5EAD" w:rsidRDefault="0068616C" w:rsidP="0068616C">
            <w:pPr>
              <w:pStyle w:val="Boxtext"/>
              <w:jc w:val="left"/>
              <w:rPr>
                <w:noProof/>
                <w:sz w:val="16"/>
                <w:szCs w:val="16"/>
              </w:rPr>
            </w:pPr>
            <w:r w:rsidRPr="001D5EAD">
              <w:rPr>
                <w:noProof/>
                <w:sz w:val="16"/>
                <w:szCs w:val="16"/>
              </w:rPr>
              <w:t>Request shall include:</w:t>
            </w:r>
          </w:p>
          <w:p w14:paraId="0AF0D47E" w14:textId="77777777" w:rsidR="0068616C" w:rsidRPr="001D5EAD" w:rsidRDefault="0068616C" w:rsidP="0068616C">
            <w:pPr>
              <w:pStyle w:val="Boxtext"/>
              <w:jc w:val="left"/>
              <w:rPr>
                <w:noProof/>
                <w:sz w:val="16"/>
                <w:szCs w:val="16"/>
              </w:rPr>
            </w:pPr>
            <w:r w:rsidRPr="001D5EAD">
              <w:rPr>
                <w:noProof/>
                <w:sz w:val="16"/>
                <w:szCs w:val="16"/>
              </w:rPr>
              <w:t>The applicant authority making the request;</w:t>
            </w:r>
          </w:p>
          <w:p w14:paraId="54148FCF" w14:textId="77777777" w:rsidR="0068616C" w:rsidRPr="001D5EAD" w:rsidRDefault="0068616C" w:rsidP="0068616C">
            <w:pPr>
              <w:pStyle w:val="Boxtext"/>
              <w:jc w:val="left"/>
              <w:rPr>
                <w:noProof/>
                <w:sz w:val="16"/>
                <w:szCs w:val="16"/>
              </w:rPr>
            </w:pPr>
            <w:r w:rsidRPr="001D5EAD">
              <w:rPr>
                <w:noProof/>
                <w:sz w:val="16"/>
                <w:szCs w:val="16"/>
              </w:rPr>
              <w:t xml:space="preserve">The measure requested; </w:t>
            </w:r>
          </w:p>
          <w:p w14:paraId="33DDCE38" w14:textId="77777777" w:rsidR="0068616C" w:rsidRPr="001D5EAD" w:rsidRDefault="0068616C" w:rsidP="0068616C">
            <w:pPr>
              <w:pStyle w:val="Boxtext"/>
              <w:jc w:val="left"/>
              <w:rPr>
                <w:noProof/>
                <w:sz w:val="16"/>
                <w:szCs w:val="16"/>
              </w:rPr>
            </w:pPr>
            <w:r w:rsidRPr="001D5EAD">
              <w:rPr>
                <w:noProof/>
                <w:sz w:val="16"/>
                <w:szCs w:val="16"/>
              </w:rPr>
              <w:t xml:space="preserve">The object of, and the reason for, the request; the laws, rules and other legal provisions involved; </w:t>
            </w:r>
          </w:p>
          <w:p w14:paraId="5F3D01E6" w14:textId="77777777" w:rsidR="0068616C" w:rsidRPr="001D5EAD" w:rsidRDefault="0068616C" w:rsidP="0068616C">
            <w:pPr>
              <w:pStyle w:val="Boxtext"/>
              <w:jc w:val="left"/>
              <w:rPr>
                <w:noProof/>
                <w:sz w:val="16"/>
                <w:szCs w:val="16"/>
              </w:rPr>
            </w:pPr>
            <w:r w:rsidRPr="001D5EAD">
              <w:rPr>
                <w:noProof/>
                <w:sz w:val="16"/>
                <w:szCs w:val="16"/>
              </w:rPr>
              <w:t>Indications on the natural or legal persons being the target of the investigation;</w:t>
            </w:r>
          </w:p>
          <w:p w14:paraId="427EC04D" w14:textId="77777777" w:rsidR="0068616C" w:rsidRPr="001D5EAD" w:rsidRDefault="0068616C" w:rsidP="0068616C">
            <w:pPr>
              <w:pStyle w:val="Boxtext"/>
              <w:jc w:val="left"/>
              <w:rPr>
                <w:noProof/>
                <w:sz w:val="16"/>
                <w:szCs w:val="16"/>
              </w:rPr>
            </w:pPr>
            <w:r w:rsidRPr="001D5EAD">
              <w:rPr>
                <w:noProof/>
                <w:sz w:val="16"/>
                <w:szCs w:val="16"/>
              </w:rPr>
              <w:t>A summary of the relevant facts</w:t>
            </w:r>
          </w:p>
        </w:tc>
      </w:tr>
      <w:tr w:rsidR="0068616C" w:rsidRPr="001D5EAD" w14:paraId="3A0AC9BB" w14:textId="77777777" w:rsidTr="0068616C">
        <w:tc>
          <w:tcPr>
            <w:tcW w:w="798" w:type="pct"/>
          </w:tcPr>
          <w:p w14:paraId="1C23E70C" w14:textId="77777777" w:rsidR="0068616C" w:rsidRPr="001D5EAD" w:rsidRDefault="0068616C" w:rsidP="0068616C">
            <w:pPr>
              <w:pStyle w:val="Boxtext"/>
              <w:jc w:val="left"/>
              <w:rPr>
                <w:noProof/>
                <w:sz w:val="16"/>
                <w:szCs w:val="16"/>
              </w:rPr>
            </w:pPr>
            <w:r w:rsidRPr="001D5EAD">
              <w:rPr>
                <w:noProof/>
                <w:sz w:val="16"/>
                <w:szCs w:val="16"/>
              </w:rPr>
              <w:t>Mechanisms to ensure Data Protection when accessing/exchanging information</w:t>
            </w:r>
          </w:p>
        </w:tc>
        <w:tc>
          <w:tcPr>
            <w:tcW w:w="713" w:type="pct"/>
            <w:shd w:val="clear" w:color="auto" w:fill="A6A6A6" w:themeFill="background1" w:themeFillShade="A6"/>
          </w:tcPr>
          <w:p w14:paraId="28636C09" w14:textId="77777777" w:rsidR="0068616C" w:rsidRPr="001D5EAD" w:rsidRDefault="0068616C" w:rsidP="0068616C">
            <w:pPr>
              <w:pStyle w:val="Boxtext"/>
              <w:jc w:val="left"/>
              <w:rPr>
                <w:noProof/>
                <w:sz w:val="16"/>
                <w:szCs w:val="16"/>
              </w:rPr>
            </w:pPr>
          </w:p>
        </w:tc>
        <w:tc>
          <w:tcPr>
            <w:tcW w:w="666" w:type="pct"/>
          </w:tcPr>
          <w:p w14:paraId="09346359" w14:textId="77777777" w:rsidR="0068616C" w:rsidRPr="001D5EAD" w:rsidRDefault="0068616C" w:rsidP="0068616C">
            <w:pPr>
              <w:pStyle w:val="Boxtext"/>
              <w:jc w:val="left"/>
              <w:rPr>
                <w:noProof/>
                <w:sz w:val="16"/>
                <w:szCs w:val="16"/>
              </w:rPr>
            </w:pPr>
            <w:r w:rsidRPr="001D5EAD">
              <w:rPr>
                <w:noProof/>
                <w:sz w:val="16"/>
                <w:szCs w:val="16"/>
              </w:rPr>
              <w:t>The level protection of personal data at the national level should at least be equal to that resulting from the Council of Europe Convention for the Protection of Individuals and its Additional Protocol</w:t>
            </w:r>
          </w:p>
        </w:tc>
        <w:tc>
          <w:tcPr>
            <w:tcW w:w="709" w:type="pct"/>
          </w:tcPr>
          <w:p w14:paraId="39D40B26" w14:textId="77777777" w:rsidR="0068616C" w:rsidRPr="001D5EAD" w:rsidRDefault="0068616C" w:rsidP="0068616C">
            <w:pPr>
              <w:pStyle w:val="Boxtext"/>
              <w:jc w:val="left"/>
              <w:rPr>
                <w:noProof/>
                <w:sz w:val="16"/>
                <w:szCs w:val="16"/>
              </w:rPr>
            </w:pPr>
            <w:r w:rsidRPr="001D5EAD">
              <w:rPr>
                <w:noProof/>
                <w:sz w:val="16"/>
                <w:szCs w:val="16"/>
              </w:rPr>
              <w:t xml:space="preserve">Personal data shall be exchanged in accordance with the domestic and international rules applicable and using the appropriate forms contained in the appendix to the Football Handbook (2006/C 322/01) </w:t>
            </w:r>
          </w:p>
        </w:tc>
        <w:tc>
          <w:tcPr>
            <w:tcW w:w="720" w:type="pct"/>
            <w:shd w:val="clear" w:color="auto" w:fill="A6A6A6" w:themeFill="background1" w:themeFillShade="A6"/>
          </w:tcPr>
          <w:p w14:paraId="16BC8507" w14:textId="77777777" w:rsidR="0068616C" w:rsidRPr="001D5EAD" w:rsidRDefault="0068616C" w:rsidP="0068616C">
            <w:pPr>
              <w:pStyle w:val="Boxtext"/>
              <w:jc w:val="left"/>
              <w:rPr>
                <w:noProof/>
                <w:sz w:val="16"/>
                <w:szCs w:val="16"/>
              </w:rPr>
            </w:pPr>
          </w:p>
        </w:tc>
        <w:tc>
          <w:tcPr>
            <w:tcW w:w="698" w:type="pct"/>
          </w:tcPr>
          <w:p w14:paraId="59481750" w14:textId="77777777" w:rsidR="0068616C" w:rsidRPr="001D5EAD" w:rsidRDefault="0068616C" w:rsidP="0068616C">
            <w:pPr>
              <w:pStyle w:val="Boxtext"/>
              <w:jc w:val="left"/>
              <w:rPr>
                <w:noProof/>
                <w:sz w:val="16"/>
                <w:szCs w:val="16"/>
              </w:rPr>
            </w:pPr>
            <w:r w:rsidRPr="001D5EAD">
              <w:rPr>
                <w:noProof/>
                <w:sz w:val="16"/>
                <w:szCs w:val="16"/>
              </w:rPr>
              <w:t>Data entered into the Customs Information System shall</w:t>
            </w:r>
          </w:p>
          <w:p w14:paraId="3DB333A0" w14:textId="77777777" w:rsidR="0068616C" w:rsidRPr="001D5EAD" w:rsidRDefault="0068616C" w:rsidP="0068616C">
            <w:pPr>
              <w:pStyle w:val="Boxtext"/>
              <w:jc w:val="left"/>
              <w:rPr>
                <w:noProof/>
                <w:sz w:val="16"/>
                <w:szCs w:val="16"/>
              </w:rPr>
            </w:pPr>
            <w:r w:rsidRPr="001D5EAD">
              <w:rPr>
                <w:noProof/>
                <w:sz w:val="16"/>
                <w:szCs w:val="16"/>
              </w:rPr>
              <w:t xml:space="preserve">be kept only for the time necessary to achieve the purpose for which they were entered. The need for their retention shall be reviewed at least annually by the supplying Member State </w:t>
            </w:r>
          </w:p>
        </w:tc>
        <w:tc>
          <w:tcPr>
            <w:tcW w:w="696" w:type="pct"/>
          </w:tcPr>
          <w:p w14:paraId="1ED0599E" w14:textId="77777777" w:rsidR="0068616C" w:rsidRPr="001D5EAD" w:rsidRDefault="0068616C" w:rsidP="0068616C">
            <w:pPr>
              <w:pStyle w:val="Boxtext"/>
              <w:jc w:val="left"/>
              <w:rPr>
                <w:noProof/>
                <w:sz w:val="16"/>
                <w:szCs w:val="16"/>
              </w:rPr>
            </w:pPr>
            <w:r w:rsidRPr="001D5EAD">
              <w:rPr>
                <w:noProof/>
                <w:sz w:val="16"/>
                <w:szCs w:val="16"/>
              </w:rPr>
              <w:t xml:space="preserve">The customs authorities shall take into account in each specific case the requirements for the protection of personal data. They shall respect the relevant provisions of the Convention of the Council of Europe of 28 January 1981 for the protection of individuals with regard to automatic processing of personal data </w:t>
            </w:r>
          </w:p>
        </w:tc>
      </w:tr>
      <w:tr w:rsidR="0068616C" w:rsidRPr="001D5EAD" w14:paraId="0B4606CD" w14:textId="77777777" w:rsidTr="0068616C">
        <w:tc>
          <w:tcPr>
            <w:tcW w:w="798" w:type="pct"/>
          </w:tcPr>
          <w:p w14:paraId="4AE9E1C6" w14:textId="77777777" w:rsidR="0068616C" w:rsidRPr="001D5EAD" w:rsidRDefault="0068616C" w:rsidP="0068616C">
            <w:pPr>
              <w:pStyle w:val="Boxtext"/>
              <w:jc w:val="left"/>
              <w:rPr>
                <w:noProof/>
                <w:sz w:val="16"/>
                <w:szCs w:val="16"/>
              </w:rPr>
            </w:pPr>
            <w:r w:rsidRPr="001D5EAD">
              <w:rPr>
                <w:noProof/>
                <w:sz w:val="16"/>
                <w:szCs w:val="16"/>
              </w:rPr>
              <w:t>Requirement to develop cross-border threat assessment/risks analysis</w:t>
            </w:r>
          </w:p>
        </w:tc>
        <w:tc>
          <w:tcPr>
            <w:tcW w:w="713" w:type="pct"/>
            <w:shd w:val="clear" w:color="auto" w:fill="A6A6A6" w:themeFill="background1" w:themeFillShade="A6"/>
          </w:tcPr>
          <w:p w14:paraId="098756C7" w14:textId="77777777" w:rsidR="0068616C" w:rsidRPr="001D5EAD" w:rsidRDefault="0068616C" w:rsidP="0068616C">
            <w:pPr>
              <w:pStyle w:val="Boxtext"/>
              <w:jc w:val="left"/>
              <w:rPr>
                <w:noProof/>
                <w:sz w:val="16"/>
                <w:szCs w:val="16"/>
              </w:rPr>
            </w:pPr>
          </w:p>
        </w:tc>
        <w:tc>
          <w:tcPr>
            <w:tcW w:w="666" w:type="pct"/>
            <w:shd w:val="clear" w:color="auto" w:fill="A6A6A6" w:themeFill="background1" w:themeFillShade="A6"/>
          </w:tcPr>
          <w:p w14:paraId="2818CEB6" w14:textId="77777777" w:rsidR="0068616C" w:rsidRPr="001D5EAD" w:rsidRDefault="0068616C" w:rsidP="0068616C">
            <w:pPr>
              <w:pStyle w:val="Boxtext"/>
              <w:jc w:val="left"/>
              <w:rPr>
                <w:noProof/>
                <w:sz w:val="16"/>
                <w:szCs w:val="16"/>
              </w:rPr>
            </w:pPr>
          </w:p>
        </w:tc>
        <w:tc>
          <w:tcPr>
            <w:tcW w:w="709" w:type="pct"/>
          </w:tcPr>
          <w:p w14:paraId="5ABEDB5B" w14:textId="77777777" w:rsidR="0068616C" w:rsidRPr="001D5EAD" w:rsidRDefault="0068616C" w:rsidP="0068616C">
            <w:pPr>
              <w:pStyle w:val="Boxtext"/>
              <w:jc w:val="left"/>
              <w:rPr>
                <w:noProof/>
                <w:sz w:val="16"/>
                <w:szCs w:val="16"/>
              </w:rPr>
            </w:pPr>
            <w:r w:rsidRPr="001D5EAD">
              <w:rPr>
                <w:noProof/>
                <w:sz w:val="16"/>
                <w:szCs w:val="16"/>
              </w:rPr>
              <w:t>NFIP should provide at the request of another NFIP a risk assessment of their own country's clubs and national team</w:t>
            </w:r>
          </w:p>
        </w:tc>
        <w:tc>
          <w:tcPr>
            <w:tcW w:w="720" w:type="pct"/>
            <w:shd w:val="clear" w:color="auto" w:fill="A6A6A6" w:themeFill="background1" w:themeFillShade="A6"/>
          </w:tcPr>
          <w:p w14:paraId="66F21796" w14:textId="77777777" w:rsidR="0068616C" w:rsidRPr="001D5EAD" w:rsidRDefault="0068616C" w:rsidP="0068616C">
            <w:pPr>
              <w:pStyle w:val="Boxtext"/>
              <w:jc w:val="left"/>
              <w:rPr>
                <w:noProof/>
                <w:sz w:val="16"/>
                <w:szCs w:val="16"/>
              </w:rPr>
            </w:pPr>
          </w:p>
        </w:tc>
        <w:tc>
          <w:tcPr>
            <w:tcW w:w="698" w:type="pct"/>
            <w:shd w:val="clear" w:color="auto" w:fill="A6A6A6" w:themeFill="background1" w:themeFillShade="A6"/>
          </w:tcPr>
          <w:p w14:paraId="707FB40D" w14:textId="77777777" w:rsidR="0068616C" w:rsidRPr="001D5EAD" w:rsidRDefault="0068616C" w:rsidP="0068616C">
            <w:pPr>
              <w:pStyle w:val="Boxtext"/>
              <w:jc w:val="left"/>
              <w:rPr>
                <w:noProof/>
                <w:sz w:val="16"/>
                <w:szCs w:val="16"/>
              </w:rPr>
            </w:pPr>
          </w:p>
        </w:tc>
        <w:tc>
          <w:tcPr>
            <w:tcW w:w="696" w:type="pct"/>
            <w:shd w:val="clear" w:color="auto" w:fill="A6A6A6" w:themeFill="background1" w:themeFillShade="A6"/>
          </w:tcPr>
          <w:p w14:paraId="6E2B3967" w14:textId="77777777" w:rsidR="0068616C" w:rsidRPr="001D5EAD" w:rsidRDefault="0068616C" w:rsidP="0068616C">
            <w:pPr>
              <w:pStyle w:val="Boxtext"/>
              <w:jc w:val="left"/>
              <w:rPr>
                <w:noProof/>
                <w:sz w:val="16"/>
                <w:szCs w:val="16"/>
              </w:rPr>
            </w:pPr>
          </w:p>
        </w:tc>
      </w:tr>
    </w:tbl>
    <w:p w14:paraId="187FACFC" w14:textId="77777777" w:rsidR="0068616C" w:rsidRPr="00A90E83" w:rsidRDefault="0068616C" w:rsidP="0068616C">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Pr>
          <w:i/>
          <w:noProof/>
          <w:color w:val="7F7F7F" w:themeColor="text1" w:themeTint="80"/>
          <w:sz w:val="18"/>
          <w:szCs w:val="18"/>
        </w:rPr>
        <w:t xml:space="preserve">Elaboration by the Study </w:t>
      </w:r>
      <w:r w:rsidRPr="009C0147">
        <w:rPr>
          <w:i/>
          <w:noProof/>
          <w:color w:val="7F7F7F" w:themeColor="text1" w:themeTint="80"/>
          <w:sz w:val="18"/>
          <w:szCs w:val="18"/>
        </w:rPr>
        <w:t>to support the preparation of an impact assessment on EU policy initiatives facilitating cross-border law enforcement cooperation</w:t>
      </w:r>
    </w:p>
    <w:p w14:paraId="751BF019" w14:textId="77777777" w:rsidR="0068616C" w:rsidRPr="00245FF0" w:rsidRDefault="0068616C" w:rsidP="0068616C">
      <w:pPr>
        <w:pStyle w:val="Caption"/>
        <w:keepNext/>
        <w:jc w:val="center"/>
        <w:rPr>
          <w:rFonts w:ascii="Times New Roman" w:hAnsi="Times New Roman"/>
          <w:noProof/>
          <w:sz w:val="24"/>
          <w:szCs w:val="24"/>
          <w:lang w:val="en-US"/>
        </w:rPr>
      </w:pPr>
      <w:r w:rsidRPr="00245FF0">
        <w:rPr>
          <w:rFonts w:ascii="Times New Roman" w:hAnsi="Times New Roman"/>
          <w:noProof/>
          <w:sz w:val="24"/>
          <w:szCs w:val="24"/>
          <w:lang w:val="en-US"/>
        </w:rPr>
        <w:t xml:space="preserve">Overview of non-binding EU measures with respect to the access to and exchange of information </w:t>
      </w:r>
    </w:p>
    <w:tbl>
      <w:tblPr>
        <w:tblStyle w:val="TableGrid"/>
        <w:tblW w:w="5000" w:type="pct"/>
        <w:tblLook w:val="04A0" w:firstRow="1" w:lastRow="0" w:firstColumn="1" w:lastColumn="0" w:noHBand="0" w:noVBand="1"/>
      </w:tblPr>
      <w:tblGrid>
        <w:gridCol w:w="2360"/>
        <w:gridCol w:w="2490"/>
        <w:gridCol w:w="1656"/>
        <w:gridCol w:w="1656"/>
        <w:gridCol w:w="1727"/>
        <w:gridCol w:w="1588"/>
        <w:gridCol w:w="1656"/>
        <w:gridCol w:w="1653"/>
      </w:tblGrid>
      <w:tr w:rsidR="0068616C" w:rsidRPr="00B71F73" w14:paraId="252F510F" w14:textId="77777777" w:rsidTr="0068616C">
        <w:trPr>
          <w:trHeight w:val="378"/>
          <w:tblHeader/>
        </w:trPr>
        <w:tc>
          <w:tcPr>
            <w:tcW w:w="798" w:type="pct"/>
            <w:shd w:val="clear" w:color="auto" w:fill="00B0F0"/>
          </w:tcPr>
          <w:p w14:paraId="4BD6E3E5" w14:textId="77777777" w:rsidR="0068616C" w:rsidRPr="001D5EAD" w:rsidRDefault="0068616C" w:rsidP="0068616C">
            <w:pPr>
              <w:pStyle w:val="Boxtext"/>
              <w:rPr>
                <w:noProof/>
                <w:color w:val="FFFFFF" w:themeColor="background1"/>
                <w:sz w:val="16"/>
                <w:szCs w:val="16"/>
              </w:rPr>
            </w:pPr>
          </w:p>
        </w:tc>
        <w:tc>
          <w:tcPr>
            <w:tcW w:w="842" w:type="pct"/>
            <w:shd w:val="clear" w:color="auto" w:fill="00B0F0"/>
          </w:tcPr>
          <w:p w14:paraId="0DF1A8ED"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Document No 9512/10 (Guidelines on the implementation of SFD)</w:t>
            </w:r>
          </w:p>
        </w:tc>
        <w:tc>
          <w:tcPr>
            <w:tcW w:w="560" w:type="pct"/>
            <w:shd w:val="clear" w:color="auto" w:fill="00B0F0"/>
          </w:tcPr>
          <w:p w14:paraId="0AEA52AF"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Document 10492/14</w:t>
            </w:r>
          </w:p>
          <w:p w14:paraId="5A72BB18"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(Guidelines for SPOC)</w:t>
            </w:r>
          </w:p>
        </w:tc>
        <w:tc>
          <w:tcPr>
            <w:tcW w:w="560" w:type="pct"/>
            <w:shd w:val="clear" w:color="auto" w:fill="00B0F0"/>
          </w:tcPr>
          <w:p w14:paraId="7E807868"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Document 6721/3/14 (SPOC guidelines)</w:t>
            </w:r>
          </w:p>
        </w:tc>
        <w:tc>
          <w:tcPr>
            <w:tcW w:w="584" w:type="pct"/>
            <w:shd w:val="clear" w:color="auto" w:fill="00B0F0"/>
          </w:tcPr>
          <w:p w14:paraId="2198352E"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Document 13034/14 (Guidelines on the implementation of SFD)</w:t>
            </w:r>
          </w:p>
        </w:tc>
        <w:tc>
          <w:tcPr>
            <w:tcW w:w="537" w:type="pct"/>
            <w:shd w:val="clear" w:color="auto" w:fill="00B0F0"/>
          </w:tcPr>
          <w:p w14:paraId="673CE1E0"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Document No 5825/20</w:t>
            </w:r>
            <w:r w:rsidRPr="001D5EAD" w:rsidDel="00564BB6">
              <w:rPr>
                <w:noProof/>
                <w:color w:val="FFFFFF" w:themeColor="background1"/>
                <w:sz w:val="16"/>
                <w:szCs w:val="16"/>
              </w:rPr>
              <w:t xml:space="preserve"> </w:t>
            </w:r>
            <w:r w:rsidRPr="001D5EAD">
              <w:rPr>
                <w:noProof/>
                <w:color w:val="FFFFFF" w:themeColor="background1"/>
                <w:sz w:val="16"/>
                <w:szCs w:val="16"/>
              </w:rPr>
              <w:t>(Manual on Law Enforcement Information Exchange)</w:t>
            </w:r>
          </w:p>
        </w:tc>
        <w:tc>
          <w:tcPr>
            <w:tcW w:w="560" w:type="pct"/>
            <w:shd w:val="clear" w:color="auto" w:fill="00B0F0"/>
          </w:tcPr>
          <w:p w14:paraId="25B2491C"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Council Document No 9105/11 (PCCCs guidelines)</w:t>
            </w:r>
          </w:p>
        </w:tc>
        <w:tc>
          <w:tcPr>
            <w:tcW w:w="559" w:type="pct"/>
            <w:shd w:val="clear" w:color="auto" w:fill="00B0F0"/>
          </w:tcPr>
          <w:p w14:paraId="43AB7EE1" w14:textId="77777777" w:rsidR="0068616C" w:rsidRPr="001D5EAD" w:rsidRDefault="0068616C" w:rsidP="0068616C">
            <w:pPr>
              <w:pStyle w:val="Boxtext"/>
              <w:jc w:val="center"/>
              <w:rPr>
                <w:noProof/>
                <w:color w:val="FFFFFF" w:themeColor="background1"/>
                <w:sz w:val="16"/>
                <w:szCs w:val="16"/>
              </w:rPr>
            </w:pPr>
            <w:r w:rsidRPr="001D5EAD">
              <w:rPr>
                <w:noProof/>
                <w:color w:val="FFFFFF" w:themeColor="background1"/>
                <w:sz w:val="16"/>
                <w:szCs w:val="16"/>
              </w:rPr>
              <w:t>Football Handbook (2006/C 322/01)</w:t>
            </w:r>
          </w:p>
        </w:tc>
      </w:tr>
      <w:tr w:rsidR="0068616C" w:rsidRPr="00512A9E" w14:paraId="28E57A95" w14:textId="77777777" w:rsidTr="0068616C">
        <w:tc>
          <w:tcPr>
            <w:tcW w:w="798" w:type="pct"/>
          </w:tcPr>
          <w:p w14:paraId="234585B1" w14:textId="77777777" w:rsidR="0068616C" w:rsidRPr="001D5EAD" w:rsidRDefault="0068616C" w:rsidP="0068616C">
            <w:pPr>
              <w:pStyle w:val="Boxtext"/>
              <w:jc w:val="left"/>
              <w:rPr>
                <w:noProof/>
                <w:sz w:val="16"/>
                <w:szCs w:val="16"/>
              </w:rPr>
            </w:pPr>
            <w:r w:rsidRPr="001D5EAD">
              <w:rPr>
                <w:noProof/>
                <w:sz w:val="16"/>
                <w:szCs w:val="16"/>
              </w:rPr>
              <w:t>Objective</w:t>
            </w:r>
          </w:p>
        </w:tc>
        <w:tc>
          <w:tcPr>
            <w:tcW w:w="842" w:type="pct"/>
          </w:tcPr>
          <w:p w14:paraId="3D269797" w14:textId="77777777" w:rsidR="0068616C" w:rsidRPr="001D5EAD" w:rsidDel="003765A5" w:rsidRDefault="0068616C" w:rsidP="0068616C">
            <w:pPr>
              <w:pStyle w:val="Boxtext"/>
              <w:jc w:val="left"/>
              <w:rPr>
                <w:noProof/>
                <w:sz w:val="16"/>
                <w:szCs w:val="16"/>
              </w:rPr>
            </w:pPr>
            <w:r w:rsidRPr="001D5EAD">
              <w:rPr>
                <w:noProof/>
                <w:sz w:val="16"/>
                <w:szCs w:val="16"/>
              </w:rPr>
              <w:t>To enhance the effective and expeditious exchange of information and intelligence between law enforcement authorities</w:t>
            </w:r>
          </w:p>
        </w:tc>
        <w:tc>
          <w:tcPr>
            <w:tcW w:w="560" w:type="pct"/>
          </w:tcPr>
          <w:p w14:paraId="0C924FDB" w14:textId="77777777" w:rsidR="0068616C" w:rsidRPr="001D5EAD" w:rsidRDefault="0068616C" w:rsidP="0068616C">
            <w:pPr>
              <w:pStyle w:val="Boxtext"/>
              <w:jc w:val="left"/>
              <w:rPr>
                <w:noProof/>
                <w:sz w:val="16"/>
                <w:szCs w:val="16"/>
              </w:rPr>
            </w:pPr>
            <w:r w:rsidRPr="001D5EAD">
              <w:rPr>
                <w:noProof/>
                <w:sz w:val="16"/>
                <w:szCs w:val="16"/>
              </w:rPr>
              <w:t>To provide guidelines for SPOC for which SPOC should access, directly or at request from competent authorities, to the broadest range of relevant national databases and in any case to all those databases available to the authorities represented in the SPOC</w:t>
            </w:r>
          </w:p>
        </w:tc>
        <w:tc>
          <w:tcPr>
            <w:tcW w:w="560" w:type="pct"/>
          </w:tcPr>
          <w:p w14:paraId="640E296C" w14:textId="77777777" w:rsidR="0068616C" w:rsidRPr="001D5EAD" w:rsidRDefault="0068616C" w:rsidP="0068616C">
            <w:pPr>
              <w:pStyle w:val="Boxtext"/>
              <w:jc w:val="left"/>
              <w:rPr>
                <w:noProof/>
                <w:sz w:val="16"/>
                <w:szCs w:val="16"/>
              </w:rPr>
            </w:pPr>
            <w:r w:rsidRPr="001D5EAD">
              <w:rPr>
                <w:noProof/>
                <w:sz w:val="16"/>
                <w:szCs w:val="16"/>
              </w:rPr>
              <w:t>To provide guidelines for SPOC for which SPOC should access, directly or at request from competent authorities, to the broadest range of relevant national databases and in any case to all those databases available to the authorities represented in the SPOC</w:t>
            </w:r>
          </w:p>
        </w:tc>
        <w:tc>
          <w:tcPr>
            <w:tcW w:w="584" w:type="pct"/>
            <w:shd w:val="clear" w:color="auto" w:fill="A6A6A6" w:themeFill="background1" w:themeFillShade="A6"/>
          </w:tcPr>
          <w:p w14:paraId="0E57FC2A"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60718842" w14:textId="77777777" w:rsidR="0068616C" w:rsidRPr="001D5EAD" w:rsidRDefault="0068616C" w:rsidP="0068616C">
            <w:pPr>
              <w:pStyle w:val="Boxtext"/>
              <w:jc w:val="left"/>
              <w:rPr>
                <w:noProof/>
                <w:sz w:val="16"/>
                <w:szCs w:val="16"/>
              </w:rPr>
            </w:pPr>
          </w:p>
        </w:tc>
        <w:tc>
          <w:tcPr>
            <w:tcW w:w="560" w:type="pct"/>
          </w:tcPr>
          <w:p w14:paraId="7E85443C" w14:textId="77777777" w:rsidR="0068616C" w:rsidRPr="001D5EAD" w:rsidRDefault="0068616C" w:rsidP="0068616C">
            <w:pPr>
              <w:pStyle w:val="Boxtext"/>
              <w:jc w:val="left"/>
              <w:rPr>
                <w:noProof/>
                <w:sz w:val="16"/>
                <w:szCs w:val="16"/>
              </w:rPr>
            </w:pPr>
            <w:r w:rsidRPr="001D5EAD">
              <w:rPr>
                <w:noProof/>
                <w:sz w:val="16"/>
                <w:szCs w:val="16"/>
              </w:rPr>
              <w:t xml:space="preserve">To provide guidelines for PCCCs for which PCCCs should act as a "facilitator" of information exchange between States. </w:t>
            </w:r>
          </w:p>
        </w:tc>
        <w:tc>
          <w:tcPr>
            <w:tcW w:w="559" w:type="pct"/>
          </w:tcPr>
          <w:p w14:paraId="5997A017" w14:textId="77777777" w:rsidR="0068616C" w:rsidRPr="001D5EAD" w:rsidRDefault="0068616C" w:rsidP="0068616C">
            <w:pPr>
              <w:pStyle w:val="Boxtext"/>
              <w:jc w:val="left"/>
              <w:rPr>
                <w:noProof/>
                <w:sz w:val="16"/>
                <w:szCs w:val="16"/>
              </w:rPr>
            </w:pPr>
            <w:r w:rsidRPr="001D5EAD">
              <w:rPr>
                <w:noProof/>
                <w:sz w:val="16"/>
                <w:szCs w:val="16"/>
              </w:rPr>
              <w:t>To provide a Handbook helping NFIP coordinating the exchange of information on football matches. The NFIP should contribute to public order, peace and safety, thus aiming at an efficient use of the available resources. The NFIP should also aim to facilitate international police cooperation regarding the police approach to the football issues and to promote the exchange of information between the police services of the different countries</w:t>
            </w:r>
          </w:p>
        </w:tc>
      </w:tr>
      <w:tr w:rsidR="0068616C" w:rsidRPr="00B71F73" w14:paraId="30E1345F" w14:textId="77777777" w:rsidTr="0068616C">
        <w:tc>
          <w:tcPr>
            <w:tcW w:w="798" w:type="pct"/>
          </w:tcPr>
          <w:p w14:paraId="069C7302" w14:textId="77777777" w:rsidR="0068616C" w:rsidRPr="001D5EAD" w:rsidRDefault="0068616C" w:rsidP="0068616C">
            <w:pPr>
              <w:pStyle w:val="Boxtext"/>
              <w:jc w:val="left"/>
              <w:rPr>
                <w:noProof/>
                <w:sz w:val="16"/>
                <w:szCs w:val="16"/>
              </w:rPr>
            </w:pPr>
            <w:r w:rsidRPr="001D5EAD">
              <w:rPr>
                <w:noProof/>
                <w:sz w:val="16"/>
                <w:szCs w:val="16"/>
              </w:rPr>
              <w:t xml:space="preserve">Type of information to be exchanged </w:t>
            </w:r>
          </w:p>
        </w:tc>
        <w:tc>
          <w:tcPr>
            <w:tcW w:w="842" w:type="pct"/>
          </w:tcPr>
          <w:p w14:paraId="3AF4D524" w14:textId="77777777" w:rsidR="0068616C" w:rsidRPr="001D5EAD" w:rsidRDefault="0068616C" w:rsidP="0068616C">
            <w:pPr>
              <w:pStyle w:val="Boxtext"/>
              <w:jc w:val="left"/>
              <w:rPr>
                <w:noProof/>
                <w:sz w:val="16"/>
                <w:szCs w:val="16"/>
              </w:rPr>
            </w:pPr>
            <w:r w:rsidRPr="001D5EAD">
              <w:rPr>
                <w:noProof/>
                <w:sz w:val="16"/>
                <w:szCs w:val="16"/>
              </w:rPr>
              <w:t>Any type of information or data which is held by law enforcement authorities, public authorities or by private entities and which is available to law enforcement authorities without the taking of coercive measures</w:t>
            </w:r>
          </w:p>
        </w:tc>
        <w:tc>
          <w:tcPr>
            <w:tcW w:w="560" w:type="pct"/>
          </w:tcPr>
          <w:p w14:paraId="5DA18F82" w14:textId="77777777" w:rsidR="0068616C" w:rsidRPr="001D5EAD" w:rsidRDefault="0068616C" w:rsidP="0068616C">
            <w:pPr>
              <w:pStyle w:val="Boxtext"/>
              <w:jc w:val="left"/>
              <w:rPr>
                <w:noProof/>
                <w:sz w:val="16"/>
                <w:szCs w:val="16"/>
              </w:rPr>
            </w:pPr>
            <w:r w:rsidRPr="001D5EAD">
              <w:rPr>
                <w:noProof/>
                <w:sz w:val="16"/>
                <w:szCs w:val="16"/>
              </w:rPr>
              <w:t xml:space="preserve">Any type of information contained in law enforcement databases, identity documents database, visa database, immigration office database, prisoners database, information exchange with the national liaison officers, border control database </w:t>
            </w:r>
          </w:p>
        </w:tc>
        <w:tc>
          <w:tcPr>
            <w:tcW w:w="560" w:type="pct"/>
          </w:tcPr>
          <w:p w14:paraId="1A0B485E" w14:textId="77777777" w:rsidR="0068616C" w:rsidRPr="001D5EAD" w:rsidRDefault="0068616C" w:rsidP="0068616C">
            <w:pPr>
              <w:pStyle w:val="Boxtext"/>
              <w:jc w:val="left"/>
              <w:rPr>
                <w:noProof/>
                <w:sz w:val="16"/>
                <w:szCs w:val="16"/>
              </w:rPr>
            </w:pPr>
            <w:r w:rsidRPr="001D5EAD">
              <w:rPr>
                <w:noProof/>
                <w:sz w:val="16"/>
                <w:szCs w:val="16"/>
              </w:rPr>
              <w:t xml:space="preserve">Any type of information contained in law enforcement databases, identity documents database, visa database, immigration office database, prisoners database, information exchange with the national liaison officers, border control database </w:t>
            </w:r>
          </w:p>
        </w:tc>
        <w:tc>
          <w:tcPr>
            <w:tcW w:w="584" w:type="pct"/>
            <w:shd w:val="clear" w:color="auto" w:fill="A6A6A6" w:themeFill="background1" w:themeFillShade="A6"/>
          </w:tcPr>
          <w:p w14:paraId="3DE40555"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6FAD56C8" w14:textId="77777777" w:rsidR="0068616C" w:rsidRPr="001D5EAD" w:rsidRDefault="0068616C" w:rsidP="0068616C">
            <w:pPr>
              <w:pStyle w:val="Boxtext"/>
              <w:jc w:val="left"/>
              <w:rPr>
                <w:noProof/>
                <w:sz w:val="16"/>
                <w:szCs w:val="16"/>
              </w:rPr>
            </w:pPr>
          </w:p>
        </w:tc>
        <w:tc>
          <w:tcPr>
            <w:tcW w:w="560" w:type="pct"/>
          </w:tcPr>
          <w:p w14:paraId="67E72CBE" w14:textId="77777777" w:rsidR="0068616C" w:rsidRPr="001D5EAD" w:rsidRDefault="0068616C" w:rsidP="0068616C">
            <w:pPr>
              <w:pStyle w:val="Boxtext"/>
              <w:jc w:val="left"/>
              <w:rPr>
                <w:noProof/>
                <w:sz w:val="16"/>
                <w:szCs w:val="16"/>
              </w:rPr>
            </w:pPr>
            <w:r w:rsidRPr="001D5EAD">
              <w:rPr>
                <w:noProof/>
                <w:sz w:val="16"/>
                <w:szCs w:val="16"/>
              </w:rPr>
              <w:t>Information related to petty and moderately serious crime, illegal migration flows and public order problems</w:t>
            </w:r>
          </w:p>
        </w:tc>
        <w:tc>
          <w:tcPr>
            <w:tcW w:w="559" w:type="pct"/>
          </w:tcPr>
          <w:p w14:paraId="2AAC590E" w14:textId="77777777" w:rsidR="0068616C" w:rsidRPr="001D5EAD" w:rsidRDefault="0068616C" w:rsidP="0068616C">
            <w:pPr>
              <w:pStyle w:val="Boxtext"/>
              <w:jc w:val="left"/>
              <w:rPr>
                <w:noProof/>
                <w:sz w:val="16"/>
                <w:szCs w:val="16"/>
              </w:rPr>
            </w:pPr>
            <w:r w:rsidRPr="001D5EAD">
              <w:rPr>
                <w:noProof/>
                <w:sz w:val="16"/>
                <w:szCs w:val="16"/>
              </w:rPr>
              <w:t>General and personal information</w:t>
            </w:r>
          </w:p>
        </w:tc>
      </w:tr>
      <w:tr w:rsidR="0068616C" w:rsidRPr="00512A9E" w14:paraId="76C6D7CB" w14:textId="77777777" w:rsidTr="0068616C">
        <w:tc>
          <w:tcPr>
            <w:tcW w:w="798" w:type="pct"/>
          </w:tcPr>
          <w:p w14:paraId="4AA2E286" w14:textId="77777777" w:rsidR="0068616C" w:rsidRPr="001D5EAD" w:rsidRDefault="0068616C" w:rsidP="0068616C">
            <w:pPr>
              <w:pStyle w:val="Boxtext"/>
              <w:jc w:val="left"/>
              <w:rPr>
                <w:noProof/>
                <w:sz w:val="16"/>
                <w:szCs w:val="16"/>
              </w:rPr>
            </w:pPr>
            <w:r w:rsidRPr="001D5EAD">
              <w:rPr>
                <w:noProof/>
                <w:sz w:val="16"/>
                <w:szCs w:val="16"/>
              </w:rPr>
              <w:t>Tools/ information systems used to exchange information</w:t>
            </w:r>
          </w:p>
        </w:tc>
        <w:tc>
          <w:tcPr>
            <w:tcW w:w="842" w:type="pct"/>
          </w:tcPr>
          <w:p w14:paraId="65D9097E" w14:textId="77777777" w:rsidR="0068616C" w:rsidRPr="001D5EAD" w:rsidRDefault="0068616C" w:rsidP="0068616C">
            <w:pPr>
              <w:pStyle w:val="Boxtext"/>
              <w:jc w:val="left"/>
              <w:rPr>
                <w:noProof/>
                <w:sz w:val="16"/>
                <w:szCs w:val="16"/>
              </w:rPr>
            </w:pPr>
            <w:r w:rsidRPr="001D5EAD">
              <w:rPr>
                <w:noProof/>
                <w:sz w:val="16"/>
                <w:szCs w:val="16"/>
              </w:rPr>
              <w:t>Annex A :form to be used by the requested Member State in case of transmission/delay/refusal of information;</w:t>
            </w:r>
          </w:p>
          <w:p w14:paraId="524E064E" w14:textId="77777777" w:rsidR="0068616C" w:rsidRPr="001D5EAD" w:rsidRDefault="0068616C" w:rsidP="0068616C">
            <w:pPr>
              <w:pStyle w:val="Boxtext"/>
              <w:jc w:val="left"/>
              <w:rPr>
                <w:noProof/>
                <w:color w:val="auto"/>
                <w:sz w:val="16"/>
                <w:szCs w:val="16"/>
              </w:rPr>
            </w:pPr>
            <w:r w:rsidRPr="001D5EAD">
              <w:rPr>
                <w:noProof/>
                <w:sz w:val="16"/>
                <w:szCs w:val="16"/>
              </w:rPr>
              <w:t>Annex B: request form for information and intelligence to be used by the requesting Member State</w:t>
            </w:r>
          </w:p>
        </w:tc>
        <w:tc>
          <w:tcPr>
            <w:tcW w:w="560" w:type="pct"/>
          </w:tcPr>
          <w:p w14:paraId="1654CEE2" w14:textId="77777777" w:rsidR="0068616C" w:rsidRPr="001D5EAD" w:rsidRDefault="0068616C" w:rsidP="0068616C">
            <w:pPr>
              <w:pStyle w:val="Boxtext"/>
              <w:jc w:val="left"/>
              <w:rPr>
                <w:noProof/>
                <w:sz w:val="16"/>
                <w:szCs w:val="16"/>
              </w:rPr>
            </w:pPr>
            <w:r w:rsidRPr="001D5EAD">
              <w:rPr>
                <w:noProof/>
                <w:sz w:val="16"/>
                <w:szCs w:val="16"/>
              </w:rPr>
              <w:t>SIS, CIS SIENA, Interpol (I-24/7 communication system), and sTESTA network</w:t>
            </w:r>
          </w:p>
        </w:tc>
        <w:tc>
          <w:tcPr>
            <w:tcW w:w="560" w:type="pct"/>
          </w:tcPr>
          <w:p w14:paraId="4E9160D5" w14:textId="77777777" w:rsidR="0068616C" w:rsidRPr="001D5EAD" w:rsidRDefault="0068616C" w:rsidP="0068616C">
            <w:pPr>
              <w:pStyle w:val="Boxtext"/>
              <w:jc w:val="left"/>
              <w:rPr>
                <w:noProof/>
                <w:sz w:val="16"/>
                <w:szCs w:val="16"/>
              </w:rPr>
            </w:pPr>
            <w:r w:rsidRPr="001D5EAD">
              <w:rPr>
                <w:noProof/>
                <w:sz w:val="16"/>
                <w:szCs w:val="16"/>
              </w:rPr>
              <w:t>SIS, CIS and sTESTA network</w:t>
            </w:r>
          </w:p>
        </w:tc>
        <w:tc>
          <w:tcPr>
            <w:tcW w:w="584" w:type="pct"/>
            <w:shd w:val="clear" w:color="auto" w:fill="A6A6A6" w:themeFill="background1" w:themeFillShade="A6"/>
          </w:tcPr>
          <w:p w14:paraId="3A3CB614"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4621E9EB" w14:textId="77777777" w:rsidR="0068616C" w:rsidRPr="001D5EAD" w:rsidRDefault="0068616C" w:rsidP="0068616C">
            <w:pPr>
              <w:pStyle w:val="Boxtext"/>
              <w:jc w:val="left"/>
              <w:rPr>
                <w:noProof/>
                <w:sz w:val="16"/>
                <w:szCs w:val="16"/>
              </w:rPr>
            </w:pPr>
          </w:p>
        </w:tc>
        <w:tc>
          <w:tcPr>
            <w:tcW w:w="560" w:type="pct"/>
          </w:tcPr>
          <w:p w14:paraId="1E17AF3F" w14:textId="77777777" w:rsidR="0068616C" w:rsidRPr="001D5EAD" w:rsidRDefault="0068616C" w:rsidP="0068616C">
            <w:pPr>
              <w:pStyle w:val="Boxtext"/>
              <w:jc w:val="left"/>
              <w:rPr>
                <w:noProof/>
                <w:sz w:val="16"/>
                <w:szCs w:val="16"/>
              </w:rPr>
            </w:pPr>
            <w:r w:rsidRPr="001D5EAD">
              <w:rPr>
                <w:noProof/>
                <w:sz w:val="16"/>
                <w:szCs w:val="16"/>
              </w:rPr>
              <w:t>Secure internal and external communications system, (e.g. systems similar to those employed by the national operational agencies - telephony, fax, e-mail, etc.). To increase efficiency and budgetary rationality, each PCCC party should be able to use a national line to communicate with its home country agencies and authorities.</w:t>
            </w:r>
          </w:p>
          <w:p w14:paraId="0DAAB352" w14:textId="77777777" w:rsidR="0068616C" w:rsidRPr="001D5EAD" w:rsidRDefault="0068616C" w:rsidP="0068616C">
            <w:pPr>
              <w:pStyle w:val="Boxtext"/>
              <w:jc w:val="left"/>
              <w:rPr>
                <w:noProof/>
                <w:sz w:val="16"/>
                <w:szCs w:val="16"/>
              </w:rPr>
            </w:pPr>
            <w:r w:rsidRPr="001D5EAD">
              <w:rPr>
                <w:noProof/>
                <w:sz w:val="16"/>
                <w:szCs w:val="16"/>
              </w:rPr>
              <w:t>Dedicated software should be installed in order to facilitate the circulation of information within the PCCC in real time and to ensure daily recording and fast processing of questions referred to it and standardised recording of statistics</w:t>
            </w:r>
          </w:p>
        </w:tc>
        <w:tc>
          <w:tcPr>
            <w:tcW w:w="559" w:type="pct"/>
            <w:shd w:val="clear" w:color="auto" w:fill="A6A6A6" w:themeFill="background1" w:themeFillShade="A6"/>
          </w:tcPr>
          <w:p w14:paraId="68AE0370" w14:textId="77777777" w:rsidR="0068616C" w:rsidRPr="001D5EAD" w:rsidRDefault="0068616C" w:rsidP="0068616C">
            <w:pPr>
              <w:pStyle w:val="Boxtext"/>
              <w:jc w:val="left"/>
              <w:rPr>
                <w:noProof/>
                <w:sz w:val="16"/>
                <w:szCs w:val="16"/>
              </w:rPr>
            </w:pPr>
          </w:p>
        </w:tc>
      </w:tr>
      <w:tr w:rsidR="0068616C" w:rsidRPr="00512A9E" w14:paraId="278C4DA3" w14:textId="77777777" w:rsidTr="0068616C">
        <w:tc>
          <w:tcPr>
            <w:tcW w:w="798" w:type="pct"/>
          </w:tcPr>
          <w:p w14:paraId="45518D78" w14:textId="77777777" w:rsidR="0068616C" w:rsidRPr="001D5EAD" w:rsidRDefault="0068616C" w:rsidP="0068616C">
            <w:pPr>
              <w:pStyle w:val="Boxtext"/>
              <w:jc w:val="left"/>
              <w:rPr>
                <w:noProof/>
                <w:sz w:val="16"/>
                <w:szCs w:val="16"/>
              </w:rPr>
            </w:pPr>
            <w:r w:rsidRPr="001D5EAD">
              <w:rPr>
                <w:noProof/>
                <w:sz w:val="16"/>
                <w:szCs w:val="16"/>
              </w:rPr>
              <w:t>Specific actors involved in the exchange of information</w:t>
            </w:r>
          </w:p>
        </w:tc>
        <w:tc>
          <w:tcPr>
            <w:tcW w:w="842" w:type="pct"/>
          </w:tcPr>
          <w:p w14:paraId="64ACFED9" w14:textId="77777777" w:rsidR="0068616C" w:rsidRPr="001D5EAD" w:rsidRDefault="0068616C" w:rsidP="0068616C">
            <w:pPr>
              <w:pStyle w:val="Boxtext"/>
              <w:jc w:val="left"/>
              <w:rPr>
                <w:noProof/>
                <w:sz w:val="16"/>
                <w:szCs w:val="16"/>
              </w:rPr>
            </w:pPr>
            <w:r w:rsidRPr="001D5EAD">
              <w:rPr>
                <w:noProof/>
                <w:sz w:val="16"/>
                <w:szCs w:val="16"/>
              </w:rPr>
              <w:t>Police, customs and other authority authorised by national law to detect, prevent and investigate offences or criminal activities</w:t>
            </w:r>
          </w:p>
        </w:tc>
        <w:tc>
          <w:tcPr>
            <w:tcW w:w="560" w:type="pct"/>
          </w:tcPr>
          <w:p w14:paraId="5BB9A4E5" w14:textId="77777777" w:rsidR="0068616C" w:rsidRPr="001D5EAD" w:rsidRDefault="0068616C" w:rsidP="0068616C">
            <w:pPr>
              <w:pStyle w:val="Boxtext"/>
              <w:jc w:val="left"/>
              <w:rPr>
                <w:noProof/>
                <w:sz w:val="16"/>
                <w:szCs w:val="16"/>
              </w:rPr>
            </w:pPr>
            <w:r w:rsidRPr="001D5EAD">
              <w:rPr>
                <w:noProof/>
                <w:sz w:val="16"/>
                <w:szCs w:val="16"/>
              </w:rPr>
              <w:t>SPOC</w:t>
            </w:r>
          </w:p>
          <w:p w14:paraId="7BF7CBC4" w14:textId="77777777" w:rsidR="0068616C" w:rsidRPr="001D5EAD" w:rsidRDefault="0068616C" w:rsidP="0068616C">
            <w:pPr>
              <w:pStyle w:val="Boxtext"/>
              <w:jc w:val="left"/>
              <w:rPr>
                <w:noProof/>
                <w:color w:val="auto"/>
                <w:sz w:val="16"/>
                <w:szCs w:val="16"/>
              </w:rPr>
            </w:pPr>
            <w:r w:rsidRPr="001D5EAD">
              <w:rPr>
                <w:noProof/>
                <w:sz w:val="16"/>
                <w:szCs w:val="16"/>
              </w:rPr>
              <w:t>Judicial authorities (when appropriate)</w:t>
            </w:r>
          </w:p>
        </w:tc>
        <w:tc>
          <w:tcPr>
            <w:tcW w:w="560" w:type="pct"/>
          </w:tcPr>
          <w:p w14:paraId="6C511197" w14:textId="77777777" w:rsidR="0068616C" w:rsidRPr="001D5EAD" w:rsidRDefault="0068616C" w:rsidP="0068616C">
            <w:pPr>
              <w:pStyle w:val="Boxtext"/>
              <w:jc w:val="left"/>
              <w:rPr>
                <w:noProof/>
                <w:sz w:val="16"/>
                <w:szCs w:val="16"/>
              </w:rPr>
            </w:pPr>
            <w:r w:rsidRPr="001D5EAD">
              <w:rPr>
                <w:noProof/>
                <w:sz w:val="16"/>
                <w:szCs w:val="16"/>
              </w:rPr>
              <w:t>Europol, Interpol, SIRENE</w:t>
            </w:r>
          </w:p>
        </w:tc>
        <w:tc>
          <w:tcPr>
            <w:tcW w:w="584" w:type="pct"/>
            <w:shd w:val="clear" w:color="auto" w:fill="A6A6A6" w:themeFill="background1" w:themeFillShade="A6"/>
          </w:tcPr>
          <w:p w14:paraId="7D1CC390"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5387794D" w14:textId="77777777" w:rsidR="0068616C" w:rsidRPr="001D5EAD" w:rsidRDefault="0068616C" w:rsidP="0068616C">
            <w:pPr>
              <w:pStyle w:val="Boxtext"/>
              <w:jc w:val="left"/>
              <w:rPr>
                <w:noProof/>
                <w:sz w:val="16"/>
                <w:szCs w:val="16"/>
              </w:rPr>
            </w:pPr>
          </w:p>
        </w:tc>
        <w:tc>
          <w:tcPr>
            <w:tcW w:w="560" w:type="pct"/>
          </w:tcPr>
          <w:p w14:paraId="0F4560E8" w14:textId="77777777" w:rsidR="0068616C" w:rsidRPr="001D5EAD" w:rsidRDefault="0068616C" w:rsidP="0068616C">
            <w:pPr>
              <w:pStyle w:val="Boxtext"/>
              <w:jc w:val="left"/>
              <w:rPr>
                <w:noProof/>
                <w:sz w:val="16"/>
                <w:szCs w:val="16"/>
              </w:rPr>
            </w:pPr>
            <w:r w:rsidRPr="001D5EAD">
              <w:rPr>
                <w:noProof/>
                <w:sz w:val="16"/>
                <w:szCs w:val="16"/>
              </w:rPr>
              <w:t>PCCCs and Member States national agencies</w:t>
            </w:r>
          </w:p>
        </w:tc>
        <w:tc>
          <w:tcPr>
            <w:tcW w:w="559" w:type="pct"/>
          </w:tcPr>
          <w:p w14:paraId="73A36744" w14:textId="77777777" w:rsidR="0068616C" w:rsidRPr="001D5EAD" w:rsidRDefault="0068616C" w:rsidP="0068616C">
            <w:pPr>
              <w:pStyle w:val="Boxtext"/>
              <w:jc w:val="left"/>
              <w:rPr>
                <w:noProof/>
                <w:sz w:val="16"/>
                <w:szCs w:val="16"/>
              </w:rPr>
            </w:pPr>
            <w:r w:rsidRPr="001D5EAD">
              <w:rPr>
                <w:noProof/>
                <w:sz w:val="16"/>
                <w:szCs w:val="16"/>
              </w:rPr>
              <w:t xml:space="preserve">Liaison officers, national football information point; </w:t>
            </w:r>
          </w:p>
          <w:p w14:paraId="5EBD8460" w14:textId="77777777" w:rsidR="0068616C" w:rsidRPr="001D5EAD" w:rsidDel="00853B8D" w:rsidRDefault="0068616C" w:rsidP="0068616C">
            <w:pPr>
              <w:pStyle w:val="Boxtext"/>
              <w:jc w:val="left"/>
              <w:rPr>
                <w:noProof/>
                <w:sz w:val="16"/>
                <w:szCs w:val="16"/>
              </w:rPr>
            </w:pPr>
            <w:r w:rsidRPr="001D5EAD">
              <w:rPr>
                <w:noProof/>
                <w:sz w:val="16"/>
                <w:szCs w:val="16"/>
              </w:rPr>
              <w:t>for international tournaments, the formal request for support should come from the minister of the department responsible in the organising country, who will receive advice from the NFIP concerned</w:t>
            </w:r>
          </w:p>
        </w:tc>
      </w:tr>
      <w:tr w:rsidR="0068616C" w:rsidRPr="00512A9E" w14:paraId="2C06158B" w14:textId="77777777" w:rsidTr="0068616C">
        <w:tc>
          <w:tcPr>
            <w:tcW w:w="798" w:type="pct"/>
          </w:tcPr>
          <w:p w14:paraId="4C8B3C3B" w14:textId="77777777" w:rsidR="0068616C" w:rsidRPr="001D5EAD" w:rsidRDefault="0068616C" w:rsidP="0068616C">
            <w:pPr>
              <w:pStyle w:val="Boxtext"/>
              <w:jc w:val="left"/>
              <w:rPr>
                <w:noProof/>
                <w:sz w:val="16"/>
                <w:szCs w:val="16"/>
              </w:rPr>
            </w:pPr>
            <w:r w:rsidRPr="001D5EAD">
              <w:rPr>
                <w:noProof/>
                <w:sz w:val="16"/>
                <w:szCs w:val="16"/>
              </w:rPr>
              <w:t>Timing for exchanging information</w:t>
            </w:r>
          </w:p>
        </w:tc>
        <w:tc>
          <w:tcPr>
            <w:tcW w:w="842" w:type="pct"/>
            <w:shd w:val="clear" w:color="auto" w:fill="A6A6A6" w:themeFill="background1" w:themeFillShade="A6"/>
          </w:tcPr>
          <w:p w14:paraId="1492915B" w14:textId="77777777" w:rsidR="0068616C" w:rsidRPr="001D5EAD" w:rsidDel="003765A5" w:rsidRDefault="0068616C" w:rsidP="0068616C">
            <w:pPr>
              <w:pStyle w:val="Boxtext"/>
              <w:jc w:val="left"/>
              <w:rPr>
                <w:noProof/>
                <w:sz w:val="16"/>
                <w:szCs w:val="16"/>
              </w:rPr>
            </w:pPr>
          </w:p>
        </w:tc>
        <w:tc>
          <w:tcPr>
            <w:tcW w:w="560" w:type="pct"/>
          </w:tcPr>
          <w:p w14:paraId="55DF1571" w14:textId="77777777" w:rsidR="0068616C" w:rsidRPr="001D5EAD" w:rsidRDefault="0068616C" w:rsidP="0068616C">
            <w:pPr>
              <w:pStyle w:val="Boxtext"/>
              <w:jc w:val="left"/>
              <w:rPr>
                <w:noProof/>
                <w:sz w:val="16"/>
                <w:szCs w:val="16"/>
              </w:rPr>
            </w:pPr>
            <w:r w:rsidRPr="001D5EAD">
              <w:rPr>
                <w:noProof/>
                <w:sz w:val="16"/>
                <w:szCs w:val="16"/>
              </w:rPr>
              <w:t>All databases are accessible to the unit on a 24/7 basis, where necessary via on-call duty officers</w:t>
            </w:r>
          </w:p>
        </w:tc>
        <w:tc>
          <w:tcPr>
            <w:tcW w:w="560" w:type="pct"/>
            <w:shd w:val="clear" w:color="auto" w:fill="A6A6A6" w:themeFill="background1" w:themeFillShade="A6"/>
          </w:tcPr>
          <w:p w14:paraId="6A467188" w14:textId="77777777" w:rsidR="0068616C" w:rsidRPr="001D5EAD" w:rsidRDefault="0068616C" w:rsidP="0068616C">
            <w:pPr>
              <w:pStyle w:val="Boxtext"/>
              <w:jc w:val="left"/>
              <w:rPr>
                <w:noProof/>
                <w:sz w:val="16"/>
                <w:szCs w:val="16"/>
              </w:rPr>
            </w:pPr>
          </w:p>
        </w:tc>
        <w:tc>
          <w:tcPr>
            <w:tcW w:w="584" w:type="pct"/>
            <w:shd w:val="clear" w:color="auto" w:fill="A6A6A6" w:themeFill="background1" w:themeFillShade="A6"/>
          </w:tcPr>
          <w:p w14:paraId="2B7E544F"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287535BD" w14:textId="77777777" w:rsidR="0068616C" w:rsidRPr="001D5EAD" w:rsidRDefault="0068616C" w:rsidP="0068616C">
            <w:pPr>
              <w:pStyle w:val="Boxtext"/>
              <w:jc w:val="left"/>
              <w:rPr>
                <w:noProof/>
                <w:sz w:val="16"/>
                <w:szCs w:val="16"/>
              </w:rPr>
            </w:pPr>
          </w:p>
        </w:tc>
        <w:tc>
          <w:tcPr>
            <w:tcW w:w="560" w:type="pct"/>
            <w:shd w:val="clear" w:color="auto" w:fill="A6A6A6" w:themeFill="background1" w:themeFillShade="A6"/>
          </w:tcPr>
          <w:p w14:paraId="339B61BD" w14:textId="77777777" w:rsidR="0068616C" w:rsidRPr="001D5EAD" w:rsidRDefault="0068616C" w:rsidP="0068616C">
            <w:pPr>
              <w:pStyle w:val="Boxtext"/>
              <w:jc w:val="left"/>
              <w:rPr>
                <w:noProof/>
                <w:sz w:val="16"/>
                <w:szCs w:val="16"/>
              </w:rPr>
            </w:pPr>
          </w:p>
        </w:tc>
        <w:tc>
          <w:tcPr>
            <w:tcW w:w="559" w:type="pct"/>
            <w:shd w:val="clear" w:color="auto" w:fill="A6A6A6" w:themeFill="background1" w:themeFillShade="A6"/>
          </w:tcPr>
          <w:p w14:paraId="6B014D79" w14:textId="77777777" w:rsidR="0068616C" w:rsidRPr="001D5EAD" w:rsidRDefault="0068616C" w:rsidP="0068616C">
            <w:pPr>
              <w:pStyle w:val="Boxtext"/>
              <w:jc w:val="left"/>
              <w:rPr>
                <w:noProof/>
                <w:sz w:val="16"/>
                <w:szCs w:val="16"/>
              </w:rPr>
            </w:pPr>
          </w:p>
        </w:tc>
      </w:tr>
      <w:tr w:rsidR="0068616C" w:rsidRPr="005D00A8" w14:paraId="52F75C73" w14:textId="77777777" w:rsidTr="0068616C">
        <w:tc>
          <w:tcPr>
            <w:tcW w:w="798" w:type="pct"/>
          </w:tcPr>
          <w:p w14:paraId="00752F45" w14:textId="77777777" w:rsidR="0068616C" w:rsidRPr="001D5EAD" w:rsidRDefault="0068616C" w:rsidP="0068616C">
            <w:pPr>
              <w:pStyle w:val="Boxtext"/>
              <w:jc w:val="left"/>
              <w:rPr>
                <w:noProof/>
                <w:sz w:val="16"/>
                <w:szCs w:val="16"/>
              </w:rPr>
            </w:pPr>
            <w:r w:rsidRPr="001D5EAD">
              <w:rPr>
                <w:noProof/>
                <w:sz w:val="16"/>
                <w:szCs w:val="16"/>
              </w:rPr>
              <w:t>Language to be used for the exchange of information</w:t>
            </w:r>
          </w:p>
        </w:tc>
        <w:tc>
          <w:tcPr>
            <w:tcW w:w="842" w:type="pct"/>
          </w:tcPr>
          <w:p w14:paraId="2AA31F44" w14:textId="77777777" w:rsidR="0068616C" w:rsidRPr="001D5EAD" w:rsidDel="003765A5" w:rsidRDefault="0068616C" w:rsidP="0068616C">
            <w:pPr>
              <w:pStyle w:val="Boxtext"/>
              <w:jc w:val="left"/>
              <w:rPr>
                <w:noProof/>
                <w:sz w:val="16"/>
                <w:szCs w:val="16"/>
              </w:rPr>
            </w:pPr>
            <w:r w:rsidRPr="001D5EAD">
              <w:rPr>
                <w:noProof/>
                <w:sz w:val="16"/>
                <w:szCs w:val="16"/>
              </w:rPr>
              <w:t>Member State language</w:t>
            </w:r>
          </w:p>
        </w:tc>
        <w:tc>
          <w:tcPr>
            <w:tcW w:w="560" w:type="pct"/>
            <w:shd w:val="clear" w:color="auto" w:fill="A6A6A6" w:themeFill="background1" w:themeFillShade="A6"/>
          </w:tcPr>
          <w:p w14:paraId="4EF34C32" w14:textId="77777777" w:rsidR="0068616C" w:rsidRPr="001D5EAD" w:rsidRDefault="0068616C" w:rsidP="0068616C">
            <w:pPr>
              <w:pStyle w:val="Boxtext"/>
              <w:jc w:val="left"/>
              <w:rPr>
                <w:noProof/>
                <w:sz w:val="16"/>
                <w:szCs w:val="16"/>
              </w:rPr>
            </w:pPr>
          </w:p>
        </w:tc>
        <w:tc>
          <w:tcPr>
            <w:tcW w:w="560" w:type="pct"/>
            <w:shd w:val="clear" w:color="auto" w:fill="A6A6A6" w:themeFill="background1" w:themeFillShade="A6"/>
          </w:tcPr>
          <w:p w14:paraId="66BEECFF" w14:textId="77777777" w:rsidR="0068616C" w:rsidRPr="001D5EAD" w:rsidRDefault="0068616C" w:rsidP="0068616C">
            <w:pPr>
              <w:pStyle w:val="Boxtext"/>
              <w:jc w:val="left"/>
              <w:rPr>
                <w:noProof/>
                <w:sz w:val="16"/>
                <w:szCs w:val="16"/>
              </w:rPr>
            </w:pPr>
          </w:p>
        </w:tc>
        <w:tc>
          <w:tcPr>
            <w:tcW w:w="584" w:type="pct"/>
            <w:shd w:val="clear" w:color="auto" w:fill="A6A6A6" w:themeFill="background1" w:themeFillShade="A6"/>
          </w:tcPr>
          <w:p w14:paraId="4596D817"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46ECC1F2" w14:textId="77777777" w:rsidR="0068616C" w:rsidRPr="001D5EAD" w:rsidRDefault="0068616C" w:rsidP="0068616C">
            <w:pPr>
              <w:pStyle w:val="Boxtext"/>
              <w:jc w:val="left"/>
              <w:rPr>
                <w:noProof/>
                <w:sz w:val="16"/>
                <w:szCs w:val="16"/>
              </w:rPr>
            </w:pPr>
          </w:p>
        </w:tc>
        <w:tc>
          <w:tcPr>
            <w:tcW w:w="560" w:type="pct"/>
            <w:shd w:val="clear" w:color="auto" w:fill="A6A6A6" w:themeFill="background1" w:themeFillShade="A6"/>
          </w:tcPr>
          <w:p w14:paraId="03D947B8" w14:textId="77777777" w:rsidR="0068616C" w:rsidRPr="001D5EAD" w:rsidRDefault="0068616C" w:rsidP="0068616C">
            <w:pPr>
              <w:pStyle w:val="Boxtext"/>
              <w:jc w:val="left"/>
              <w:rPr>
                <w:noProof/>
                <w:sz w:val="16"/>
                <w:szCs w:val="16"/>
              </w:rPr>
            </w:pPr>
          </w:p>
        </w:tc>
        <w:tc>
          <w:tcPr>
            <w:tcW w:w="559" w:type="pct"/>
          </w:tcPr>
          <w:p w14:paraId="41A11969" w14:textId="77777777" w:rsidR="0068616C" w:rsidRPr="001D5EAD" w:rsidRDefault="0068616C" w:rsidP="0068616C">
            <w:pPr>
              <w:pStyle w:val="Boxtext"/>
              <w:jc w:val="left"/>
              <w:rPr>
                <w:noProof/>
                <w:sz w:val="16"/>
                <w:szCs w:val="16"/>
              </w:rPr>
            </w:pPr>
            <w:r w:rsidRPr="001D5EAD">
              <w:rPr>
                <w:noProof/>
                <w:sz w:val="16"/>
                <w:szCs w:val="16"/>
              </w:rPr>
              <w:t>The national language can be used for the communication between the different NFIPs if a copy of it is provided in the working language common to the two parties (unless other arrangements have been made between the parties</w:t>
            </w:r>
          </w:p>
          <w:p w14:paraId="5C58BA7E" w14:textId="77777777" w:rsidR="0068616C" w:rsidRPr="001D5EAD" w:rsidRDefault="0068616C" w:rsidP="0068616C">
            <w:pPr>
              <w:pStyle w:val="Boxtext"/>
              <w:jc w:val="left"/>
              <w:rPr>
                <w:noProof/>
                <w:sz w:val="16"/>
                <w:szCs w:val="16"/>
              </w:rPr>
            </w:pPr>
            <w:r w:rsidRPr="001D5EAD">
              <w:rPr>
                <w:noProof/>
                <w:sz w:val="16"/>
                <w:szCs w:val="16"/>
              </w:rPr>
              <w:t>concerned)</w:t>
            </w:r>
          </w:p>
        </w:tc>
      </w:tr>
      <w:tr w:rsidR="0068616C" w:rsidRPr="00512A9E" w14:paraId="44B9F64B" w14:textId="77777777" w:rsidTr="0068616C">
        <w:tc>
          <w:tcPr>
            <w:tcW w:w="798" w:type="pct"/>
          </w:tcPr>
          <w:p w14:paraId="76A27819" w14:textId="77777777" w:rsidR="0068616C" w:rsidRPr="001D5EAD" w:rsidRDefault="0068616C" w:rsidP="0068616C">
            <w:pPr>
              <w:pStyle w:val="Boxtext"/>
              <w:jc w:val="left"/>
              <w:rPr>
                <w:noProof/>
                <w:sz w:val="16"/>
                <w:szCs w:val="16"/>
              </w:rPr>
            </w:pPr>
            <w:r w:rsidRPr="001D5EAD">
              <w:rPr>
                <w:noProof/>
                <w:sz w:val="16"/>
                <w:szCs w:val="16"/>
              </w:rPr>
              <w:t xml:space="preserve">Requirements for exchanging information relating to specific areas </w:t>
            </w:r>
          </w:p>
        </w:tc>
        <w:tc>
          <w:tcPr>
            <w:tcW w:w="842" w:type="pct"/>
          </w:tcPr>
          <w:p w14:paraId="51E64C7E" w14:textId="77777777" w:rsidR="0068616C" w:rsidRPr="001D5EAD" w:rsidRDefault="0068616C" w:rsidP="0068616C">
            <w:pPr>
              <w:pStyle w:val="Boxtext"/>
              <w:jc w:val="left"/>
              <w:rPr>
                <w:noProof/>
                <w:sz w:val="16"/>
                <w:szCs w:val="16"/>
              </w:rPr>
            </w:pPr>
            <w:r w:rsidRPr="001D5EAD">
              <w:rPr>
                <w:noProof/>
                <w:sz w:val="16"/>
                <w:szCs w:val="16"/>
              </w:rPr>
              <w:t>Requests and answers exchanged shall always provide Europol in copy each time that the request falls under Europol's mandate</w:t>
            </w:r>
          </w:p>
        </w:tc>
        <w:tc>
          <w:tcPr>
            <w:tcW w:w="560" w:type="pct"/>
            <w:shd w:val="clear" w:color="auto" w:fill="A6A6A6" w:themeFill="background1" w:themeFillShade="A6"/>
          </w:tcPr>
          <w:p w14:paraId="0B116FE5" w14:textId="77777777" w:rsidR="0068616C" w:rsidRPr="001D5EAD" w:rsidRDefault="0068616C" w:rsidP="0068616C">
            <w:pPr>
              <w:pStyle w:val="Boxtext"/>
              <w:jc w:val="left"/>
              <w:rPr>
                <w:noProof/>
                <w:sz w:val="16"/>
                <w:szCs w:val="16"/>
              </w:rPr>
            </w:pPr>
          </w:p>
        </w:tc>
        <w:tc>
          <w:tcPr>
            <w:tcW w:w="560" w:type="pct"/>
          </w:tcPr>
          <w:p w14:paraId="36FE49CE" w14:textId="77777777" w:rsidR="0068616C" w:rsidRPr="001D5EAD" w:rsidRDefault="0068616C" w:rsidP="0068616C">
            <w:pPr>
              <w:pStyle w:val="Boxtext"/>
              <w:jc w:val="left"/>
              <w:rPr>
                <w:noProof/>
                <w:sz w:val="16"/>
                <w:szCs w:val="16"/>
              </w:rPr>
            </w:pPr>
            <w:r w:rsidRPr="001D5EAD">
              <w:rPr>
                <w:noProof/>
                <w:sz w:val="16"/>
                <w:szCs w:val="16"/>
              </w:rPr>
              <w:t>A request is sent through one channel only and if it is sent through different channels at the same time, this is</w:t>
            </w:r>
            <w:r>
              <w:rPr>
                <w:noProof/>
                <w:sz w:val="16"/>
                <w:szCs w:val="16"/>
              </w:rPr>
              <w:t xml:space="preserve"> </w:t>
            </w:r>
            <w:r w:rsidRPr="001D5EAD">
              <w:rPr>
                <w:noProof/>
                <w:sz w:val="16"/>
                <w:szCs w:val="16"/>
              </w:rPr>
              <w:t xml:space="preserve">clearly </w:t>
            </w:r>
            <w:r>
              <w:rPr>
                <w:noProof/>
                <w:sz w:val="16"/>
                <w:szCs w:val="16"/>
              </w:rPr>
              <w:t>i</w:t>
            </w:r>
            <w:r w:rsidRPr="001D5EAD">
              <w:rPr>
                <w:noProof/>
                <w:sz w:val="16"/>
                <w:szCs w:val="16"/>
              </w:rPr>
              <w:t>ndicated. The channel is not be changed during an on-going operation or during any phase unless it is absolutely necessary and the partner’s choice of channel when replying to the requests is</w:t>
            </w:r>
          </w:p>
          <w:p w14:paraId="546244B8" w14:textId="77777777" w:rsidR="0068616C" w:rsidRPr="001D5EAD" w:rsidRDefault="0068616C" w:rsidP="0068616C">
            <w:pPr>
              <w:pStyle w:val="Boxtext"/>
              <w:jc w:val="left"/>
              <w:rPr>
                <w:noProof/>
                <w:sz w:val="16"/>
                <w:szCs w:val="16"/>
              </w:rPr>
            </w:pPr>
            <w:r w:rsidRPr="001D5EAD">
              <w:rPr>
                <w:noProof/>
                <w:sz w:val="16"/>
                <w:szCs w:val="16"/>
              </w:rPr>
              <w:t xml:space="preserve">respected. A change of channel is communicated to all parties, including the reason for the change. </w:t>
            </w:r>
          </w:p>
          <w:p w14:paraId="58F31B5D" w14:textId="77777777" w:rsidR="0068616C" w:rsidRPr="001D5EAD" w:rsidRDefault="0068616C" w:rsidP="0068616C">
            <w:pPr>
              <w:pStyle w:val="Boxtext"/>
              <w:jc w:val="left"/>
              <w:rPr>
                <w:noProof/>
                <w:sz w:val="16"/>
                <w:szCs w:val="16"/>
              </w:rPr>
            </w:pPr>
            <w:r w:rsidRPr="001D5EAD">
              <w:rPr>
                <w:noProof/>
                <w:sz w:val="16"/>
                <w:szCs w:val="16"/>
              </w:rPr>
              <w:t>The purposes of and restrictions on the processing of information defined by the provider of</w:t>
            </w:r>
          </w:p>
          <w:p w14:paraId="016D946F" w14:textId="77777777" w:rsidR="0068616C" w:rsidRPr="001D5EAD" w:rsidRDefault="0068616C" w:rsidP="0068616C">
            <w:pPr>
              <w:pStyle w:val="Boxtext"/>
              <w:jc w:val="left"/>
              <w:rPr>
                <w:noProof/>
                <w:sz w:val="16"/>
                <w:szCs w:val="16"/>
              </w:rPr>
            </w:pPr>
            <w:r w:rsidRPr="001D5EAD">
              <w:rPr>
                <w:noProof/>
                <w:sz w:val="16"/>
                <w:szCs w:val="16"/>
              </w:rPr>
              <w:t xml:space="preserve">the information are respected. </w:t>
            </w:r>
          </w:p>
          <w:p w14:paraId="63E40B0A" w14:textId="77777777" w:rsidR="0068616C" w:rsidRPr="001D5EAD" w:rsidRDefault="0068616C" w:rsidP="0068616C">
            <w:pPr>
              <w:pStyle w:val="Boxtext"/>
              <w:jc w:val="left"/>
              <w:rPr>
                <w:noProof/>
                <w:sz w:val="16"/>
                <w:szCs w:val="16"/>
              </w:rPr>
            </w:pPr>
            <w:r w:rsidRPr="001D5EAD">
              <w:rPr>
                <w:noProof/>
                <w:sz w:val="16"/>
                <w:szCs w:val="16"/>
              </w:rPr>
              <w:t>Whenever possible, the SPOC replies directly to the international request, where appropriate with copy to the concerned national authority. Where the SPOC cannot reply directly, it forwards the request to the appropriate competent national authority, even if the original request was wrongly addressed to another authority.</w:t>
            </w:r>
          </w:p>
          <w:p w14:paraId="3E8858A0" w14:textId="77777777" w:rsidR="0068616C" w:rsidRPr="001D5EAD" w:rsidRDefault="0068616C" w:rsidP="0068616C">
            <w:pPr>
              <w:pStyle w:val="Boxtext"/>
              <w:jc w:val="left"/>
              <w:rPr>
                <w:noProof/>
                <w:sz w:val="16"/>
                <w:szCs w:val="16"/>
              </w:rPr>
            </w:pPr>
            <w:r w:rsidRPr="001D5EAD">
              <w:rPr>
                <w:noProof/>
                <w:sz w:val="16"/>
                <w:szCs w:val="16"/>
              </w:rPr>
              <w:t>When a request is refused, the grounds for refusal have to be provided through the initial channel. When receiving a reply from the national authorities to an international request, the unit proactively verifies whether this information can be useful to another Member State, Europol or Eurojust and if this is the case, requests and encourages the owner of the information to transmit the information further</w:t>
            </w:r>
          </w:p>
        </w:tc>
        <w:tc>
          <w:tcPr>
            <w:tcW w:w="584" w:type="pct"/>
            <w:shd w:val="clear" w:color="auto" w:fill="A6A6A6" w:themeFill="background1" w:themeFillShade="A6"/>
          </w:tcPr>
          <w:p w14:paraId="0FBCB6D6"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55BEF8DF" w14:textId="77777777" w:rsidR="0068616C" w:rsidRPr="001D5EAD" w:rsidRDefault="0068616C" w:rsidP="0068616C">
            <w:pPr>
              <w:pStyle w:val="Boxtext"/>
              <w:jc w:val="left"/>
              <w:rPr>
                <w:noProof/>
                <w:sz w:val="16"/>
                <w:szCs w:val="16"/>
              </w:rPr>
            </w:pPr>
          </w:p>
        </w:tc>
        <w:tc>
          <w:tcPr>
            <w:tcW w:w="560" w:type="pct"/>
            <w:shd w:val="clear" w:color="auto" w:fill="A6A6A6" w:themeFill="background1" w:themeFillShade="A6"/>
          </w:tcPr>
          <w:p w14:paraId="1A5E67A5" w14:textId="77777777" w:rsidR="0068616C" w:rsidRPr="001D5EAD" w:rsidRDefault="0068616C" w:rsidP="0068616C">
            <w:pPr>
              <w:pStyle w:val="Boxtext"/>
              <w:jc w:val="left"/>
              <w:rPr>
                <w:noProof/>
                <w:sz w:val="16"/>
                <w:szCs w:val="16"/>
              </w:rPr>
            </w:pPr>
          </w:p>
        </w:tc>
        <w:tc>
          <w:tcPr>
            <w:tcW w:w="559" w:type="pct"/>
          </w:tcPr>
          <w:p w14:paraId="32BAD63F" w14:textId="77777777" w:rsidR="0068616C" w:rsidRPr="001D5EAD" w:rsidRDefault="0068616C" w:rsidP="0068616C">
            <w:pPr>
              <w:pStyle w:val="Boxtext"/>
              <w:jc w:val="left"/>
              <w:rPr>
                <w:noProof/>
                <w:sz w:val="16"/>
                <w:szCs w:val="16"/>
              </w:rPr>
            </w:pPr>
            <w:r w:rsidRPr="001D5EAD">
              <w:rPr>
                <w:noProof/>
                <w:sz w:val="16"/>
                <w:szCs w:val="16"/>
              </w:rPr>
              <w:t>Public order purpose (preventing and combating football-related violence)</w:t>
            </w:r>
          </w:p>
        </w:tc>
      </w:tr>
      <w:tr w:rsidR="0068616C" w:rsidRPr="00512A9E" w14:paraId="1C54C57D" w14:textId="77777777" w:rsidTr="0068616C">
        <w:tc>
          <w:tcPr>
            <w:tcW w:w="798" w:type="pct"/>
          </w:tcPr>
          <w:p w14:paraId="2D2A790F" w14:textId="77777777" w:rsidR="0068616C" w:rsidRPr="001D5EAD" w:rsidRDefault="0068616C" w:rsidP="0068616C">
            <w:pPr>
              <w:pStyle w:val="Boxtext"/>
              <w:jc w:val="left"/>
              <w:rPr>
                <w:noProof/>
                <w:sz w:val="16"/>
                <w:szCs w:val="16"/>
              </w:rPr>
            </w:pPr>
            <w:r w:rsidRPr="001D5EAD">
              <w:rPr>
                <w:noProof/>
                <w:sz w:val="16"/>
                <w:szCs w:val="16"/>
              </w:rPr>
              <w:t>Mechanisms to ensure Data Protection when accessing/exchanging information</w:t>
            </w:r>
          </w:p>
        </w:tc>
        <w:tc>
          <w:tcPr>
            <w:tcW w:w="842" w:type="pct"/>
            <w:shd w:val="clear" w:color="auto" w:fill="A6A6A6" w:themeFill="background1" w:themeFillShade="A6"/>
          </w:tcPr>
          <w:p w14:paraId="5172F7CF" w14:textId="77777777" w:rsidR="0068616C" w:rsidRPr="001D5EAD" w:rsidRDefault="0068616C" w:rsidP="0068616C">
            <w:pPr>
              <w:pStyle w:val="Boxtext"/>
              <w:jc w:val="left"/>
              <w:rPr>
                <w:noProof/>
                <w:sz w:val="16"/>
                <w:szCs w:val="16"/>
              </w:rPr>
            </w:pPr>
          </w:p>
        </w:tc>
        <w:tc>
          <w:tcPr>
            <w:tcW w:w="560" w:type="pct"/>
          </w:tcPr>
          <w:p w14:paraId="4299A55A" w14:textId="77777777" w:rsidR="0068616C" w:rsidRPr="001D5EAD" w:rsidRDefault="0068616C" w:rsidP="0068616C">
            <w:pPr>
              <w:pStyle w:val="Boxtext"/>
              <w:jc w:val="left"/>
              <w:rPr>
                <w:noProof/>
                <w:sz w:val="16"/>
                <w:szCs w:val="16"/>
              </w:rPr>
            </w:pPr>
            <w:r w:rsidRPr="001D5EAD">
              <w:rPr>
                <w:noProof/>
                <w:sz w:val="16"/>
                <w:szCs w:val="16"/>
              </w:rPr>
              <w:t>The SPOC shall respect all applicable data protection rules</w:t>
            </w:r>
          </w:p>
        </w:tc>
        <w:tc>
          <w:tcPr>
            <w:tcW w:w="560" w:type="pct"/>
          </w:tcPr>
          <w:p w14:paraId="1B694FC7" w14:textId="77777777" w:rsidR="0068616C" w:rsidRPr="001D5EAD" w:rsidRDefault="0068616C" w:rsidP="0068616C">
            <w:pPr>
              <w:pStyle w:val="Boxtext"/>
              <w:jc w:val="left"/>
              <w:rPr>
                <w:noProof/>
                <w:sz w:val="16"/>
                <w:szCs w:val="16"/>
              </w:rPr>
            </w:pPr>
            <w:r w:rsidRPr="001D5EAD">
              <w:rPr>
                <w:noProof/>
                <w:sz w:val="16"/>
                <w:szCs w:val="16"/>
              </w:rPr>
              <w:t xml:space="preserve">The SPOC shall respect all applicable data protection rules </w:t>
            </w:r>
          </w:p>
        </w:tc>
        <w:tc>
          <w:tcPr>
            <w:tcW w:w="584" w:type="pct"/>
            <w:shd w:val="clear" w:color="auto" w:fill="A6A6A6" w:themeFill="background1" w:themeFillShade="A6"/>
          </w:tcPr>
          <w:p w14:paraId="32265637"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03C65C6B" w14:textId="77777777" w:rsidR="0068616C" w:rsidRPr="001D5EAD" w:rsidRDefault="0068616C" w:rsidP="0068616C">
            <w:pPr>
              <w:pStyle w:val="Boxtext"/>
              <w:jc w:val="left"/>
              <w:rPr>
                <w:noProof/>
                <w:sz w:val="16"/>
                <w:szCs w:val="16"/>
              </w:rPr>
            </w:pPr>
          </w:p>
        </w:tc>
        <w:tc>
          <w:tcPr>
            <w:tcW w:w="560" w:type="pct"/>
          </w:tcPr>
          <w:p w14:paraId="6BD41F94" w14:textId="77777777" w:rsidR="0068616C" w:rsidRPr="001D5EAD" w:rsidRDefault="0068616C" w:rsidP="0068616C">
            <w:pPr>
              <w:pStyle w:val="Boxtext"/>
              <w:jc w:val="left"/>
              <w:rPr>
                <w:noProof/>
                <w:sz w:val="16"/>
                <w:szCs w:val="16"/>
              </w:rPr>
            </w:pPr>
            <w:r w:rsidRPr="001D5EAD">
              <w:rPr>
                <w:noProof/>
                <w:sz w:val="16"/>
                <w:szCs w:val="16"/>
              </w:rPr>
              <w:t xml:space="preserve">The exchange of information must comply with current data protection and data dissemination provisions in the respect of the national legislation </w:t>
            </w:r>
          </w:p>
        </w:tc>
        <w:tc>
          <w:tcPr>
            <w:tcW w:w="559" w:type="pct"/>
          </w:tcPr>
          <w:p w14:paraId="43CC5F23" w14:textId="77777777" w:rsidR="0068616C" w:rsidRPr="001D5EAD" w:rsidRDefault="0068616C" w:rsidP="0068616C">
            <w:pPr>
              <w:pStyle w:val="Boxtext"/>
              <w:jc w:val="left"/>
              <w:rPr>
                <w:noProof/>
                <w:sz w:val="16"/>
                <w:szCs w:val="16"/>
              </w:rPr>
            </w:pPr>
            <w:r w:rsidRPr="001D5EAD">
              <w:rPr>
                <w:noProof/>
                <w:sz w:val="16"/>
                <w:szCs w:val="16"/>
              </w:rPr>
              <w:t>In accordance with the applicable national and international legislation, the NFIP should be responsible for</w:t>
            </w:r>
          </w:p>
          <w:p w14:paraId="126A8AA0" w14:textId="77777777" w:rsidR="0068616C" w:rsidRPr="001D5EAD" w:rsidRDefault="0068616C" w:rsidP="0068616C">
            <w:pPr>
              <w:pStyle w:val="Boxtext"/>
              <w:jc w:val="left"/>
              <w:rPr>
                <w:noProof/>
                <w:sz w:val="16"/>
                <w:szCs w:val="16"/>
              </w:rPr>
            </w:pPr>
            <w:r w:rsidRPr="001D5EAD">
              <w:rPr>
                <w:noProof/>
                <w:sz w:val="16"/>
                <w:szCs w:val="16"/>
              </w:rPr>
              <w:t>administering the personal data regarding risk supporters</w:t>
            </w:r>
          </w:p>
        </w:tc>
      </w:tr>
      <w:tr w:rsidR="0068616C" w:rsidRPr="00512A9E" w14:paraId="1D9011E9" w14:textId="77777777" w:rsidTr="0068616C">
        <w:tc>
          <w:tcPr>
            <w:tcW w:w="798" w:type="pct"/>
          </w:tcPr>
          <w:p w14:paraId="7B290A13" w14:textId="77777777" w:rsidR="0068616C" w:rsidRPr="001D5EAD" w:rsidRDefault="0068616C" w:rsidP="0068616C">
            <w:pPr>
              <w:pStyle w:val="Boxtext"/>
              <w:jc w:val="left"/>
              <w:rPr>
                <w:noProof/>
                <w:sz w:val="16"/>
                <w:szCs w:val="16"/>
              </w:rPr>
            </w:pPr>
            <w:r w:rsidRPr="001D5EAD">
              <w:rPr>
                <w:noProof/>
                <w:sz w:val="16"/>
                <w:szCs w:val="16"/>
              </w:rPr>
              <w:t>Requirement to develop cross-border threat assessment/risks analysis</w:t>
            </w:r>
          </w:p>
        </w:tc>
        <w:tc>
          <w:tcPr>
            <w:tcW w:w="842" w:type="pct"/>
            <w:shd w:val="clear" w:color="auto" w:fill="A6A6A6" w:themeFill="background1" w:themeFillShade="A6"/>
          </w:tcPr>
          <w:p w14:paraId="7074678C" w14:textId="77777777" w:rsidR="0068616C" w:rsidRPr="001D5EAD" w:rsidRDefault="0068616C" w:rsidP="0068616C">
            <w:pPr>
              <w:pStyle w:val="Boxtext"/>
              <w:jc w:val="left"/>
              <w:rPr>
                <w:noProof/>
                <w:sz w:val="16"/>
                <w:szCs w:val="16"/>
              </w:rPr>
            </w:pPr>
          </w:p>
        </w:tc>
        <w:tc>
          <w:tcPr>
            <w:tcW w:w="560" w:type="pct"/>
            <w:shd w:val="clear" w:color="auto" w:fill="A6A6A6" w:themeFill="background1" w:themeFillShade="A6"/>
          </w:tcPr>
          <w:p w14:paraId="3CB54E63" w14:textId="77777777" w:rsidR="0068616C" w:rsidRPr="001D5EAD" w:rsidRDefault="0068616C" w:rsidP="0068616C">
            <w:pPr>
              <w:pStyle w:val="Boxtext"/>
              <w:jc w:val="left"/>
              <w:rPr>
                <w:noProof/>
                <w:sz w:val="16"/>
                <w:szCs w:val="16"/>
              </w:rPr>
            </w:pPr>
          </w:p>
        </w:tc>
        <w:tc>
          <w:tcPr>
            <w:tcW w:w="560" w:type="pct"/>
            <w:shd w:val="clear" w:color="auto" w:fill="A6A6A6" w:themeFill="background1" w:themeFillShade="A6"/>
          </w:tcPr>
          <w:p w14:paraId="128CEE6E" w14:textId="77777777" w:rsidR="0068616C" w:rsidRPr="001D5EAD" w:rsidRDefault="0068616C" w:rsidP="0068616C">
            <w:pPr>
              <w:pStyle w:val="Boxtext"/>
              <w:jc w:val="left"/>
              <w:rPr>
                <w:noProof/>
                <w:sz w:val="16"/>
                <w:szCs w:val="16"/>
              </w:rPr>
            </w:pPr>
          </w:p>
        </w:tc>
        <w:tc>
          <w:tcPr>
            <w:tcW w:w="584" w:type="pct"/>
            <w:shd w:val="clear" w:color="auto" w:fill="A6A6A6" w:themeFill="background1" w:themeFillShade="A6"/>
          </w:tcPr>
          <w:p w14:paraId="43A3A9DC" w14:textId="77777777" w:rsidR="0068616C" w:rsidRPr="001D5EAD" w:rsidRDefault="0068616C" w:rsidP="0068616C">
            <w:pPr>
              <w:pStyle w:val="Boxtext"/>
              <w:jc w:val="left"/>
              <w:rPr>
                <w:noProof/>
                <w:sz w:val="16"/>
                <w:szCs w:val="16"/>
              </w:rPr>
            </w:pPr>
          </w:p>
        </w:tc>
        <w:tc>
          <w:tcPr>
            <w:tcW w:w="537" w:type="pct"/>
            <w:shd w:val="clear" w:color="auto" w:fill="A6A6A6" w:themeFill="background1" w:themeFillShade="A6"/>
          </w:tcPr>
          <w:p w14:paraId="78B823BA" w14:textId="77777777" w:rsidR="0068616C" w:rsidRPr="001D5EAD" w:rsidRDefault="0068616C" w:rsidP="0068616C">
            <w:pPr>
              <w:pStyle w:val="Boxtext"/>
              <w:jc w:val="left"/>
              <w:rPr>
                <w:noProof/>
                <w:sz w:val="16"/>
                <w:szCs w:val="16"/>
              </w:rPr>
            </w:pPr>
          </w:p>
        </w:tc>
        <w:tc>
          <w:tcPr>
            <w:tcW w:w="560" w:type="pct"/>
            <w:shd w:val="clear" w:color="auto" w:fill="A6A6A6" w:themeFill="background1" w:themeFillShade="A6"/>
          </w:tcPr>
          <w:p w14:paraId="4B3F895C" w14:textId="77777777" w:rsidR="0068616C" w:rsidRPr="001D5EAD" w:rsidRDefault="0068616C" w:rsidP="0068616C">
            <w:pPr>
              <w:pStyle w:val="Boxtext"/>
              <w:jc w:val="left"/>
              <w:rPr>
                <w:noProof/>
                <w:sz w:val="16"/>
                <w:szCs w:val="16"/>
              </w:rPr>
            </w:pPr>
          </w:p>
        </w:tc>
        <w:tc>
          <w:tcPr>
            <w:tcW w:w="559" w:type="pct"/>
          </w:tcPr>
          <w:p w14:paraId="5F8572C0" w14:textId="77777777" w:rsidR="0068616C" w:rsidRPr="001D5EAD" w:rsidRDefault="0068616C" w:rsidP="0068616C">
            <w:pPr>
              <w:pStyle w:val="Boxtext"/>
              <w:jc w:val="left"/>
              <w:rPr>
                <w:noProof/>
                <w:sz w:val="16"/>
                <w:szCs w:val="16"/>
              </w:rPr>
            </w:pPr>
            <w:r w:rsidRPr="001D5EAD">
              <w:rPr>
                <w:noProof/>
                <w:sz w:val="16"/>
                <w:szCs w:val="16"/>
              </w:rPr>
              <w:t>With regard to football matches with an international dimension, it is necessary that the NFIP has at its disposal, for the benefit of the NFIPs of the other countries, an updated risk-analysis related to its own clubs and its national team</w:t>
            </w:r>
          </w:p>
        </w:tc>
      </w:tr>
    </w:tbl>
    <w:p w14:paraId="3B0BC92C" w14:textId="77777777" w:rsidR="0068616C" w:rsidRPr="00245FF0" w:rsidRDefault="0068616C" w:rsidP="0068616C">
      <w:pPr>
        <w:pStyle w:val="Body"/>
        <w:jc w:val="center"/>
        <w:rPr>
          <w:rFonts w:ascii="Times New Roman" w:hAnsi="Times New Roman"/>
          <w:i/>
          <w:noProof/>
          <w:color w:val="7F7F7F" w:themeColor="text1" w:themeTint="80"/>
          <w:sz w:val="24"/>
          <w:szCs w:val="24"/>
        </w:rPr>
      </w:pPr>
      <w:r w:rsidRPr="00327691">
        <w:rPr>
          <w:i/>
          <w:noProof/>
          <w:color w:val="7F7F7F" w:themeColor="text1" w:themeTint="80"/>
          <w:sz w:val="18"/>
          <w:szCs w:val="18"/>
        </w:rPr>
        <w:t xml:space="preserve">Source: </w:t>
      </w:r>
      <w:r>
        <w:rPr>
          <w:i/>
          <w:noProof/>
          <w:color w:val="7F7F7F" w:themeColor="text1" w:themeTint="80"/>
          <w:sz w:val="18"/>
          <w:szCs w:val="18"/>
        </w:rPr>
        <w:t xml:space="preserve">Elaboration by the Study </w:t>
      </w:r>
      <w:r w:rsidRPr="009C0147">
        <w:rPr>
          <w:i/>
          <w:noProof/>
          <w:color w:val="7F7F7F" w:themeColor="text1" w:themeTint="80"/>
          <w:sz w:val="18"/>
          <w:szCs w:val="18"/>
        </w:rPr>
        <w:t xml:space="preserve">to support the preparation of an impact assessment on EU policy initiatives facilitating cross-border law enforcement </w:t>
      </w:r>
      <w:r w:rsidRPr="00245FF0">
        <w:rPr>
          <w:rFonts w:ascii="Times New Roman" w:hAnsi="Times New Roman"/>
          <w:i/>
          <w:noProof/>
          <w:color w:val="7F7F7F" w:themeColor="text1" w:themeTint="80"/>
          <w:sz w:val="24"/>
          <w:szCs w:val="24"/>
        </w:rPr>
        <w:t>cooperation</w:t>
      </w:r>
    </w:p>
    <w:p w14:paraId="4E31794C" w14:textId="77777777" w:rsidR="0050053D" w:rsidRPr="00A10E01" w:rsidRDefault="0050053D" w:rsidP="0050053D">
      <w:pPr>
        <w:jc w:val="center"/>
        <w:rPr>
          <w:rFonts w:ascii="Verdana" w:hAnsi="Verdana"/>
          <w:b/>
          <w:bCs/>
          <w:noProof/>
          <w:sz w:val="18"/>
          <w:szCs w:val="18"/>
        </w:rPr>
      </w:pPr>
      <w:r w:rsidRPr="00245FF0">
        <w:rPr>
          <w:rFonts w:ascii="Times New Roman" w:hAnsi="Times New Roman" w:cs="Times New Roman"/>
          <w:b/>
          <w:bCs/>
          <w:noProof/>
          <w:sz w:val="24"/>
          <w:szCs w:val="24"/>
        </w:rPr>
        <w:t>Types of data available to SPOCs from databases managed by the SPOC and directly accessible</w:t>
      </w:r>
    </w:p>
    <w:tbl>
      <w:tblPr>
        <w:tblW w:w="5000" w:type="pct"/>
        <w:tblLook w:val="04A0" w:firstRow="1" w:lastRow="0" w:firstColumn="1" w:lastColumn="0" w:noHBand="0" w:noVBand="1"/>
      </w:tblPr>
      <w:tblGrid>
        <w:gridCol w:w="312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218"/>
        <w:gridCol w:w="369"/>
        <w:gridCol w:w="369"/>
      </w:tblGrid>
      <w:tr w:rsidR="00F5634E" w:rsidRPr="00A10E01" w14:paraId="44478F7F" w14:textId="77777777" w:rsidTr="00611F6B">
        <w:trPr>
          <w:cantSplit/>
          <w:trHeight w:val="1134"/>
          <w:tblHeader/>
        </w:trPr>
        <w:tc>
          <w:tcPr>
            <w:tcW w:w="1399" w:type="pct"/>
            <w:tcBorders>
              <w:top w:val="single" w:sz="8" w:space="0" w:color="FFFFFF"/>
              <w:left w:val="single" w:sz="8" w:space="0" w:color="FFFFFF"/>
              <w:bottom w:val="single" w:sz="8" w:space="0" w:color="FFFFFF"/>
              <w:right w:val="single" w:sz="8" w:space="0" w:color="FFFFFF"/>
            </w:tcBorders>
            <w:shd w:val="clear" w:color="000000" w:fill="00AEF0"/>
            <w:noWrap/>
            <w:textDirection w:val="btLr"/>
            <w:vAlign w:val="center"/>
            <w:hideMark/>
          </w:tcPr>
          <w:p w14:paraId="5B072A0E"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 </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3CE545EF"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AT</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42B8BC6A"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BE</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420F923"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BG</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0028A42"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CY</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3C7ED7F3"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CZ</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692F542D"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DE</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7BD2673"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DK</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0E78FD65"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EE</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29DC995"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EL</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0A4B3452"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ES</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0222E371"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FI</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0F7C1BA1"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FR</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273C9E19"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HR</w:t>
            </w:r>
          </w:p>
        </w:tc>
        <w:tc>
          <w:tcPr>
            <w:tcW w:w="113"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B89EECF"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HU</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59B7136"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IE</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75301AE"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IS</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6743A9D"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IT</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3F98109"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LI</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5D8149A"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LT</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D9B4C15"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LU</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29C2B04D"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LV</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2CF23851"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MT</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36733B2"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NL</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09371D51"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NO</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226C6440"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PL</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334EAB17"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PT</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C0661E7"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RO</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BE6BEDF"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SE</w:t>
            </w: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E3556D6"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SI</w:t>
            </w:r>
          </w:p>
        </w:tc>
        <w:tc>
          <w:tcPr>
            <w:tcW w:w="113" w:type="pct"/>
            <w:tcBorders>
              <w:top w:val="single" w:sz="8" w:space="0" w:color="FFFFFF"/>
              <w:left w:val="nil"/>
              <w:bottom w:val="single" w:sz="8" w:space="0" w:color="FFFFFF"/>
              <w:right w:val="nil"/>
            </w:tcBorders>
            <w:shd w:val="clear" w:color="000000" w:fill="00AEF0"/>
            <w:textDirection w:val="btLr"/>
          </w:tcPr>
          <w:p w14:paraId="0F514A2E" w14:textId="77777777" w:rsidR="0050053D" w:rsidRPr="00B33628" w:rsidRDefault="0050053D" w:rsidP="0050053D">
            <w:pPr>
              <w:ind w:left="113" w:right="113"/>
              <w:rPr>
                <w:rFonts w:ascii="Verdana" w:hAnsi="Verdana"/>
                <w:b/>
                <w:bCs/>
                <w:noProof/>
                <w:color w:val="FFFFFF" w:themeColor="background1"/>
                <w:sz w:val="12"/>
                <w:szCs w:val="12"/>
              </w:rPr>
            </w:pPr>
          </w:p>
        </w:tc>
        <w:tc>
          <w:tcPr>
            <w:tcW w:w="113"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3C9772B2"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SK</w:t>
            </w:r>
          </w:p>
        </w:tc>
        <w:tc>
          <w:tcPr>
            <w:tcW w:w="113" w:type="pct"/>
            <w:tcBorders>
              <w:top w:val="nil"/>
              <w:left w:val="nil"/>
              <w:bottom w:val="nil"/>
              <w:right w:val="single" w:sz="8" w:space="0" w:color="FFFFFF"/>
            </w:tcBorders>
            <w:shd w:val="clear" w:color="000000" w:fill="000000"/>
            <w:textDirection w:val="btLr"/>
            <w:vAlign w:val="center"/>
            <w:hideMark/>
          </w:tcPr>
          <w:p w14:paraId="1917E20B" w14:textId="77777777" w:rsidR="0050053D" w:rsidRPr="00B33628" w:rsidRDefault="0050053D" w:rsidP="0050053D">
            <w:pPr>
              <w:ind w:left="113" w:right="113"/>
              <w:rPr>
                <w:rFonts w:ascii="Verdana" w:hAnsi="Verdana"/>
                <w:b/>
                <w:bCs/>
                <w:noProof/>
                <w:color w:val="FFFFFF" w:themeColor="background1"/>
                <w:sz w:val="12"/>
                <w:szCs w:val="12"/>
              </w:rPr>
            </w:pPr>
            <w:r w:rsidRPr="00B33628">
              <w:rPr>
                <w:rFonts w:ascii="Verdana" w:hAnsi="Verdana"/>
                <w:b/>
                <w:bCs/>
                <w:noProof/>
                <w:color w:val="FFFFFF" w:themeColor="background1"/>
                <w:sz w:val="12"/>
                <w:szCs w:val="12"/>
              </w:rPr>
              <w:t>Total</w:t>
            </w:r>
          </w:p>
        </w:tc>
      </w:tr>
      <w:tr w:rsidR="00F5634E" w:rsidRPr="00A10E01" w14:paraId="345C90E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858CA44"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Wanted/missing persons</w:t>
            </w:r>
          </w:p>
        </w:tc>
        <w:tc>
          <w:tcPr>
            <w:tcW w:w="113" w:type="pct"/>
            <w:tcBorders>
              <w:top w:val="nil"/>
              <w:left w:val="nil"/>
              <w:bottom w:val="single" w:sz="8" w:space="0" w:color="FFFFFF"/>
              <w:right w:val="single" w:sz="8" w:space="0" w:color="FFFFFF"/>
            </w:tcBorders>
            <w:shd w:val="clear" w:color="000000" w:fill="F2F2F2"/>
            <w:noWrap/>
            <w:vAlign w:val="center"/>
          </w:tcPr>
          <w:p w14:paraId="51543E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80130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0B9E77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F277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ECD58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6D59E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C3133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6A148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4698A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FFD3B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0E05D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A6103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6D1B5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62AE1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134A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D20DB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8C898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A85CF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A705D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3B08B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D665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F82B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097D4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BC8E9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5ABAB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5CD38B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D0559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14E77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A5B81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038069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05AEFA4"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63BE7B"/>
            <w:noWrap/>
            <w:vAlign w:val="center"/>
            <w:hideMark/>
          </w:tcPr>
          <w:p w14:paraId="6BA8589E" w14:textId="77777777" w:rsidR="0050053D" w:rsidRPr="00A10E01" w:rsidRDefault="0050053D" w:rsidP="0050053D">
            <w:pPr>
              <w:rPr>
                <w:rFonts w:ascii="Verdana" w:hAnsi="Verdana"/>
                <w:noProof/>
                <w:sz w:val="12"/>
                <w:szCs w:val="12"/>
              </w:rPr>
            </w:pPr>
            <w:r w:rsidRPr="00A10E01">
              <w:rPr>
                <w:rFonts w:ascii="Verdana" w:hAnsi="Verdana"/>
                <w:noProof/>
                <w:sz w:val="12"/>
                <w:szCs w:val="12"/>
              </w:rPr>
              <w:t>21</w:t>
            </w:r>
          </w:p>
        </w:tc>
      </w:tr>
      <w:tr w:rsidR="00F5634E" w:rsidRPr="00A10E01" w14:paraId="193D064F"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E307A6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Persons suspected of criminal activities (criminal intelligence)</w:t>
            </w:r>
          </w:p>
        </w:tc>
        <w:tc>
          <w:tcPr>
            <w:tcW w:w="113" w:type="pct"/>
            <w:tcBorders>
              <w:top w:val="nil"/>
              <w:left w:val="nil"/>
              <w:bottom w:val="single" w:sz="8" w:space="0" w:color="FFFFFF"/>
              <w:right w:val="single" w:sz="8" w:space="0" w:color="FFFFFF"/>
            </w:tcBorders>
            <w:shd w:val="clear" w:color="000000" w:fill="F2F2F2"/>
            <w:noWrap/>
            <w:vAlign w:val="center"/>
          </w:tcPr>
          <w:p w14:paraId="04D3FA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34AB98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4BC95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1CB11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6756C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1D57A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5C147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2EFDB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D60F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20AF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9EE43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949E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49DA6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F1B59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73CC2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10ADD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EC41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A8EAD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EB339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BF81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9E401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B0906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3F88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45242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2CFABB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3FB17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B1D38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B0DAE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6E39C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24F9C7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D61CABF"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73C589"/>
            <w:noWrap/>
            <w:vAlign w:val="center"/>
            <w:hideMark/>
          </w:tcPr>
          <w:p w14:paraId="4BABCF50" w14:textId="77777777" w:rsidR="0050053D" w:rsidRPr="00A10E01" w:rsidRDefault="0050053D" w:rsidP="0050053D">
            <w:pPr>
              <w:rPr>
                <w:rFonts w:ascii="Verdana" w:hAnsi="Verdana"/>
                <w:noProof/>
                <w:sz w:val="12"/>
                <w:szCs w:val="12"/>
              </w:rPr>
            </w:pPr>
            <w:r w:rsidRPr="00A10E01">
              <w:rPr>
                <w:rFonts w:ascii="Verdana" w:hAnsi="Verdana"/>
                <w:noProof/>
                <w:sz w:val="12"/>
                <w:szCs w:val="12"/>
              </w:rPr>
              <w:t>19</w:t>
            </w:r>
          </w:p>
        </w:tc>
      </w:tr>
      <w:tr w:rsidR="00F5634E" w:rsidRPr="00A10E01" w14:paraId="44CC1E8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527BAC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 xml:space="preserve">Stolen vehicles or stolen goods </w:t>
            </w:r>
          </w:p>
        </w:tc>
        <w:tc>
          <w:tcPr>
            <w:tcW w:w="113" w:type="pct"/>
            <w:tcBorders>
              <w:top w:val="nil"/>
              <w:left w:val="nil"/>
              <w:bottom w:val="single" w:sz="8" w:space="0" w:color="FFFFFF"/>
              <w:right w:val="single" w:sz="8" w:space="0" w:color="FFFFFF"/>
            </w:tcBorders>
            <w:shd w:val="clear" w:color="000000" w:fill="002060"/>
            <w:noWrap/>
            <w:vAlign w:val="center"/>
          </w:tcPr>
          <w:p w14:paraId="703603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30DB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45CF3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F9385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FF3A8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18FDA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6ACD0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EC3FB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F99EF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F7DB7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4F5D6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64461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86E85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FD26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B43D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1A0BC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6DE6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93E28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A8EC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B8D44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87DD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3CCD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B221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FBB13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6F24D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88C49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8F18A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557F8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AD3C1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38B8B6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13770C3"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73C589"/>
            <w:noWrap/>
            <w:vAlign w:val="center"/>
            <w:hideMark/>
          </w:tcPr>
          <w:p w14:paraId="66ED9DD0" w14:textId="77777777" w:rsidR="0050053D" w:rsidRPr="00A10E01" w:rsidRDefault="0050053D" w:rsidP="0050053D">
            <w:pPr>
              <w:rPr>
                <w:rFonts w:ascii="Verdana" w:hAnsi="Verdana"/>
                <w:noProof/>
                <w:sz w:val="12"/>
                <w:szCs w:val="12"/>
              </w:rPr>
            </w:pPr>
            <w:r w:rsidRPr="00A10E01">
              <w:rPr>
                <w:rFonts w:ascii="Verdana" w:hAnsi="Verdana"/>
                <w:noProof/>
                <w:sz w:val="12"/>
                <w:szCs w:val="12"/>
              </w:rPr>
              <w:t>19</w:t>
            </w:r>
          </w:p>
        </w:tc>
      </w:tr>
      <w:tr w:rsidR="00F5634E" w:rsidRPr="00A10E01" w14:paraId="07FE795E"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5BB5B4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Database of firearms</w:t>
            </w:r>
          </w:p>
        </w:tc>
        <w:tc>
          <w:tcPr>
            <w:tcW w:w="113" w:type="pct"/>
            <w:tcBorders>
              <w:top w:val="nil"/>
              <w:left w:val="nil"/>
              <w:bottom w:val="single" w:sz="8" w:space="0" w:color="FFFFFF"/>
              <w:right w:val="single" w:sz="8" w:space="0" w:color="FFFFFF"/>
            </w:tcBorders>
            <w:shd w:val="clear" w:color="000000" w:fill="F2F2F2"/>
            <w:noWrap/>
            <w:vAlign w:val="center"/>
          </w:tcPr>
          <w:p w14:paraId="5FA9D5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6657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E2C62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7BD1F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D6481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3C95F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F5AB9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6943F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48B8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0D728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937A6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6F119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6085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3E8C7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4274E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2ECF6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7BA1E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A2E8B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AB6F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E2F5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F0E65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EC1BC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96FF2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6AD13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8D60E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6F371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44C19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67F57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4AD8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58628A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75A56A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7AC88F"/>
            <w:noWrap/>
            <w:vAlign w:val="center"/>
            <w:hideMark/>
          </w:tcPr>
          <w:p w14:paraId="3FBB1AC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18</w:t>
            </w:r>
          </w:p>
        </w:tc>
      </w:tr>
      <w:tr w:rsidR="00F5634E" w:rsidRPr="00A10E01" w14:paraId="3C757D81"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882CC69"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Photographs (persons)</w:t>
            </w:r>
          </w:p>
        </w:tc>
        <w:tc>
          <w:tcPr>
            <w:tcW w:w="113" w:type="pct"/>
            <w:tcBorders>
              <w:top w:val="nil"/>
              <w:left w:val="nil"/>
              <w:bottom w:val="single" w:sz="8" w:space="0" w:color="FFFFFF"/>
              <w:right w:val="single" w:sz="8" w:space="0" w:color="FFFFFF"/>
            </w:tcBorders>
            <w:shd w:val="clear" w:color="000000" w:fill="002060"/>
            <w:noWrap/>
            <w:vAlign w:val="center"/>
          </w:tcPr>
          <w:p w14:paraId="5CE8BA0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73474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2619A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5F1B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A405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B83C2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8C17A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180D1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5FF60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11D53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D1CBE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2BE0A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92CD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EB8B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509E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FD3EC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1FBA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C3AF0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C2047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D7261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05C3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2BBC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8E7C7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CA80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9BB1F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AAA7C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7108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0562F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560A1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714AB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151FE8"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8ACE9C"/>
            <w:noWrap/>
            <w:vAlign w:val="center"/>
            <w:hideMark/>
          </w:tcPr>
          <w:p w14:paraId="5875DB9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16</w:t>
            </w:r>
          </w:p>
        </w:tc>
      </w:tr>
      <w:tr w:rsidR="00F5634E" w:rsidRPr="00A10E01" w14:paraId="7E271312"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25C954F"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Fingerprints</w:t>
            </w:r>
          </w:p>
        </w:tc>
        <w:tc>
          <w:tcPr>
            <w:tcW w:w="113" w:type="pct"/>
            <w:tcBorders>
              <w:top w:val="nil"/>
              <w:left w:val="nil"/>
              <w:bottom w:val="single" w:sz="8" w:space="0" w:color="FFFFFF"/>
              <w:right w:val="single" w:sz="8" w:space="0" w:color="FFFFFF"/>
            </w:tcBorders>
            <w:shd w:val="clear" w:color="000000" w:fill="002060"/>
            <w:noWrap/>
            <w:vAlign w:val="center"/>
          </w:tcPr>
          <w:p w14:paraId="34D8AA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0650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852E2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CD21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E8015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2D6AC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09224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18066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5F26A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FF35F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690F3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1C9D2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69C83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6C2A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A179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2AE47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03BB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137A9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F5F9E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5303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ABFC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1203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8241B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C3750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1108E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2B96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A41A4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35846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C83AD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529FEB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C1F8DE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8ACE9C"/>
            <w:noWrap/>
            <w:vAlign w:val="center"/>
            <w:hideMark/>
          </w:tcPr>
          <w:p w14:paraId="4194A267" w14:textId="77777777" w:rsidR="0050053D" w:rsidRPr="00A10E01" w:rsidRDefault="0050053D" w:rsidP="0050053D">
            <w:pPr>
              <w:rPr>
                <w:rFonts w:ascii="Verdana" w:hAnsi="Verdana"/>
                <w:noProof/>
                <w:sz w:val="12"/>
                <w:szCs w:val="12"/>
              </w:rPr>
            </w:pPr>
            <w:r w:rsidRPr="00A10E01">
              <w:rPr>
                <w:rFonts w:ascii="Verdana" w:hAnsi="Verdana"/>
                <w:noProof/>
                <w:sz w:val="12"/>
                <w:szCs w:val="12"/>
              </w:rPr>
              <w:t>16</w:t>
            </w:r>
          </w:p>
        </w:tc>
      </w:tr>
      <w:tr w:rsidR="00F5634E" w:rsidRPr="00A10E01" w14:paraId="43EE2B3D"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C138895"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DNA</w:t>
            </w:r>
          </w:p>
        </w:tc>
        <w:tc>
          <w:tcPr>
            <w:tcW w:w="113" w:type="pct"/>
            <w:tcBorders>
              <w:top w:val="nil"/>
              <w:left w:val="nil"/>
              <w:bottom w:val="single" w:sz="8" w:space="0" w:color="FFFFFF"/>
              <w:right w:val="single" w:sz="8" w:space="0" w:color="FFFFFF"/>
            </w:tcBorders>
            <w:shd w:val="clear" w:color="000000" w:fill="F2F2F2"/>
            <w:noWrap/>
            <w:vAlign w:val="center"/>
          </w:tcPr>
          <w:p w14:paraId="546B9D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848F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B8EC1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EA83D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754A7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59A0E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2213C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2A8F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BBF19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D35AE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F6D08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4EE13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C621B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C432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C84D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64239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AAB4C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0E517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FD566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8C45B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FFE7C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02D2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44C42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C9D1B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24336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798E7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FFCB5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CDD57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26893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40FC0F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0EF236C"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8ACE9C"/>
            <w:noWrap/>
            <w:vAlign w:val="center"/>
            <w:hideMark/>
          </w:tcPr>
          <w:p w14:paraId="112E9A9D" w14:textId="77777777" w:rsidR="0050053D" w:rsidRPr="00A10E01" w:rsidRDefault="0050053D" w:rsidP="0050053D">
            <w:pPr>
              <w:rPr>
                <w:rFonts w:ascii="Verdana" w:hAnsi="Verdana"/>
                <w:noProof/>
                <w:sz w:val="12"/>
                <w:szCs w:val="12"/>
              </w:rPr>
            </w:pPr>
            <w:r w:rsidRPr="00A10E01">
              <w:rPr>
                <w:rFonts w:ascii="Verdana" w:hAnsi="Verdana"/>
                <w:noProof/>
                <w:sz w:val="12"/>
                <w:szCs w:val="12"/>
              </w:rPr>
              <w:t>16</w:t>
            </w:r>
          </w:p>
        </w:tc>
      </w:tr>
      <w:tr w:rsidR="00F5634E" w:rsidRPr="00A10E01" w14:paraId="3BA79B8F"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2FD9176"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Persons suspected of (a specific) crime</w:t>
            </w:r>
          </w:p>
        </w:tc>
        <w:tc>
          <w:tcPr>
            <w:tcW w:w="113" w:type="pct"/>
            <w:tcBorders>
              <w:top w:val="nil"/>
              <w:left w:val="nil"/>
              <w:bottom w:val="single" w:sz="8" w:space="0" w:color="FFFFFF"/>
              <w:right w:val="single" w:sz="8" w:space="0" w:color="FFFFFF"/>
            </w:tcBorders>
            <w:shd w:val="clear" w:color="000000" w:fill="F2F2F2"/>
            <w:noWrap/>
            <w:vAlign w:val="center"/>
          </w:tcPr>
          <w:p w14:paraId="74C22E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8821E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2E10D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CDCC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83478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FF815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B63DF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8687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07BC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DBD1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C0CFF4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9AA94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01D10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FF12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6B2D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BAB96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C02D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7A28D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21BE4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1E09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7031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1A6D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1E3BF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418B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28686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DF083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EF1E7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13982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650BC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725E22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05881D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A1D7B0"/>
            <w:noWrap/>
            <w:vAlign w:val="center"/>
            <w:hideMark/>
          </w:tcPr>
          <w:p w14:paraId="7E7A7A02" w14:textId="77777777" w:rsidR="0050053D" w:rsidRPr="00A10E01" w:rsidRDefault="0050053D" w:rsidP="0050053D">
            <w:pPr>
              <w:rPr>
                <w:rFonts w:ascii="Verdana" w:hAnsi="Verdana"/>
                <w:noProof/>
                <w:sz w:val="12"/>
                <w:szCs w:val="12"/>
              </w:rPr>
            </w:pPr>
            <w:r w:rsidRPr="00A10E01">
              <w:rPr>
                <w:rFonts w:ascii="Verdana" w:hAnsi="Verdana"/>
                <w:noProof/>
                <w:sz w:val="12"/>
                <w:szCs w:val="12"/>
              </w:rPr>
              <w:t>13</w:t>
            </w:r>
          </w:p>
        </w:tc>
      </w:tr>
      <w:tr w:rsidR="00F5634E" w:rsidRPr="00A10E01" w14:paraId="003A50D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807881B"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Persons convicted of crime (criminal records)</w:t>
            </w:r>
          </w:p>
        </w:tc>
        <w:tc>
          <w:tcPr>
            <w:tcW w:w="113" w:type="pct"/>
            <w:tcBorders>
              <w:top w:val="nil"/>
              <w:left w:val="nil"/>
              <w:bottom w:val="single" w:sz="8" w:space="0" w:color="FFFFFF"/>
              <w:right w:val="single" w:sz="8" w:space="0" w:color="FFFFFF"/>
            </w:tcBorders>
            <w:shd w:val="clear" w:color="000000" w:fill="002060"/>
            <w:noWrap/>
            <w:vAlign w:val="center"/>
          </w:tcPr>
          <w:p w14:paraId="43FD2E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2EA00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63195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74CCB4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1FAC5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223C3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11D3C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B1EC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D8F8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3C36B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F540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ABC9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25E14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E43A7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4908CC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87639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8B1F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64F06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0BF54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7164A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2AD6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F8461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9660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7F1B3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6F63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237B5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E3415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F2BD1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1906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E2A0F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941918"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A1D7B0"/>
            <w:noWrap/>
            <w:vAlign w:val="center"/>
            <w:hideMark/>
          </w:tcPr>
          <w:p w14:paraId="529383F6" w14:textId="77777777" w:rsidR="0050053D" w:rsidRPr="00A10E01" w:rsidRDefault="0050053D" w:rsidP="0050053D">
            <w:pPr>
              <w:rPr>
                <w:rFonts w:ascii="Verdana" w:hAnsi="Verdana"/>
                <w:noProof/>
                <w:sz w:val="12"/>
                <w:szCs w:val="12"/>
              </w:rPr>
            </w:pPr>
            <w:r w:rsidRPr="00A10E01">
              <w:rPr>
                <w:rFonts w:ascii="Verdana" w:hAnsi="Verdana"/>
                <w:noProof/>
                <w:sz w:val="12"/>
                <w:szCs w:val="12"/>
              </w:rPr>
              <w:t>13</w:t>
            </w:r>
          </w:p>
        </w:tc>
      </w:tr>
      <w:tr w:rsidR="00F5634E" w:rsidRPr="00A10E01" w14:paraId="3C0C5E82"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83BB466"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Passports and identity documents</w:t>
            </w:r>
          </w:p>
        </w:tc>
        <w:tc>
          <w:tcPr>
            <w:tcW w:w="113" w:type="pct"/>
            <w:tcBorders>
              <w:top w:val="nil"/>
              <w:left w:val="nil"/>
              <w:bottom w:val="single" w:sz="8" w:space="0" w:color="FFFFFF"/>
              <w:right w:val="single" w:sz="8" w:space="0" w:color="FFFFFF"/>
            </w:tcBorders>
            <w:shd w:val="clear" w:color="000000" w:fill="002060"/>
            <w:noWrap/>
            <w:vAlign w:val="center"/>
          </w:tcPr>
          <w:p w14:paraId="05848F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98830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8AAD4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C95D8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AB27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211D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18544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0AA0E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088A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A402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80DB2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92DF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A4C6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6053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6C58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694CE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5B989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9CA9D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FE58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49E49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75EE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3FA6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F531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F7587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E0CF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D9795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463D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0BEA5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E449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2CDE1E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0500E36"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B0DDBD"/>
            <w:noWrap/>
            <w:vAlign w:val="center"/>
            <w:hideMark/>
          </w:tcPr>
          <w:p w14:paraId="7A3E1DDB" w14:textId="77777777" w:rsidR="0050053D" w:rsidRPr="00A10E01" w:rsidRDefault="0050053D" w:rsidP="0050053D">
            <w:pPr>
              <w:rPr>
                <w:rFonts w:ascii="Verdana" w:hAnsi="Verdana"/>
                <w:noProof/>
                <w:sz w:val="12"/>
                <w:szCs w:val="12"/>
              </w:rPr>
            </w:pPr>
            <w:r w:rsidRPr="00A10E01">
              <w:rPr>
                <w:rFonts w:ascii="Verdana" w:hAnsi="Verdana"/>
                <w:noProof/>
                <w:sz w:val="12"/>
                <w:szCs w:val="12"/>
              </w:rPr>
              <w:t>11</w:t>
            </w:r>
          </w:p>
        </w:tc>
      </w:tr>
      <w:tr w:rsidR="00F5634E" w:rsidRPr="00A10E01" w14:paraId="7CFD1884"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192761F"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Border controls, border crossings and other border guard matters</w:t>
            </w:r>
          </w:p>
        </w:tc>
        <w:tc>
          <w:tcPr>
            <w:tcW w:w="113" w:type="pct"/>
            <w:tcBorders>
              <w:top w:val="nil"/>
              <w:left w:val="nil"/>
              <w:bottom w:val="single" w:sz="8" w:space="0" w:color="FFFFFF"/>
              <w:right w:val="single" w:sz="8" w:space="0" w:color="FFFFFF"/>
            </w:tcBorders>
            <w:shd w:val="clear" w:color="000000" w:fill="F2F2F2"/>
            <w:noWrap/>
            <w:vAlign w:val="center"/>
          </w:tcPr>
          <w:p w14:paraId="2ACA55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F3A6D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F853D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9718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891F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9D32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AA59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4293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327A3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2CA38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2DF19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3CFCB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5B923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A8722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52E2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FC9B4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121F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A5711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9530E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6928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74946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12D8F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D772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42DA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6D45A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BAB91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FF817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A7E6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493D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BBC1E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E0196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B0DDBD"/>
            <w:noWrap/>
            <w:vAlign w:val="center"/>
            <w:hideMark/>
          </w:tcPr>
          <w:p w14:paraId="123B035F" w14:textId="77777777" w:rsidR="0050053D" w:rsidRPr="00A10E01" w:rsidRDefault="0050053D" w:rsidP="0050053D">
            <w:pPr>
              <w:rPr>
                <w:rFonts w:ascii="Verdana" w:hAnsi="Verdana"/>
                <w:noProof/>
                <w:sz w:val="12"/>
                <w:szCs w:val="12"/>
              </w:rPr>
            </w:pPr>
            <w:r w:rsidRPr="00A10E01">
              <w:rPr>
                <w:rFonts w:ascii="Verdana" w:hAnsi="Verdana"/>
                <w:noProof/>
                <w:sz w:val="12"/>
                <w:szCs w:val="12"/>
              </w:rPr>
              <w:t>11</w:t>
            </w:r>
          </w:p>
        </w:tc>
      </w:tr>
      <w:tr w:rsidR="00F5634E" w:rsidRPr="00A10E01" w14:paraId="4E67A14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4A28B53"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Reports (complaints) concerning crimes committed</w:t>
            </w:r>
          </w:p>
        </w:tc>
        <w:tc>
          <w:tcPr>
            <w:tcW w:w="113" w:type="pct"/>
            <w:tcBorders>
              <w:top w:val="nil"/>
              <w:left w:val="nil"/>
              <w:bottom w:val="single" w:sz="8" w:space="0" w:color="FFFFFF"/>
              <w:right w:val="single" w:sz="8" w:space="0" w:color="FFFFFF"/>
            </w:tcBorders>
            <w:shd w:val="clear" w:color="000000" w:fill="F2F2F2"/>
            <w:noWrap/>
            <w:vAlign w:val="center"/>
          </w:tcPr>
          <w:p w14:paraId="3AC79C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DC55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DDBAA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2C61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49EEB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ADE3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CF0AE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858DD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34AB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392A1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B3D65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6813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CC13C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2A29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9723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92A19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2D7F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F8BE4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BAF8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EAF9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7EF9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46F6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F7DB4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8850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906B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80270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6583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76E835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5B1B6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DA352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931B80"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B8E1C4"/>
            <w:noWrap/>
            <w:vAlign w:val="center"/>
            <w:hideMark/>
          </w:tcPr>
          <w:p w14:paraId="4F92D0F8" w14:textId="77777777" w:rsidR="0050053D" w:rsidRPr="00A10E01" w:rsidRDefault="0050053D" w:rsidP="0050053D">
            <w:pPr>
              <w:rPr>
                <w:rFonts w:ascii="Verdana" w:hAnsi="Verdana"/>
                <w:noProof/>
                <w:sz w:val="12"/>
                <w:szCs w:val="12"/>
              </w:rPr>
            </w:pPr>
            <w:r w:rsidRPr="00A10E01">
              <w:rPr>
                <w:rFonts w:ascii="Verdana" w:hAnsi="Verdana"/>
                <w:noProof/>
                <w:sz w:val="12"/>
                <w:szCs w:val="12"/>
              </w:rPr>
              <w:t>10</w:t>
            </w:r>
          </w:p>
        </w:tc>
      </w:tr>
      <w:tr w:rsidR="00F5634E" w:rsidRPr="00A10E01" w14:paraId="547A16F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78A2B279"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Photographs (other than persons)</w:t>
            </w:r>
          </w:p>
        </w:tc>
        <w:tc>
          <w:tcPr>
            <w:tcW w:w="113" w:type="pct"/>
            <w:tcBorders>
              <w:top w:val="nil"/>
              <w:left w:val="nil"/>
              <w:bottom w:val="single" w:sz="8" w:space="0" w:color="FFFFFF"/>
              <w:right w:val="single" w:sz="8" w:space="0" w:color="FFFFFF"/>
            </w:tcBorders>
            <w:shd w:val="clear" w:color="000000" w:fill="F2F2F2"/>
            <w:noWrap/>
            <w:vAlign w:val="center"/>
          </w:tcPr>
          <w:p w14:paraId="14A5C7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6D29B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A1DD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B65C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0796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1D24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A1580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5F565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23664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BC8F2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6FF1AB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3B08F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85F9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C67E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EEB81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BC81D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2E00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AE917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353D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9706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E100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EFD5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5D8F0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82F2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0A498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862A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27440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8691E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3BC49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95A23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FEBF8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C7E7D1"/>
            <w:noWrap/>
            <w:vAlign w:val="center"/>
            <w:hideMark/>
          </w:tcPr>
          <w:p w14:paraId="15074F4E" w14:textId="77777777" w:rsidR="0050053D" w:rsidRPr="00A10E01" w:rsidRDefault="0050053D" w:rsidP="0050053D">
            <w:pPr>
              <w:rPr>
                <w:rFonts w:ascii="Verdana" w:hAnsi="Verdana"/>
                <w:noProof/>
                <w:sz w:val="12"/>
                <w:szCs w:val="12"/>
              </w:rPr>
            </w:pPr>
            <w:r w:rsidRPr="00A10E01">
              <w:rPr>
                <w:rFonts w:ascii="Verdana" w:hAnsi="Verdana"/>
                <w:noProof/>
                <w:sz w:val="12"/>
                <w:szCs w:val="12"/>
              </w:rPr>
              <w:t>8</w:t>
            </w:r>
          </w:p>
        </w:tc>
      </w:tr>
      <w:tr w:rsidR="00F5634E" w:rsidRPr="00A10E01" w14:paraId="7D274624"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ACFBAF9"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Information on modus operandi</w:t>
            </w:r>
          </w:p>
        </w:tc>
        <w:tc>
          <w:tcPr>
            <w:tcW w:w="113" w:type="pct"/>
            <w:tcBorders>
              <w:top w:val="nil"/>
              <w:left w:val="nil"/>
              <w:bottom w:val="single" w:sz="8" w:space="0" w:color="FFFFFF"/>
              <w:right w:val="single" w:sz="8" w:space="0" w:color="FFFFFF"/>
            </w:tcBorders>
            <w:shd w:val="clear" w:color="000000" w:fill="F2F2F2"/>
            <w:noWrap/>
            <w:vAlign w:val="center"/>
          </w:tcPr>
          <w:p w14:paraId="3E44D9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6ACE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6732D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B96C3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1D3D2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64B41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01B4C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4500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C20FA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4618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197E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120DC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4BAD6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EB6A5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03BD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A76C2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0616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997D2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6237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EDAB9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DCEC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6684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7F862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D484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DC94B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E41FD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B872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318F1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EEDCD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33FAE9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BE6B26F"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C7E7D1"/>
            <w:noWrap/>
            <w:vAlign w:val="center"/>
            <w:hideMark/>
          </w:tcPr>
          <w:p w14:paraId="1C5828F0" w14:textId="77777777" w:rsidR="0050053D" w:rsidRPr="00A10E01" w:rsidRDefault="0050053D" w:rsidP="0050053D">
            <w:pPr>
              <w:rPr>
                <w:rFonts w:ascii="Verdana" w:hAnsi="Verdana"/>
                <w:noProof/>
                <w:sz w:val="12"/>
                <w:szCs w:val="12"/>
              </w:rPr>
            </w:pPr>
            <w:r w:rsidRPr="00A10E01">
              <w:rPr>
                <w:rFonts w:ascii="Verdana" w:hAnsi="Verdana"/>
                <w:noProof/>
                <w:sz w:val="12"/>
                <w:szCs w:val="12"/>
              </w:rPr>
              <w:t>8</w:t>
            </w:r>
          </w:p>
        </w:tc>
      </w:tr>
      <w:tr w:rsidR="00F5634E" w:rsidRPr="00A10E01" w14:paraId="19AA960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6BAD3CE"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Vehicle data and information on vehicle owners (cars)</w:t>
            </w:r>
          </w:p>
        </w:tc>
        <w:tc>
          <w:tcPr>
            <w:tcW w:w="113" w:type="pct"/>
            <w:tcBorders>
              <w:top w:val="nil"/>
              <w:left w:val="nil"/>
              <w:bottom w:val="single" w:sz="8" w:space="0" w:color="FFFFFF"/>
              <w:right w:val="single" w:sz="8" w:space="0" w:color="FFFFFF"/>
            </w:tcBorders>
            <w:shd w:val="clear" w:color="000000" w:fill="002060"/>
            <w:noWrap/>
            <w:vAlign w:val="center"/>
          </w:tcPr>
          <w:p w14:paraId="285C62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B2B3D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4DEA13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DB48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7AD1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C85B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5A45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F20DE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B04F0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7E4F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C30B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C9045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C1EB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B6E00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62792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71D5D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A9C6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83523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96C4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F61E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F86F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EC32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665E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50E2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03A4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ACBF0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E7FB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A2EB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7237B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17356E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7D0B23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CFEAD8"/>
            <w:noWrap/>
            <w:vAlign w:val="center"/>
            <w:hideMark/>
          </w:tcPr>
          <w:p w14:paraId="1C523AE8" w14:textId="77777777" w:rsidR="0050053D" w:rsidRPr="00A10E01" w:rsidRDefault="0050053D" w:rsidP="0050053D">
            <w:pPr>
              <w:rPr>
                <w:rFonts w:ascii="Verdana" w:hAnsi="Verdana"/>
                <w:noProof/>
                <w:sz w:val="12"/>
                <w:szCs w:val="12"/>
              </w:rPr>
            </w:pPr>
            <w:r w:rsidRPr="00A10E01">
              <w:rPr>
                <w:rFonts w:ascii="Verdana" w:hAnsi="Verdana"/>
                <w:noProof/>
                <w:sz w:val="12"/>
                <w:szCs w:val="12"/>
              </w:rPr>
              <w:t>7</w:t>
            </w:r>
          </w:p>
        </w:tc>
      </w:tr>
      <w:tr w:rsidR="00F5634E" w:rsidRPr="00A10E01" w14:paraId="49530878"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04B13F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Administrative register on persons (census)</w:t>
            </w:r>
          </w:p>
        </w:tc>
        <w:tc>
          <w:tcPr>
            <w:tcW w:w="113" w:type="pct"/>
            <w:tcBorders>
              <w:top w:val="nil"/>
              <w:left w:val="nil"/>
              <w:bottom w:val="single" w:sz="8" w:space="0" w:color="FFFFFF"/>
              <w:right w:val="single" w:sz="8" w:space="0" w:color="FFFFFF"/>
            </w:tcBorders>
            <w:shd w:val="clear" w:color="000000" w:fill="002060"/>
            <w:noWrap/>
            <w:vAlign w:val="center"/>
          </w:tcPr>
          <w:p w14:paraId="1B48C6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1EADD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A45CC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C6D2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7D358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E7B1F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7C4E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FD3C6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A6DF6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98DA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F64D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0DFC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8B46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613FD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7F558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A506E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B896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66FC4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D2CB8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D6D0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FB9D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CC14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4644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CD27C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7B03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051D1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E286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59D3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1A0A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750856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BE0B726"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CFEAD8"/>
            <w:noWrap/>
            <w:vAlign w:val="center"/>
            <w:hideMark/>
          </w:tcPr>
          <w:p w14:paraId="56DF231E" w14:textId="77777777" w:rsidR="0050053D" w:rsidRPr="00A10E01" w:rsidRDefault="0050053D" w:rsidP="0050053D">
            <w:pPr>
              <w:rPr>
                <w:rFonts w:ascii="Verdana" w:hAnsi="Verdana"/>
                <w:noProof/>
                <w:sz w:val="12"/>
                <w:szCs w:val="12"/>
              </w:rPr>
            </w:pPr>
            <w:r w:rsidRPr="00A10E01">
              <w:rPr>
                <w:rFonts w:ascii="Verdana" w:hAnsi="Verdana"/>
                <w:noProof/>
                <w:sz w:val="12"/>
                <w:szCs w:val="12"/>
              </w:rPr>
              <w:t>7</w:t>
            </w:r>
          </w:p>
        </w:tc>
      </w:tr>
      <w:tr w:rsidR="00F5634E" w:rsidRPr="00A10E01" w14:paraId="2EE2B82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178C3E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 xml:space="preserve">Decisions prohibiting entry to premises or restraining orders </w:t>
            </w:r>
          </w:p>
        </w:tc>
        <w:tc>
          <w:tcPr>
            <w:tcW w:w="113" w:type="pct"/>
            <w:tcBorders>
              <w:top w:val="nil"/>
              <w:left w:val="nil"/>
              <w:bottom w:val="single" w:sz="8" w:space="0" w:color="FFFFFF"/>
              <w:right w:val="single" w:sz="8" w:space="0" w:color="FFFFFF"/>
            </w:tcBorders>
            <w:shd w:val="clear" w:color="000000" w:fill="F2F2F2"/>
            <w:noWrap/>
            <w:vAlign w:val="center"/>
          </w:tcPr>
          <w:p w14:paraId="60FF51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DF4CE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3A798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86F9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0D52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22E25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F5A59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8315B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9BFE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74AB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DDF2D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5D25D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6042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E189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75D8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80A9F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A888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E7FC2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625F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F421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B544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1958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6F84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32D5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2779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77AD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5611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BD87B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B1933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0E28E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758794"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CFEAD8"/>
            <w:noWrap/>
            <w:vAlign w:val="center"/>
            <w:hideMark/>
          </w:tcPr>
          <w:p w14:paraId="3DDEFED3" w14:textId="77777777" w:rsidR="0050053D" w:rsidRPr="00A10E01" w:rsidRDefault="0050053D" w:rsidP="0050053D">
            <w:pPr>
              <w:rPr>
                <w:rFonts w:ascii="Verdana" w:hAnsi="Verdana"/>
                <w:noProof/>
                <w:sz w:val="12"/>
                <w:szCs w:val="12"/>
              </w:rPr>
            </w:pPr>
            <w:r w:rsidRPr="00A10E01">
              <w:rPr>
                <w:rFonts w:ascii="Verdana" w:hAnsi="Verdana"/>
                <w:noProof/>
                <w:sz w:val="12"/>
                <w:szCs w:val="12"/>
              </w:rPr>
              <w:t>7</w:t>
            </w:r>
          </w:p>
        </w:tc>
      </w:tr>
      <w:tr w:rsidR="00F5634E" w:rsidRPr="00A10E01" w14:paraId="474466AD"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ABE647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Customs authorities’ information on import, export and transit of goods</w:t>
            </w:r>
          </w:p>
        </w:tc>
        <w:tc>
          <w:tcPr>
            <w:tcW w:w="113" w:type="pct"/>
            <w:tcBorders>
              <w:top w:val="nil"/>
              <w:left w:val="nil"/>
              <w:bottom w:val="single" w:sz="8" w:space="0" w:color="FFFFFF"/>
              <w:right w:val="single" w:sz="8" w:space="0" w:color="FFFFFF"/>
            </w:tcBorders>
            <w:shd w:val="clear" w:color="000000" w:fill="F2F2F2"/>
            <w:noWrap/>
            <w:vAlign w:val="center"/>
          </w:tcPr>
          <w:p w14:paraId="051FFB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6F0C2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6F03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DAA0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C5035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C1E45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05494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7E223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97EE2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3D2E5C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CC699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A0CED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F1A3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089C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5E8F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CAD41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C1A5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8FD6F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A3E9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4323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EBCAE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7266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E3CB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FBE3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490B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3CA9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3BF2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D0B5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FE181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692659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F4EE19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CFEAD8"/>
            <w:noWrap/>
            <w:vAlign w:val="center"/>
            <w:hideMark/>
          </w:tcPr>
          <w:p w14:paraId="10311D79" w14:textId="77777777" w:rsidR="0050053D" w:rsidRPr="00A10E01" w:rsidRDefault="0050053D" w:rsidP="0050053D">
            <w:pPr>
              <w:rPr>
                <w:rFonts w:ascii="Verdana" w:hAnsi="Verdana"/>
                <w:noProof/>
                <w:sz w:val="12"/>
                <w:szCs w:val="12"/>
              </w:rPr>
            </w:pPr>
            <w:r w:rsidRPr="00A10E01">
              <w:rPr>
                <w:rFonts w:ascii="Verdana" w:hAnsi="Verdana"/>
                <w:noProof/>
                <w:sz w:val="12"/>
                <w:szCs w:val="12"/>
              </w:rPr>
              <w:t>7</w:t>
            </w:r>
          </w:p>
        </w:tc>
      </w:tr>
      <w:tr w:rsidR="00F5634E" w:rsidRPr="00A10E01" w14:paraId="2CFA4F3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623CBC6"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Database of prison inmates</w:t>
            </w:r>
          </w:p>
        </w:tc>
        <w:tc>
          <w:tcPr>
            <w:tcW w:w="113" w:type="pct"/>
            <w:tcBorders>
              <w:top w:val="nil"/>
              <w:left w:val="nil"/>
              <w:bottom w:val="single" w:sz="8" w:space="0" w:color="FFFFFF"/>
              <w:right w:val="single" w:sz="8" w:space="0" w:color="FFFFFF"/>
            </w:tcBorders>
            <w:shd w:val="clear" w:color="000000" w:fill="F2F2F2"/>
            <w:noWrap/>
            <w:vAlign w:val="center"/>
          </w:tcPr>
          <w:p w14:paraId="464D250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89142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A09A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63A5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4D002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AEC7B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398D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40935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49A2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DA37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58814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7564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295BF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5D8EB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C7CC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4F3BD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CAA8B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AB6FF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7A39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0F624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D028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9D9E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CE6A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E146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5A69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394EF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3A6CA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B991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FDBF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6A33C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4F6CB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CFEAD8"/>
            <w:noWrap/>
            <w:vAlign w:val="center"/>
            <w:hideMark/>
          </w:tcPr>
          <w:p w14:paraId="750A7368" w14:textId="77777777" w:rsidR="0050053D" w:rsidRPr="00A10E01" w:rsidRDefault="0050053D" w:rsidP="0050053D">
            <w:pPr>
              <w:rPr>
                <w:rFonts w:ascii="Verdana" w:hAnsi="Verdana"/>
                <w:noProof/>
                <w:sz w:val="12"/>
                <w:szCs w:val="12"/>
              </w:rPr>
            </w:pPr>
            <w:r w:rsidRPr="00A10E01">
              <w:rPr>
                <w:rFonts w:ascii="Verdana" w:hAnsi="Verdana"/>
                <w:noProof/>
                <w:sz w:val="12"/>
                <w:szCs w:val="12"/>
              </w:rPr>
              <w:t>7</w:t>
            </w:r>
          </w:p>
        </w:tc>
      </w:tr>
      <w:tr w:rsidR="00F5634E" w:rsidRPr="00A10E01" w14:paraId="1B3BBA9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9BD191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Traffic violations and misdemeanours</w:t>
            </w:r>
          </w:p>
        </w:tc>
        <w:tc>
          <w:tcPr>
            <w:tcW w:w="113" w:type="pct"/>
            <w:tcBorders>
              <w:top w:val="nil"/>
              <w:left w:val="nil"/>
              <w:bottom w:val="single" w:sz="8" w:space="0" w:color="FFFFFF"/>
              <w:right w:val="single" w:sz="8" w:space="0" w:color="FFFFFF"/>
            </w:tcBorders>
            <w:shd w:val="clear" w:color="000000" w:fill="F2F2F2"/>
            <w:noWrap/>
            <w:vAlign w:val="center"/>
          </w:tcPr>
          <w:p w14:paraId="06785E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2D6B1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15520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D5DA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C3B03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FC08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DA61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5CC29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470DF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9386E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FADC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E566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9A99A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A4F0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B707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CA951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A140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3356C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38CCB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5AED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68D3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8DB3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1B92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E082B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50265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0403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CFE9B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A710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2BBB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AD025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47E9A3"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D6EDDE"/>
            <w:noWrap/>
            <w:vAlign w:val="center"/>
            <w:hideMark/>
          </w:tcPr>
          <w:p w14:paraId="27DB1830" w14:textId="77777777" w:rsidR="0050053D" w:rsidRPr="00A10E01" w:rsidRDefault="0050053D" w:rsidP="0050053D">
            <w:pPr>
              <w:rPr>
                <w:rFonts w:ascii="Verdana" w:hAnsi="Verdana"/>
                <w:noProof/>
                <w:sz w:val="12"/>
                <w:szCs w:val="12"/>
              </w:rPr>
            </w:pPr>
            <w:r w:rsidRPr="00A10E01">
              <w:rPr>
                <w:rFonts w:ascii="Verdana" w:hAnsi="Verdana"/>
                <w:noProof/>
                <w:sz w:val="12"/>
                <w:szCs w:val="12"/>
              </w:rPr>
              <w:t>6</w:t>
            </w:r>
          </w:p>
        </w:tc>
      </w:tr>
      <w:tr w:rsidR="00F5634E" w:rsidRPr="00A10E01" w14:paraId="346B980E"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D71DB77"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Police records</w:t>
            </w:r>
          </w:p>
        </w:tc>
        <w:tc>
          <w:tcPr>
            <w:tcW w:w="113" w:type="pct"/>
            <w:tcBorders>
              <w:top w:val="nil"/>
              <w:left w:val="nil"/>
              <w:bottom w:val="single" w:sz="8" w:space="0" w:color="FFFFFF"/>
              <w:right w:val="single" w:sz="8" w:space="0" w:color="FFFFFF"/>
            </w:tcBorders>
            <w:shd w:val="clear" w:color="000000" w:fill="F2F2F2"/>
            <w:noWrap/>
            <w:vAlign w:val="center"/>
          </w:tcPr>
          <w:p w14:paraId="73FD4F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D82C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B2EB5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0390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CEB8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67FC0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FB5B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F32F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26673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F65C8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ECBA1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4FC31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FD4A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2D06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B5D5C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7B7EA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5BA71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C9DA1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4611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92AE1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07B6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E817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1E16B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DCEF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E120B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B00B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A8C3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6A0B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376A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0EE93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96F19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DEF0E5"/>
            <w:noWrap/>
            <w:vAlign w:val="center"/>
            <w:hideMark/>
          </w:tcPr>
          <w:p w14:paraId="28BEA278" w14:textId="77777777" w:rsidR="0050053D" w:rsidRPr="00A10E01" w:rsidRDefault="0050053D" w:rsidP="0050053D">
            <w:pPr>
              <w:rPr>
                <w:rFonts w:ascii="Verdana" w:hAnsi="Verdana"/>
                <w:noProof/>
                <w:sz w:val="12"/>
                <w:szCs w:val="12"/>
              </w:rPr>
            </w:pPr>
            <w:r w:rsidRPr="00A10E01">
              <w:rPr>
                <w:rFonts w:ascii="Verdana" w:hAnsi="Verdana"/>
                <w:noProof/>
                <w:sz w:val="12"/>
                <w:szCs w:val="12"/>
              </w:rPr>
              <w:t>5</w:t>
            </w:r>
          </w:p>
        </w:tc>
      </w:tr>
      <w:tr w:rsidR="00F5634E" w:rsidRPr="00A10E01" w14:paraId="305969DE"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EB52F59"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Decisions prohibiting entry to country and residence concerning foreign nationals</w:t>
            </w:r>
          </w:p>
        </w:tc>
        <w:tc>
          <w:tcPr>
            <w:tcW w:w="113" w:type="pct"/>
            <w:tcBorders>
              <w:top w:val="nil"/>
              <w:left w:val="nil"/>
              <w:bottom w:val="single" w:sz="8" w:space="0" w:color="FFFFFF"/>
              <w:right w:val="single" w:sz="8" w:space="0" w:color="FFFFFF"/>
            </w:tcBorders>
            <w:shd w:val="clear" w:color="000000" w:fill="F2F2F2"/>
            <w:noWrap/>
            <w:vAlign w:val="center"/>
          </w:tcPr>
          <w:p w14:paraId="27E630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D1A1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92DB6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B357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04229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4E12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28B0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00B1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0A822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4420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9220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E67E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690EF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37BE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97C4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35D49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CCC3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677A6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4632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B059B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1945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8EA6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9029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8982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5909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CACC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1500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B4B3D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63EB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774A1C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1294F5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DEF0E5"/>
            <w:noWrap/>
            <w:vAlign w:val="center"/>
            <w:hideMark/>
          </w:tcPr>
          <w:p w14:paraId="58D64D1E" w14:textId="77777777" w:rsidR="0050053D" w:rsidRPr="00A10E01" w:rsidRDefault="0050053D" w:rsidP="0050053D">
            <w:pPr>
              <w:rPr>
                <w:rFonts w:ascii="Verdana" w:hAnsi="Verdana"/>
                <w:noProof/>
                <w:sz w:val="12"/>
                <w:szCs w:val="12"/>
              </w:rPr>
            </w:pPr>
            <w:r w:rsidRPr="00A10E01">
              <w:rPr>
                <w:rFonts w:ascii="Verdana" w:hAnsi="Verdana"/>
                <w:noProof/>
                <w:sz w:val="12"/>
                <w:szCs w:val="12"/>
              </w:rPr>
              <w:t>5</w:t>
            </w:r>
          </w:p>
        </w:tc>
      </w:tr>
      <w:tr w:rsidR="00F5634E" w:rsidRPr="00A10E01" w14:paraId="15F9AE21"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713F27B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Stolen, lost or misappropriated passports and identity documents</w:t>
            </w:r>
          </w:p>
        </w:tc>
        <w:tc>
          <w:tcPr>
            <w:tcW w:w="113" w:type="pct"/>
            <w:tcBorders>
              <w:top w:val="nil"/>
              <w:left w:val="nil"/>
              <w:bottom w:val="single" w:sz="8" w:space="0" w:color="FFFFFF"/>
              <w:right w:val="single" w:sz="8" w:space="0" w:color="FFFFFF"/>
            </w:tcBorders>
            <w:shd w:val="clear" w:color="000000" w:fill="F2F2F2"/>
            <w:noWrap/>
            <w:vAlign w:val="center"/>
          </w:tcPr>
          <w:p w14:paraId="1EE274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8B5D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94D9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6FFE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9255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1E261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BB92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F015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7865F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8FCE8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97C02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88FA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30436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3A8CD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CFB4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4398F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3DA6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B18DE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2B05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7171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1B13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CE19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A30B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F134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F8A8D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16FAF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9FE4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0C1C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A26C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E33D4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5DB48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DEF0E5"/>
            <w:noWrap/>
            <w:vAlign w:val="center"/>
            <w:hideMark/>
          </w:tcPr>
          <w:p w14:paraId="56E478C3" w14:textId="77777777" w:rsidR="0050053D" w:rsidRPr="00A10E01" w:rsidRDefault="0050053D" w:rsidP="0050053D">
            <w:pPr>
              <w:rPr>
                <w:rFonts w:ascii="Verdana" w:hAnsi="Verdana"/>
                <w:noProof/>
                <w:sz w:val="12"/>
                <w:szCs w:val="12"/>
              </w:rPr>
            </w:pPr>
            <w:r w:rsidRPr="00A10E01">
              <w:rPr>
                <w:rFonts w:ascii="Verdana" w:hAnsi="Verdana"/>
                <w:noProof/>
                <w:sz w:val="12"/>
                <w:szCs w:val="12"/>
              </w:rPr>
              <w:t>5</w:t>
            </w:r>
          </w:p>
        </w:tc>
      </w:tr>
      <w:tr w:rsidR="00F5634E" w:rsidRPr="00A10E01" w14:paraId="6057594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699E0F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Wanted, stolen, lost, misappropriated or found firearms, used on national territory</w:t>
            </w:r>
          </w:p>
        </w:tc>
        <w:tc>
          <w:tcPr>
            <w:tcW w:w="113" w:type="pct"/>
            <w:tcBorders>
              <w:top w:val="nil"/>
              <w:left w:val="nil"/>
              <w:bottom w:val="single" w:sz="8" w:space="0" w:color="FFFFFF"/>
              <w:right w:val="single" w:sz="8" w:space="0" w:color="FFFFFF"/>
            </w:tcBorders>
            <w:shd w:val="clear" w:color="000000" w:fill="F2F2F2"/>
            <w:noWrap/>
            <w:vAlign w:val="center"/>
          </w:tcPr>
          <w:p w14:paraId="78570C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85EA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7B5B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18085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8F6E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B8092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82E5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A33F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7C3D4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EC268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33C7C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2816B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A1388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5DE0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7986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71B89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7EF05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ED749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41911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C5BB3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ABAD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3791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D98B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D4FC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CE9BF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E66A0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3A49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13597C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0D56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ACECE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CF0D24"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DEF0E5"/>
            <w:noWrap/>
            <w:vAlign w:val="center"/>
            <w:hideMark/>
          </w:tcPr>
          <w:p w14:paraId="3437EBA1" w14:textId="77777777" w:rsidR="0050053D" w:rsidRPr="00A10E01" w:rsidRDefault="0050053D" w:rsidP="0050053D">
            <w:pPr>
              <w:rPr>
                <w:rFonts w:ascii="Verdana" w:hAnsi="Verdana"/>
                <w:noProof/>
                <w:sz w:val="12"/>
                <w:szCs w:val="12"/>
              </w:rPr>
            </w:pPr>
            <w:r w:rsidRPr="00A10E01">
              <w:rPr>
                <w:rFonts w:ascii="Verdana" w:hAnsi="Verdana"/>
                <w:noProof/>
                <w:sz w:val="12"/>
                <w:szCs w:val="12"/>
              </w:rPr>
              <w:t>5</w:t>
            </w:r>
          </w:p>
        </w:tc>
      </w:tr>
      <w:tr w:rsidR="00F5634E" w:rsidRPr="00A10E01" w14:paraId="48E0412F"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207DD5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Other information that describes crimes committed or types of crime</w:t>
            </w:r>
          </w:p>
        </w:tc>
        <w:tc>
          <w:tcPr>
            <w:tcW w:w="113" w:type="pct"/>
            <w:tcBorders>
              <w:top w:val="nil"/>
              <w:left w:val="nil"/>
              <w:bottom w:val="single" w:sz="8" w:space="0" w:color="FFFFFF"/>
              <w:right w:val="single" w:sz="8" w:space="0" w:color="FFFFFF"/>
            </w:tcBorders>
            <w:shd w:val="clear" w:color="000000" w:fill="F2F2F2"/>
            <w:noWrap/>
            <w:vAlign w:val="center"/>
          </w:tcPr>
          <w:p w14:paraId="52C249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9B4A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7430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8514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A7E58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C0E38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8A3C8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599E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F1CE7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F43A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E8164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F3B7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CADC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7861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36B7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C1944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6276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C65AD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BEF8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5F55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6FBA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65529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1EBD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6641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E0BFD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2C3A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DE5D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BBCE1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82417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BA1FE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B96734"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6F3EC"/>
            <w:noWrap/>
            <w:vAlign w:val="center"/>
            <w:hideMark/>
          </w:tcPr>
          <w:p w14:paraId="63B8F01C"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r>
      <w:tr w:rsidR="00F5634E" w:rsidRPr="00A10E01" w14:paraId="779F4B4D"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E31734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Stolen works of art</w:t>
            </w:r>
          </w:p>
        </w:tc>
        <w:tc>
          <w:tcPr>
            <w:tcW w:w="113" w:type="pct"/>
            <w:tcBorders>
              <w:top w:val="nil"/>
              <w:left w:val="nil"/>
              <w:bottom w:val="single" w:sz="8" w:space="0" w:color="FFFFFF"/>
              <w:right w:val="single" w:sz="8" w:space="0" w:color="FFFFFF"/>
            </w:tcBorders>
            <w:shd w:val="clear" w:color="000000" w:fill="002060"/>
            <w:noWrap/>
            <w:vAlign w:val="center"/>
          </w:tcPr>
          <w:p w14:paraId="2A2138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90A6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607D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C077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DC01B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FA79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2653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2679D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1BC7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AE86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25856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1E9B0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3342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29608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DCEDB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697D9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82A5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10C97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19EE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D66C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1FE8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16E3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11A65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A83A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CD081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61223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E1D1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22F4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0BD3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ACE39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70E2EC"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6F3EC"/>
            <w:noWrap/>
            <w:vAlign w:val="center"/>
            <w:hideMark/>
          </w:tcPr>
          <w:p w14:paraId="59BE6115"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r>
      <w:tr w:rsidR="00F5634E" w:rsidRPr="00A10E01" w14:paraId="0CD335AA"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518BFA9"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Film or video recordings</w:t>
            </w:r>
          </w:p>
        </w:tc>
        <w:tc>
          <w:tcPr>
            <w:tcW w:w="113" w:type="pct"/>
            <w:tcBorders>
              <w:top w:val="nil"/>
              <w:left w:val="nil"/>
              <w:bottom w:val="single" w:sz="8" w:space="0" w:color="FFFFFF"/>
              <w:right w:val="single" w:sz="8" w:space="0" w:color="FFFFFF"/>
            </w:tcBorders>
            <w:shd w:val="clear" w:color="000000" w:fill="F2F2F2"/>
            <w:noWrap/>
            <w:vAlign w:val="center"/>
          </w:tcPr>
          <w:p w14:paraId="117D85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7532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0F87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D6CF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7E60E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C8EA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9C6C8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F401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DCAB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C9AFD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0C05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3428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F517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83AC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83D1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304EF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576E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83256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E2BA1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E11F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8508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9920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8314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B434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6133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FA4B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2B388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C24A7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53406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7F987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C409EA"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6F3EC"/>
            <w:noWrap/>
            <w:vAlign w:val="center"/>
            <w:hideMark/>
          </w:tcPr>
          <w:p w14:paraId="6DBD28CD"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r>
      <w:tr w:rsidR="00F5634E" w:rsidRPr="00A10E01" w14:paraId="081174A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DBE718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Database of residence permits and fingerprints of foreign nationals</w:t>
            </w:r>
          </w:p>
        </w:tc>
        <w:tc>
          <w:tcPr>
            <w:tcW w:w="113" w:type="pct"/>
            <w:tcBorders>
              <w:top w:val="nil"/>
              <w:left w:val="nil"/>
              <w:bottom w:val="single" w:sz="8" w:space="0" w:color="FFFFFF"/>
              <w:right w:val="single" w:sz="8" w:space="0" w:color="FFFFFF"/>
            </w:tcBorders>
            <w:shd w:val="clear" w:color="000000" w:fill="F2F2F2"/>
            <w:noWrap/>
            <w:vAlign w:val="center"/>
          </w:tcPr>
          <w:p w14:paraId="2E163F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69999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960BB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4B75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9F792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9BC72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8BDED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F087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89C4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F3B04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62D30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E9C89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654DF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11FA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D4E9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7FBDC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440E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1E380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B6FB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CA21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64B4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619C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B09B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3CDA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A55D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4F647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1259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FDB8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9C54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4561B2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0160EB6"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6F3EC"/>
            <w:noWrap/>
            <w:vAlign w:val="center"/>
            <w:hideMark/>
          </w:tcPr>
          <w:p w14:paraId="793F2F96"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r>
      <w:tr w:rsidR="00F5634E" w:rsidRPr="00A10E01" w14:paraId="362B1C98"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0B5A29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Information on identification (distinguishing marks or dental records)</w:t>
            </w:r>
          </w:p>
        </w:tc>
        <w:tc>
          <w:tcPr>
            <w:tcW w:w="113" w:type="pct"/>
            <w:tcBorders>
              <w:top w:val="nil"/>
              <w:left w:val="nil"/>
              <w:bottom w:val="single" w:sz="8" w:space="0" w:color="FFFFFF"/>
              <w:right w:val="single" w:sz="8" w:space="0" w:color="FFFFFF"/>
            </w:tcBorders>
            <w:shd w:val="clear" w:color="000000" w:fill="F2F2F2"/>
            <w:noWrap/>
            <w:vAlign w:val="center"/>
          </w:tcPr>
          <w:p w14:paraId="732BF0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A3D6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5EEE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DF47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C157B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4E98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D4E15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7976D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5F0E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B592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4B64E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E973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710DD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06D8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AC4DD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F32F2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8BC1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C998C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B510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3482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8358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EC47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37ADF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D94E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AE2D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70FCD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3B9F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E65E1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592A6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5F7DF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51174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6F3EC"/>
            <w:noWrap/>
            <w:vAlign w:val="center"/>
            <w:hideMark/>
          </w:tcPr>
          <w:p w14:paraId="0EF70944"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r>
      <w:tr w:rsidR="00F5634E" w:rsidRPr="00A10E01" w14:paraId="2049361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EF4B11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Photos of missing persons, unidentified bodies, unknown helpless persons and crime scene traces</w:t>
            </w:r>
          </w:p>
        </w:tc>
        <w:tc>
          <w:tcPr>
            <w:tcW w:w="113" w:type="pct"/>
            <w:tcBorders>
              <w:top w:val="nil"/>
              <w:left w:val="nil"/>
              <w:bottom w:val="single" w:sz="8" w:space="0" w:color="FFFFFF"/>
              <w:right w:val="single" w:sz="8" w:space="0" w:color="FFFFFF"/>
            </w:tcBorders>
            <w:shd w:val="clear" w:color="000000" w:fill="F2F2F2"/>
            <w:noWrap/>
            <w:vAlign w:val="center"/>
          </w:tcPr>
          <w:p w14:paraId="7C3B5A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C0657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5519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B6F4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EC753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FE645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F5AC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EE090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0B6F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C7F3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6DCE8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3C3F1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1465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C7C8F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927B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B93FC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3C20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8C450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556A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DE69D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44CD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9D1E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B8EA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0C00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7201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3A2D2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8685A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5C5A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FA02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53315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BC5CB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6F3EC"/>
            <w:noWrap/>
            <w:vAlign w:val="center"/>
            <w:hideMark/>
          </w:tcPr>
          <w:p w14:paraId="1C3E622E"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r>
      <w:tr w:rsidR="00F5634E" w:rsidRPr="00A10E01" w14:paraId="743D52D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3ACA663"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Traffic accidents and collisions</w:t>
            </w:r>
          </w:p>
        </w:tc>
        <w:tc>
          <w:tcPr>
            <w:tcW w:w="113" w:type="pct"/>
            <w:tcBorders>
              <w:top w:val="nil"/>
              <w:left w:val="nil"/>
              <w:bottom w:val="single" w:sz="8" w:space="0" w:color="FFFFFF"/>
              <w:right w:val="single" w:sz="8" w:space="0" w:color="FFFFFF"/>
            </w:tcBorders>
            <w:shd w:val="clear" w:color="000000" w:fill="F2F2F2"/>
            <w:noWrap/>
            <w:vAlign w:val="center"/>
          </w:tcPr>
          <w:p w14:paraId="0177E6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E101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F357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604E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0A482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23F58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32F11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FC045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E2507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9780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323D9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723B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B672F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8557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89D9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161B1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DD4A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38219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12B77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8E37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F5C1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172FC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8FD7C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54DC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F976A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D215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C8123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4ED0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9D75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EB576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95B91C"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6F3EC"/>
            <w:noWrap/>
            <w:vAlign w:val="center"/>
            <w:hideMark/>
          </w:tcPr>
          <w:p w14:paraId="24EB5C36"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r>
      <w:tr w:rsidR="00F5634E" w:rsidRPr="00A10E01" w14:paraId="4D0EB2F4"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F9EF58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Visa</w:t>
            </w:r>
          </w:p>
        </w:tc>
        <w:tc>
          <w:tcPr>
            <w:tcW w:w="113" w:type="pct"/>
            <w:tcBorders>
              <w:top w:val="nil"/>
              <w:left w:val="nil"/>
              <w:bottom w:val="single" w:sz="8" w:space="0" w:color="FFFFFF"/>
              <w:right w:val="single" w:sz="8" w:space="0" w:color="FFFFFF"/>
            </w:tcBorders>
            <w:shd w:val="clear" w:color="000000" w:fill="F2F2F2"/>
            <w:noWrap/>
            <w:vAlign w:val="center"/>
          </w:tcPr>
          <w:p w14:paraId="403E92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7DFA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F317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E0B3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952F30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41BF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4F78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CF13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31D4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BA841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F57D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D6F3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4F62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8003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1EDA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5B59E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9698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36999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319A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EE43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1AEB9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715D8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1B7D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5AB47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6E516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DA41A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B92F1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52B4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D3AA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4D4C49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29F0602"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6F3EC"/>
            <w:noWrap/>
            <w:vAlign w:val="center"/>
            <w:hideMark/>
          </w:tcPr>
          <w:p w14:paraId="29B62DFB"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r>
      <w:tr w:rsidR="00F5634E" w:rsidRPr="00A10E01" w14:paraId="6CF8CC22"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7F4110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Documented questioning of suspects, witnesses, plaintiffs, experts etc.</w:t>
            </w:r>
          </w:p>
        </w:tc>
        <w:tc>
          <w:tcPr>
            <w:tcW w:w="113" w:type="pct"/>
            <w:tcBorders>
              <w:top w:val="nil"/>
              <w:left w:val="nil"/>
              <w:bottom w:val="single" w:sz="8" w:space="0" w:color="FFFFFF"/>
              <w:right w:val="single" w:sz="8" w:space="0" w:color="FFFFFF"/>
            </w:tcBorders>
            <w:shd w:val="clear" w:color="000000" w:fill="F2F2F2"/>
            <w:noWrap/>
            <w:vAlign w:val="center"/>
          </w:tcPr>
          <w:p w14:paraId="793E4A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B569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9C50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D2B1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BDDA3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CB81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2469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E406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D60DC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5DAA6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3B83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63BC23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9665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C7E3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6173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D8B9D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1D54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04B3C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638A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C8C9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E9FC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96C3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CBE4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0631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B69A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6369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1D3D5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6BFF1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C9DA5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6DD8E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A4CAA3"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48FEAB27"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4E9BE30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FBC33CF"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Documentation of search of premises, seizures, forfeited property or frozen assets</w:t>
            </w:r>
          </w:p>
        </w:tc>
        <w:tc>
          <w:tcPr>
            <w:tcW w:w="113" w:type="pct"/>
            <w:tcBorders>
              <w:top w:val="nil"/>
              <w:left w:val="nil"/>
              <w:bottom w:val="single" w:sz="8" w:space="0" w:color="FFFFFF"/>
              <w:right w:val="single" w:sz="8" w:space="0" w:color="FFFFFF"/>
            </w:tcBorders>
            <w:shd w:val="clear" w:color="000000" w:fill="F2F2F2"/>
            <w:noWrap/>
            <w:vAlign w:val="center"/>
          </w:tcPr>
          <w:p w14:paraId="121C3E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9B63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3E7A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E43F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E571E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F444B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A104D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E8C54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9937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E1F5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96A1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C185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B36FD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7BA97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5A63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29EF0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67D108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6F0D7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9960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0DF1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FB95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AE3A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FCA6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94F7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E2F4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CA5E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A05D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E2691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8ACBE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62744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7142E2"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631F9B76"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50C1A55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D6118E6"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Firearms tracing</w:t>
            </w:r>
          </w:p>
        </w:tc>
        <w:tc>
          <w:tcPr>
            <w:tcW w:w="113" w:type="pct"/>
            <w:tcBorders>
              <w:top w:val="nil"/>
              <w:left w:val="nil"/>
              <w:bottom w:val="single" w:sz="8" w:space="0" w:color="FFFFFF"/>
              <w:right w:val="single" w:sz="8" w:space="0" w:color="FFFFFF"/>
            </w:tcBorders>
            <w:shd w:val="clear" w:color="000000" w:fill="F2F2F2"/>
            <w:noWrap/>
            <w:vAlign w:val="center"/>
          </w:tcPr>
          <w:p w14:paraId="210500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F028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5845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630A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9480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08B9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3C6B0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876BB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E112A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3854E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C29A0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10FF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B2478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2EC5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6614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933D8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1349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FFBCF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617A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94CD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AB9D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C0C4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F2F6E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BDCD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8991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9B6D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CDBF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E2FFB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1DFC9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14016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A8F850"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374AEF0D"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11345C2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FF07F07"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Observations or observation reports</w:t>
            </w:r>
          </w:p>
        </w:tc>
        <w:tc>
          <w:tcPr>
            <w:tcW w:w="113" w:type="pct"/>
            <w:tcBorders>
              <w:top w:val="nil"/>
              <w:left w:val="nil"/>
              <w:bottom w:val="single" w:sz="8" w:space="0" w:color="FFFFFF"/>
              <w:right w:val="single" w:sz="8" w:space="0" w:color="FFFFFF"/>
            </w:tcBorders>
            <w:shd w:val="clear" w:color="000000" w:fill="F2F2F2"/>
            <w:noWrap/>
            <w:vAlign w:val="center"/>
          </w:tcPr>
          <w:p w14:paraId="3845FE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41F9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FB4A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6C8D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B6E69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C6B7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372BC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B33E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7532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1A48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657F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8E7D9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187E4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4547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D4E5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B828DC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86AE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BDCFF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4894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84C5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7A8BE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FA9CB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00FB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B26F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5B52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7951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26F6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8BA2F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9BD5F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10394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6D3DC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36E8849D"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5A19CCC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0BFBA8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Operational analyses</w:t>
            </w:r>
          </w:p>
        </w:tc>
        <w:tc>
          <w:tcPr>
            <w:tcW w:w="113" w:type="pct"/>
            <w:tcBorders>
              <w:top w:val="nil"/>
              <w:left w:val="nil"/>
              <w:bottom w:val="single" w:sz="8" w:space="0" w:color="FFFFFF"/>
              <w:right w:val="single" w:sz="8" w:space="0" w:color="FFFFFF"/>
            </w:tcBorders>
            <w:shd w:val="clear" w:color="000000" w:fill="F2F2F2"/>
            <w:noWrap/>
            <w:vAlign w:val="center"/>
          </w:tcPr>
          <w:p w14:paraId="7662B0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30C47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2554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2542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688A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A919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B450F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35F83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3434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CD74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F840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C5E2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8DDBF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3BE8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5AD2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84395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DC05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ACF06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37B4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2132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A14A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BC60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EBE43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4295D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FF95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2872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B8CA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B444E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67419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EF896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A8B02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3F7A83A9"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23B3FDE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AD1C03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Unusual or suspicious money transactions</w:t>
            </w:r>
          </w:p>
        </w:tc>
        <w:tc>
          <w:tcPr>
            <w:tcW w:w="113" w:type="pct"/>
            <w:tcBorders>
              <w:top w:val="nil"/>
              <w:left w:val="nil"/>
              <w:bottom w:val="single" w:sz="8" w:space="0" w:color="FFFFFF"/>
              <w:right w:val="single" w:sz="8" w:space="0" w:color="FFFFFF"/>
            </w:tcBorders>
            <w:shd w:val="clear" w:color="000000" w:fill="F2F2F2"/>
            <w:noWrap/>
            <w:vAlign w:val="center"/>
          </w:tcPr>
          <w:p w14:paraId="4BC6DF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781F1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0D7E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C5335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4F80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7FDA3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6A7C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312B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5492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93CC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0AFA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3E01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C7A8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9CD9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C5368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6E140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6AC2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CBC12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23C7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A228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FE20F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42F0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0D8F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41A4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5081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8295B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B609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897A8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2357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3FD312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F735CAA"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27B69D0F"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1044C827"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B1F416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Events registered by the police</w:t>
            </w:r>
          </w:p>
        </w:tc>
        <w:tc>
          <w:tcPr>
            <w:tcW w:w="113" w:type="pct"/>
            <w:tcBorders>
              <w:top w:val="nil"/>
              <w:left w:val="nil"/>
              <w:bottom w:val="single" w:sz="8" w:space="0" w:color="FFFFFF"/>
              <w:right w:val="single" w:sz="8" w:space="0" w:color="FFFFFF"/>
            </w:tcBorders>
            <w:shd w:val="clear" w:color="000000" w:fill="F2F2F2"/>
            <w:noWrap/>
            <w:vAlign w:val="center"/>
          </w:tcPr>
          <w:p w14:paraId="091D14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9974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1735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7706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53B6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898A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A083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D6D3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486A0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BBCD1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B865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2555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947C0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AFC1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1B008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93687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BE902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51E3C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4022C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683B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B653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A1DD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B6D1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A2CB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065B9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80BE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1C87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9032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6E1E4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30242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B012B3"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15CA6301"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66FCAD0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9BF28C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Case management system and workflow system</w:t>
            </w:r>
          </w:p>
        </w:tc>
        <w:tc>
          <w:tcPr>
            <w:tcW w:w="113" w:type="pct"/>
            <w:tcBorders>
              <w:top w:val="nil"/>
              <w:left w:val="nil"/>
              <w:bottom w:val="single" w:sz="8" w:space="0" w:color="FFFFFF"/>
              <w:right w:val="single" w:sz="8" w:space="0" w:color="FFFFFF"/>
            </w:tcBorders>
            <w:shd w:val="clear" w:color="000000" w:fill="F2F2F2"/>
            <w:noWrap/>
            <w:vAlign w:val="center"/>
          </w:tcPr>
          <w:p w14:paraId="758C45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4DF0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07B8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3ADE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A860B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36D4C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32E63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9C4E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87CB3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F7AE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F2EA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C0F51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2AF39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72BF9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096E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DD199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02B2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B9190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A5E83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E6F6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8981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7448D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FA27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C124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8F45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6A4B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E0D9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09CF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7A9A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378A8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F669DC"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1648193B"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52B2B03E"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68688B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Explosives and bombs database</w:t>
            </w:r>
          </w:p>
        </w:tc>
        <w:tc>
          <w:tcPr>
            <w:tcW w:w="113" w:type="pct"/>
            <w:tcBorders>
              <w:top w:val="nil"/>
              <w:left w:val="nil"/>
              <w:bottom w:val="single" w:sz="8" w:space="0" w:color="FFFFFF"/>
              <w:right w:val="single" w:sz="8" w:space="0" w:color="FFFFFF"/>
            </w:tcBorders>
            <w:shd w:val="clear" w:color="000000" w:fill="F2F2F2"/>
            <w:noWrap/>
            <w:vAlign w:val="center"/>
          </w:tcPr>
          <w:p w14:paraId="723682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4036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7CD4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F3B8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EEBA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85B8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FADBF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D4CB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91A4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65AE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BE606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972D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CC55A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2DED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0C14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D73AA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7262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4453E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F7F2B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A855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D20A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4EEF2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C880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EC81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3A51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B4D09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569C5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CF8D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6E83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8BF20E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5D09B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074A913E"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6AD35F92"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C20279F"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Documentation of crime scene investigations</w:t>
            </w:r>
          </w:p>
        </w:tc>
        <w:tc>
          <w:tcPr>
            <w:tcW w:w="113" w:type="pct"/>
            <w:tcBorders>
              <w:top w:val="nil"/>
              <w:left w:val="nil"/>
              <w:bottom w:val="single" w:sz="8" w:space="0" w:color="FFFFFF"/>
              <w:right w:val="single" w:sz="8" w:space="0" w:color="FFFFFF"/>
            </w:tcBorders>
            <w:shd w:val="clear" w:color="000000" w:fill="F2F2F2"/>
            <w:noWrap/>
            <w:vAlign w:val="center"/>
          </w:tcPr>
          <w:p w14:paraId="689CC4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12080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F9CD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4E8F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E246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BA67D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1725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BFDBC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046C4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E446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73BE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5989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5F592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EF4F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CFE6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5D164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065A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7C8D8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172D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73DEDE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DB7E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88ED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81A49B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8A08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7AEA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83FA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21BF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EB4FD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0740C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F12FE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B2B1D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605CFFEF"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4F89CE37"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A064585"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Information concerning foreign nationals (decisions and permits, measures imposed, etc.)</w:t>
            </w:r>
          </w:p>
        </w:tc>
        <w:tc>
          <w:tcPr>
            <w:tcW w:w="113" w:type="pct"/>
            <w:tcBorders>
              <w:top w:val="nil"/>
              <w:left w:val="nil"/>
              <w:bottom w:val="single" w:sz="8" w:space="0" w:color="FFFFFF"/>
              <w:right w:val="single" w:sz="8" w:space="0" w:color="FFFFFF"/>
            </w:tcBorders>
            <w:shd w:val="clear" w:color="000000" w:fill="002060"/>
            <w:noWrap/>
            <w:vAlign w:val="center"/>
          </w:tcPr>
          <w:p w14:paraId="6DA5E5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5A50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C597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547A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E1FA4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D4B75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2EF09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58CD8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D180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45DF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986A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D38BD8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4CBD8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428A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CC284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D3259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9C98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5A404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5A2A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1E84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C8BF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5EB2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E089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EF61E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EA9A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32538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BB7A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63B2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B5DF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5C50E1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5DA81D1"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EDF6F2"/>
            <w:noWrap/>
            <w:vAlign w:val="center"/>
            <w:hideMark/>
          </w:tcPr>
          <w:p w14:paraId="4AB2FC67"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r>
      <w:tr w:rsidR="00F5634E" w:rsidRPr="00A10E01" w14:paraId="131AF143" w14:textId="77777777" w:rsidTr="00DE1389">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74B8E2C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Specific and non-specific facts</w:t>
            </w:r>
          </w:p>
        </w:tc>
        <w:tc>
          <w:tcPr>
            <w:tcW w:w="113" w:type="pct"/>
            <w:tcBorders>
              <w:top w:val="nil"/>
              <w:left w:val="nil"/>
              <w:bottom w:val="single" w:sz="8" w:space="0" w:color="FFFFFF"/>
              <w:right w:val="single" w:sz="8" w:space="0" w:color="FFFFFF"/>
            </w:tcBorders>
            <w:shd w:val="clear" w:color="000000" w:fill="F2F2F2"/>
            <w:noWrap/>
            <w:vAlign w:val="center"/>
          </w:tcPr>
          <w:p w14:paraId="73E1D5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9DA82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EDCC2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2B93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CCA7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39B2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864C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2694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1327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9DBA2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auto" w:fill="F2F2F2" w:themeFill="background1" w:themeFillShade="F2"/>
            <w:noWrap/>
            <w:vAlign w:val="center"/>
          </w:tcPr>
          <w:p w14:paraId="7A00E9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047A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DCA7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07C8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A71A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09D67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9239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1ADA1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1BA9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377A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6910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B5F1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EF0C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B1CC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40E44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27193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32D1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9978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B747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E377F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34C72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0DC9D5C7"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50E9749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BA65323"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Persons who are the subject of a criminal investigation</w:t>
            </w:r>
          </w:p>
        </w:tc>
        <w:tc>
          <w:tcPr>
            <w:tcW w:w="113" w:type="pct"/>
            <w:tcBorders>
              <w:top w:val="nil"/>
              <w:left w:val="nil"/>
              <w:bottom w:val="single" w:sz="8" w:space="0" w:color="FFFFFF"/>
              <w:right w:val="single" w:sz="8" w:space="0" w:color="FFFFFF"/>
            </w:tcBorders>
            <w:shd w:val="clear" w:color="000000" w:fill="F2F2F2"/>
            <w:noWrap/>
            <w:vAlign w:val="center"/>
          </w:tcPr>
          <w:p w14:paraId="06D017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1881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39C0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58EDC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A896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B4E1B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431A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951A4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C2BE0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4CB5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BDD85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C5501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317B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50E4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4945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8FD03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6D5C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78D38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FAC2B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FAAE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1324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6D63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9C72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6D3C8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AFDB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7ABE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FA74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55BD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42A3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78F97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ACF796"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68A30451"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6ED11EF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72989B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Organisations</w:t>
            </w:r>
          </w:p>
        </w:tc>
        <w:tc>
          <w:tcPr>
            <w:tcW w:w="113" w:type="pct"/>
            <w:tcBorders>
              <w:top w:val="nil"/>
              <w:left w:val="nil"/>
              <w:bottom w:val="single" w:sz="8" w:space="0" w:color="FFFFFF"/>
              <w:right w:val="single" w:sz="8" w:space="0" w:color="FFFFFF"/>
            </w:tcBorders>
            <w:shd w:val="clear" w:color="000000" w:fill="F2F2F2"/>
            <w:noWrap/>
            <w:vAlign w:val="center"/>
          </w:tcPr>
          <w:p w14:paraId="7F93E2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7635A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A127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7340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E8B5E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BC2C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07DF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0E27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1C77D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2F62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3D093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B140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2065A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BD90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6965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556E7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EB18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329B8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A5B6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6299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94C6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A167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169D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B736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AAB7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53F7B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6524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2A6A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44B6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B21B0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85459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61CC1F14"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3DA4585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79D449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Objects</w:t>
            </w:r>
          </w:p>
        </w:tc>
        <w:tc>
          <w:tcPr>
            <w:tcW w:w="113" w:type="pct"/>
            <w:tcBorders>
              <w:top w:val="nil"/>
              <w:left w:val="nil"/>
              <w:bottom w:val="single" w:sz="8" w:space="0" w:color="FFFFFF"/>
              <w:right w:val="single" w:sz="8" w:space="0" w:color="FFFFFF"/>
            </w:tcBorders>
            <w:shd w:val="clear" w:color="000000" w:fill="F2F2F2"/>
            <w:noWrap/>
            <w:vAlign w:val="center"/>
          </w:tcPr>
          <w:p w14:paraId="175C44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9CCC7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1B15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1EBC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8303C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977B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7155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F270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BF890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F830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E5DF4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8872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A5D6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3268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7ED8CF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F4515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5B82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9B101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A22F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06A5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00C2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2A24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BF06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671B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A65A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1EF1B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F8BE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AE7C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E9E0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C6332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8610C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263E4330"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540873B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4DCC0A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Locations (search method on location)</w:t>
            </w:r>
          </w:p>
        </w:tc>
        <w:tc>
          <w:tcPr>
            <w:tcW w:w="113" w:type="pct"/>
            <w:tcBorders>
              <w:top w:val="nil"/>
              <w:left w:val="nil"/>
              <w:bottom w:val="single" w:sz="8" w:space="0" w:color="FFFFFF"/>
              <w:right w:val="single" w:sz="8" w:space="0" w:color="FFFFFF"/>
            </w:tcBorders>
            <w:shd w:val="clear" w:color="000000" w:fill="F2F2F2"/>
            <w:noWrap/>
            <w:vAlign w:val="center"/>
          </w:tcPr>
          <w:p w14:paraId="03D81E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509F4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E337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D852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D57C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61B4F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C418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DB1D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1A2B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8F1B9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C5BF8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F63DD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2832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232CD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F143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FCA19B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48CB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EA983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195E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4B9E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0410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E922D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EA2A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6306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EA35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B1DA5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62FE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D067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0FEB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2C750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6F9AE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5B973CE8"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1A70242D"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34BE86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Stop list/alert list</w:t>
            </w:r>
          </w:p>
        </w:tc>
        <w:tc>
          <w:tcPr>
            <w:tcW w:w="113" w:type="pct"/>
            <w:tcBorders>
              <w:top w:val="nil"/>
              <w:left w:val="nil"/>
              <w:bottom w:val="single" w:sz="8" w:space="0" w:color="FFFFFF"/>
              <w:right w:val="single" w:sz="8" w:space="0" w:color="FFFFFF"/>
            </w:tcBorders>
            <w:shd w:val="clear" w:color="000000" w:fill="F2F2F2"/>
            <w:noWrap/>
            <w:vAlign w:val="center"/>
          </w:tcPr>
          <w:p w14:paraId="721EB4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EF4A0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B11A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A486B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59A9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B6E9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1990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B7CA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E6BF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0472F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F3DC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76A09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0C7D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3A697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EDA8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35D19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B9C3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288AE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8F34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D9A8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2A13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E3DD6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684B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16F3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9A80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3268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E683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5EDA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E9D4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690D1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CAC773"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0A5282CA"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6A4554E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B288CF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Counterfeit travel documents, money etc.</w:t>
            </w:r>
          </w:p>
        </w:tc>
        <w:tc>
          <w:tcPr>
            <w:tcW w:w="113" w:type="pct"/>
            <w:tcBorders>
              <w:top w:val="nil"/>
              <w:left w:val="nil"/>
              <w:bottom w:val="single" w:sz="8" w:space="0" w:color="FFFFFF"/>
              <w:right w:val="single" w:sz="8" w:space="0" w:color="FFFFFF"/>
            </w:tcBorders>
            <w:shd w:val="clear" w:color="000000" w:fill="F2F2F2"/>
            <w:noWrap/>
            <w:vAlign w:val="center"/>
          </w:tcPr>
          <w:p w14:paraId="3DB3D5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00B2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BF73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D1610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83A1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D5D88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4E070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453C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3ED5D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D9F7E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AD690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48509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ED52F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90CB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CEF3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25BCA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6F7B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DD621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CE35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E2CD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E1BE5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5026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EE242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251E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0A0F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12D2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1E1C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3809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D648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3BB1A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F4A5B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53868266"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0541078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0D5FCB5"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Individuals reporting crime and victims of crime, witnesses</w:t>
            </w:r>
          </w:p>
        </w:tc>
        <w:tc>
          <w:tcPr>
            <w:tcW w:w="113" w:type="pct"/>
            <w:tcBorders>
              <w:top w:val="nil"/>
              <w:left w:val="nil"/>
              <w:bottom w:val="single" w:sz="8" w:space="0" w:color="FFFFFF"/>
              <w:right w:val="single" w:sz="8" w:space="0" w:color="FFFFFF"/>
            </w:tcBorders>
            <w:shd w:val="clear" w:color="000000" w:fill="F2F2F2"/>
            <w:noWrap/>
            <w:vAlign w:val="center"/>
          </w:tcPr>
          <w:p w14:paraId="2C4C4B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F46E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3B4F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6C66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49858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8047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B440F4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0B1A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E137F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1260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0931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CAE6D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9B1A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497F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A6A1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C80C3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E98A3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467D9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1704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1234B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0278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D7A2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8A63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1647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C515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CEB9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BDF2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1221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97F2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749F3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17A67E"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355B2902"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031444E4"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ACA5255"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Individuals to be traced on national territory as they are the subject of a judicial/administrative measure</w:t>
            </w:r>
          </w:p>
        </w:tc>
        <w:tc>
          <w:tcPr>
            <w:tcW w:w="113" w:type="pct"/>
            <w:tcBorders>
              <w:top w:val="nil"/>
              <w:left w:val="nil"/>
              <w:bottom w:val="single" w:sz="8" w:space="0" w:color="FFFFFF"/>
              <w:right w:val="single" w:sz="8" w:space="0" w:color="FFFFFF"/>
            </w:tcBorders>
            <w:shd w:val="clear" w:color="000000" w:fill="F2F2F2"/>
            <w:noWrap/>
            <w:vAlign w:val="center"/>
          </w:tcPr>
          <w:p w14:paraId="2EC558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E5D2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C8A9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70E09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08771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7097C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F861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CDED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771314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FBD1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9F598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3AA3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8E12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95923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C2E7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F4094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975C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8D774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CAFB2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B72DD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A70F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13F3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6B52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4CE3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CABF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2C0C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E8C1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1560E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7320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4A5E5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63C9C1"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4E3FDD29"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30BE796B"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BA38DE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Bonds, securities stolen, lost, misappropriated or found</w:t>
            </w:r>
          </w:p>
        </w:tc>
        <w:tc>
          <w:tcPr>
            <w:tcW w:w="113" w:type="pct"/>
            <w:tcBorders>
              <w:top w:val="nil"/>
              <w:left w:val="nil"/>
              <w:bottom w:val="single" w:sz="8" w:space="0" w:color="FFFFFF"/>
              <w:right w:val="single" w:sz="8" w:space="0" w:color="FFFFFF"/>
            </w:tcBorders>
            <w:shd w:val="clear" w:color="000000" w:fill="F2F2F2"/>
            <w:noWrap/>
            <w:vAlign w:val="center"/>
          </w:tcPr>
          <w:p w14:paraId="0C86F3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3DB1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D203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DB7C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3271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4BAF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86A1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F310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DD954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7C67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979A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1CA5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0595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51FC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3E55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0615D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410C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47719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1342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DD59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CE28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E6BC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D1C9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287D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7339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E6DCB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1793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92AF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5582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D7BFF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F7694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068ED643"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4742C45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644D6B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Vessel data and owners of vessel or boat</w:t>
            </w:r>
          </w:p>
        </w:tc>
        <w:tc>
          <w:tcPr>
            <w:tcW w:w="113" w:type="pct"/>
            <w:tcBorders>
              <w:top w:val="nil"/>
              <w:left w:val="nil"/>
              <w:bottom w:val="single" w:sz="8" w:space="0" w:color="FFFFFF"/>
              <w:right w:val="single" w:sz="8" w:space="0" w:color="FFFFFF"/>
            </w:tcBorders>
            <w:shd w:val="clear" w:color="000000" w:fill="F2F2F2"/>
            <w:noWrap/>
            <w:vAlign w:val="center"/>
          </w:tcPr>
          <w:p w14:paraId="69EED4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59E8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2D8F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E7B4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03EAB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5037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5B41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0E652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F856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1601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40C1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24D54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BB260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3C14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F2E9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E06D2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BB83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2A68D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89BF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9259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6E2F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3124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413D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E5E5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9FCA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015A4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46C4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F9EB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C6E2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8FD0C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C7C40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30B9140B"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6E08739D"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773D98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Reports on incidents</w:t>
            </w:r>
          </w:p>
        </w:tc>
        <w:tc>
          <w:tcPr>
            <w:tcW w:w="113" w:type="pct"/>
            <w:tcBorders>
              <w:top w:val="nil"/>
              <w:left w:val="nil"/>
              <w:bottom w:val="single" w:sz="8" w:space="0" w:color="FFFFFF"/>
              <w:right w:val="single" w:sz="8" w:space="0" w:color="FFFFFF"/>
            </w:tcBorders>
            <w:shd w:val="clear" w:color="000000" w:fill="F2F2F2"/>
            <w:noWrap/>
            <w:vAlign w:val="center"/>
          </w:tcPr>
          <w:p w14:paraId="626C33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BF270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C72D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3C3E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43B08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7D3D6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CD670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F54A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2DB4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711C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6B1A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8E095C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DF65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73E7C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35CE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242F8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5585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1F9F4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2C01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4D68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B52A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1E35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EED4B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7C7E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19F7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25F4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930E8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434C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D629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7082A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52897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5C70CA29"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225BBC7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5483D6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Registration of private security companies</w:t>
            </w:r>
          </w:p>
        </w:tc>
        <w:tc>
          <w:tcPr>
            <w:tcW w:w="113" w:type="pct"/>
            <w:tcBorders>
              <w:top w:val="nil"/>
              <w:left w:val="nil"/>
              <w:bottom w:val="single" w:sz="8" w:space="0" w:color="FFFFFF"/>
              <w:right w:val="single" w:sz="8" w:space="0" w:color="FFFFFF"/>
            </w:tcBorders>
            <w:shd w:val="clear" w:color="000000" w:fill="F2F2F2"/>
            <w:noWrap/>
            <w:vAlign w:val="center"/>
          </w:tcPr>
          <w:p w14:paraId="4F6789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202B2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C77C0F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320F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9810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B4DF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E5F0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35DD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E82A1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72F0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88C1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18051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2B08A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9C3E2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DE49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CAC59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EF10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056D6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71EA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3317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21E2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FE47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161E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8ACB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9EBF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12457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2A4476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724B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C4B2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AF9DB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5AB3C1"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38AEBB7F"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58BEF754"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4593BEE"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Driving licences information</w:t>
            </w:r>
          </w:p>
        </w:tc>
        <w:tc>
          <w:tcPr>
            <w:tcW w:w="113" w:type="pct"/>
            <w:tcBorders>
              <w:top w:val="nil"/>
              <w:left w:val="nil"/>
              <w:bottom w:val="single" w:sz="8" w:space="0" w:color="FFFFFF"/>
              <w:right w:val="single" w:sz="8" w:space="0" w:color="FFFFFF"/>
            </w:tcBorders>
            <w:shd w:val="clear" w:color="000000" w:fill="F2F2F2"/>
            <w:noWrap/>
            <w:vAlign w:val="center"/>
          </w:tcPr>
          <w:p w14:paraId="5E5CDD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9BC8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77FD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4C68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41E6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2E62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982D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04F4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240BB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EE16C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91122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6728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D8305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683F5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6C2F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46C91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27FC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D062A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91A5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790F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5094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5132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0677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1A8F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E02B7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94271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1BB7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6132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E4A2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58315B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88D26D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5A17A919"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48578C59"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12323C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Questioning or other records of conversations with persons cooperating with crime-fighting authorities</w:t>
            </w:r>
          </w:p>
        </w:tc>
        <w:tc>
          <w:tcPr>
            <w:tcW w:w="113" w:type="pct"/>
            <w:tcBorders>
              <w:top w:val="nil"/>
              <w:left w:val="nil"/>
              <w:bottom w:val="single" w:sz="8" w:space="0" w:color="FFFFFF"/>
              <w:right w:val="single" w:sz="8" w:space="0" w:color="FFFFFF"/>
            </w:tcBorders>
            <w:shd w:val="clear" w:color="000000" w:fill="F2F2F2"/>
            <w:noWrap/>
            <w:vAlign w:val="center"/>
          </w:tcPr>
          <w:p w14:paraId="2C20C0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90FF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A187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7E758C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4666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DCAE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11751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6A74E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83D6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BBEC37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5E90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E386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9BFB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810BF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58AC4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79022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85AB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61244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E119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AAAA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6646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9FC4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53A7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B5AF6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A37E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4395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C557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6B0AC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2CA45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4DB92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7E2C54"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317749D0"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48BFE88F"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1B01FB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Statements provided by undercover agents</w:t>
            </w:r>
          </w:p>
        </w:tc>
        <w:tc>
          <w:tcPr>
            <w:tcW w:w="113" w:type="pct"/>
            <w:tcBorders>
              <w:top w:val="nil"/>
              <w:left w:val="nil"/>
              <w:bottom w:val="single" w:sz="8" w:space="0" w:color="FFFFFF"/>
              <w:right w:val="single" w:sz="8" w:space="0" w:color="FFFFFF"/>
            </w:tcBorders>
            <w:shd w:val="clear" w:color="000000" w:fill="F2F2F2"/>
            <w:noWrap/>
            <w:vAlign w:val="center"/>
          </w:tcPr>
          <w:p w14:paraId="3CBE03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A88C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319D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6F85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71C0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EEBE0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1E0D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E09D5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49DE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DFCB7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8E41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E744D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EC48A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008E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5A84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8A75D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B66F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CE6A3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72642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C2CD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44B4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DD89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E5E7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F8E3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2F3B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10C3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1D38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6029B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D0BD1F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9824B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96F00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6783DCF1"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5DFD72B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5499C15"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Compilations that contain appraised or non-appraised information on crime or criminal activities</w:t>
            </w:r>
          </w:p>
        </w:tc>
        <w:tc>
          <w:tcPr>
            <w:tcW w:w="113" w:type="pct"/>
            <w:tcBorders>
              <w:top w:val="nil"/>
              <w:left w:val="nil"/>
              <w:bottom w:val="single" w:sz="8" w:space="0" w:color="FFFFFF"/>
              <w:right w:val="single" w:sz="8" w:space="0" w:color="FFFFFF"/>
            </w:tcBorders>
            <w:shd w:val="clear" w:color="000000" w:fill="F2F2F2"/>
            <w:noWrap/>
            <w:vAlign w:val="center"/>
          </w:tcPr>
          <w:p w14:paraId="73F574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906A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543B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89D10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23B1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5FA8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BD29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8FC9A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C19F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0B76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D18D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3A7A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27FDF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9F26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A1CE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C8116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477F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4E82C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FA95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35B09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C4CE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32D4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4FEB2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25AF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BD9F8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9D93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23E1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A89B0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F4831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F9B03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D94E46"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739CB5F5"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5AF8FF7B"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F278484"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Documentation of phone tapping, room bugging, covert and video surveillance operations</w:t>
            </w:r>
          </w:p>
        </w:tc>
        <w:tc>
          <w:tcPr>
            <w:tcW w:w="113" w:type="pct"/>
            <w:tcBorders>
              <w:top w:val="nil"/>
              <w:left w:val="nil"/>
              <w:bottom w:val="single" w:sz="8" w:space="0" w:color="FFFFFF"/>
              <w:right w:val="single" w:sz="8" w:space="0" w:color="FFFFFF"/>
            </w:tcBorders>
            <w:shd w:val="clear" w:color="000000" w:fill="F2F2F2"/>
            <w:noWrap/>
            <w:vAlign w:val="center"/>
          </w:tcPr>
          <w:p w14:paraId="0A139D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82F1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7BFB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69C4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A98F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E0495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EEE8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57DB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8868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2ACD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2BFF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ED27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0C6C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BA00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A7A1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3D8D8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E9A8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EF745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3F0D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FC14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A42D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8300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C047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82CD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16FD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EF83B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40666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491BC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5F0B6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E82FF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8FF79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381A1088"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749CBA5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D6DF5D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Documentation of medico-legal investigations</w:t>
            </w:r>
          </w:p>
        </w:tc>
        <w:tc>
          <w:tcPr>
            <w:tcW w:w="113" w:type="pct"/>
            <w:tcBorders>
              <w:top w:val="nil"/>
              <w:left w:val="nil"/>
              <w:bottom w:val="single" w:sz="8" w:space="0" w:color="FFFFFF"/>
              <w:right w:val="single" w:sz="8" w:space="0" w:color="FFFFFF"/>
            </w:tcBorders>
            <w:shd w:val="clear" w:color="000000" w:fill="F2F2F2"/>
            <w:noWrap/>
            <w:vAlign w:val="center"/>
          </w:tcPr>
          <w:p w14:paraId="1E7DF3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F37B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E8C1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489A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4979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BC5D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5C7A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DB240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500F6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0ED54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D465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47B8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90D7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95A0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2CC6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2BA22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BEF7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E2B2A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F7E7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6D39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4EBE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0005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D0C9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D5EF3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4673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C27A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D836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8A22E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0D6A8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61195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A1CA4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5F9F9"/>
            <w:noWrap/>
            <w:vAlign w:val="center"/>
            <w:hideMark/>
          </w:tcPr>
          <w:p w14:paraId="48DA2A7C" w14:textId="77777777" w:rsidR="0050053D" w:rsidRPr="00A10E01" w:rsidRDefault="0050053D" w:rsidP="0050053D">
            <w:pPr>
              <w:rPr>
                <w:rFonts w:ascii="Verdana" w:hAnsi="Verdana"/>
                <w:noProof/>
                <w:sz w:val="12"/>
                <w:szCs w:val="12"/>
              </w:rPr>
            </w:pPr>
            <w:r w:rsidRPr="00A10E01">
              <w:rPr>
                <w:rFonts w:ascii="Verdana" w:hAnsi="Verdana"/>
                <w:noProof/>
                <w:sz w:val="12"/>
                <w:szCs w:val="12"/>
              </w:rPr>
              <w:t>2</w:t>
            </w:r>
          </w:p>
        </w:tc>
      </w:tr>
      <w:tr w:rsidR="00F5634E" w:rsidRPr="00A10E01" w14:paraId="3534EE6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BA4F5D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Statistics (all kind of statistics)</w:t>
            </w:r>
          </w:p>
        </w:tc>
        <w:tc>
          <w:tcPr>
            <w:tcW w:w="113" w:type="pct"/>
            <w:tcBorders>
              <w:top w:val="nil"/>
              <w:left w:val="nil"/>
              <w:bottom w:val="single" w:sz="8" w:space="0" w:color="FFFFFF"/>
              <w:right w:val="single" w:sz="8" w:space="0" w:color="FFFFFF"/>
            </w:tcBorders>
            <w:shd w:val="clear" w:color="000000" w:fill="F2F2F2"/>
            <w:noWrap/>
            <w:vAlign w:val="center"/>
          </w:tcPr>
          <w:p w14:paraId="427824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61681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760D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F159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FE51E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97D9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79A5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D71F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DD1F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1693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176F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1E17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18904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889D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218A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5D165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2F3C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81FE8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2A93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7A49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50B8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D09A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C5E9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A5D6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164B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5194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AA24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4316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CF78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3468E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CF892E"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8CE80ED"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EE11B39"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AAB756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Information on ongoing inquiries</w:t>
            </w:r>
          </w:p>
        </w:tc>
        <w:tc>
          <w:tcPr>
            <w:tcW w:w="113" w:type="pct"/>
            <w:tcBorders>
              <w:top w:val="nil"/>
              <w:left w:val="nil"/>
              <w:bottom w:val="single" w:sz="8" w:space="0" w:color="FFFFFF"/>
              <w:right w:val="single" w:sz="8" w:space="0" w:color="FFFFFF"/>
            </w:tcBorders>
            <w:shd w:val="clear" w:color="000000" w:fill="F2F2F2"/>
            <w:noWrap/>
            <w:vAlign w:val="center"/>
          </w:tcPr>
          <w:p w14:paraId="2EC3FE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FFDFD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0224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4B2B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D4D6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3C0D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7D533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92F55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7E9EF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A270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6B773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6C687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93EA8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CFDD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6C70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33373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7D686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BFF21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BC89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FC52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071E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3669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8306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8BCF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A082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BA56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A52B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8739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BE22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93327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791782"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1287CD71"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54896E7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CDE5C3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Arrivals/Departures</w:t>
            </w:r>
          </w:p>
        </w:tc>
        <w:tc>
          <w:tcPr>
            <w:tcW w:w="113" w:type="pct"/>
            <w:tcBorders>
              <w:top w:val="nil"/>
              <w:left w:val="nil"/>
              <w:bottom w:val="single" w:sz="8" w:space="0" w:color="FFFFFF"/>
              <w:right w:val="single" w:sz="8" w:space="0" w:color="FFFFFF"/>
            </w:tcBorders>
            <w:shd w:val="clear" w:color="000000" w:fill="F2F2F2"/>
            <w:noWrap/>
            <w:vAlign w:val="center"/>
          </w:tcPr>
          <w:p w14:paraId="19852D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2DBC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988F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05BB29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3E16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F3EA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7BE5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23D5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BA01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3C793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6304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BBAA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759C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F0F8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75E1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F560F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94FA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5504E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F280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3395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EDCE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156D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0E78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25AE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9679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C824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3751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3A29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74A27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2CD80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CD4CF4"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F0DEEA7"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108740BA"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7606197"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Incident register index</w:t>
            </w:r>
          </w:p>
        </w:tc>
        <w:tc>
          <w:tcPr>
            <w:tcW w:w="113" w:type="pct"/>
            <w:tcBorders>
              <w:top w:val="nil"/>
              <w:left w:val="nil"/>
              <w:bottom w:val="single" w:sz="8" w:space="0" w:color="FFFFFF"/>
              <w:right w:val="single" w:sz="8" w:space="0" w:color="FFFFFF"/>
            </w:tcBorders>
            <w:shd w:val="clear" w:color="000000" w:fill="F2F2F2"/>
            <w:noWrap/>
            <w:vAlign w:val="center"/>
          </w:tcPr>
          <w:p w14:paraId="078CAF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4226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DBC3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0D8FC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F668F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C962B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0F32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0990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F111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4B1B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70B7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31F2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33EE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587E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E78C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A12D3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511B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5A924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D7B4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2ACC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ED54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C271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91B5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E619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658B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9BB5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8BB9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5029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5695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4A9D8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E57A8E"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89B7FEB"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4F30F0E9"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FCAD7B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Checks on persons or vehicles</w:t>
            </w:r>
          </w:p>
        </w:tc>
        <w:tc>
          <w:tcPr>
            <w:tcW w:w="113" w:type="pct"/>
            <w:tcBorders>
              <w:top w:val="nil"/>
              <w:left w:val="nil"/>
              <w:bottom w:val="single" w:sz="8" w:space="0" w:color="FFFFFF"/>
              <w:right w:val="single" w:sz="8" w:space="0" w:color="FFFFFF"/>
            </w:tcBorders>
            <w:shd w:val="clear" w:color="000000" w:fill="F2F2F2"/>
            <w:noWrap/>
            <w:vAlign w:val="center"/>
          </w:tcPr>
          <w:p w14:paraId="13C17D0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E5C2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6427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4898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60A66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172A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BB720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7628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F0102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B87F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503C0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EA0C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CDF39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AFDC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BBFA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1735D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E7D5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5F169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7440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E5ED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CEA3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74AB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F06B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593A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20B6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18BA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A5D8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8152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4998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27AFA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F76F58"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9774222"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350F2561"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396FD54"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Police intelligence</w:t>
            </w:r>
          </w:p>
        </w:tc>
        <w:tc>
          <w:tcPr>
            <w:tcW w:w="113" w:type="pct"/>
            <w:tcBorders>
              <w:top w:val="nil"/>
              <w:left w:val="nil"/>
              <w:bottom w:val="single" w:sz="8" w:space="0" w:color="FFFFFF"/>
              <w:right w:val="single" w:sz="8" w:space="0" w:color="FFFFFF"/>
            </w:tcBorders>
            <w:shd w:val="clear" w:color="000000" w:fill="F2F2F2"/>
            <w:noWrap/>
            <w:vAlign w:val="center"/>
          </w:tcPr>
          <w:p w14:paraId="72813B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2D2DD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81DA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95F1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589C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F7E8A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9F0BE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9755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CB655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9F9F9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DF7E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051D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4548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082C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ACC1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C7D53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E699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FA8C1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1E75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893F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5A20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A976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36A2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14F0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4B1F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12FB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3A60D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A1BE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205A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E4CAA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3821D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2A77128B"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63926B8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119CDA3"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Preparation of plans and coordination of search measures and the initiation of emergency searches</w:t>
            </w:r>
          </w:p>
        </w:tc>
        <w:tc>
          <w:tcPr>
            <w:tcW w:w="113" w:type="pct"/>
            <w:tcBorders>
              <w:top w:val="nil"/>
              <w:left w:val="nil"/>
              <w:bottom w:val="single" w:sz="8" w:space="0" w:color="FFFFFF"/>
              <w:right w:val="single" w:sz="8" w:space="0" w:color="FFFFFF"/>
            </w:tcBorders>
            <w:shd w:val="clear" w:color="000000" w:fill="F2F2F2"/>
            <w:noWrap/>
            <w:vAlign w:val="center"/>
          </w:tcPr>
          <w:p w14:paraId="75F2A0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F341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370E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3905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8ACB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AA72B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A29CF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0FFEC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2714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4EC9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9877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340F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36F7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BB44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3B28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68EED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45D0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54D4E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1BF37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FB0C7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E5D7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78F1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CF26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FBD7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7880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BEB55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2C1A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0009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6C8A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008DA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C2004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33912DAF"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1729406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33371B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Tracing the origins of goods, particularly weapons</w:t>
            </w:r>
          </w:p>
        </w:tc>
        <w:tc>
          <w:tcPr>
            <w:tcW w:w="113" w:type="pct"/>
            <w:tcBorders>
              <w:top w:val="nil"/>
              <w:left w:val="nil"/>
              <w:bottom w:val="single" w:sz="8" w:space="0" w:color="FFFFFF"/>
              <w:right w:val="single" w:sz="8" w:space="0" w:color="FFFFFF"/>
            </w:tcBorders>
            <w:shd w:val="clear" w:color="000000" w:fill="F2F2F2"/>
            <w:noWrap/>
            <w:vAlign w:val="center"/>
          </w:tcPr>
          <w:p w14:paraId="679EF7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8667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3375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C3B80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BFB9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32FDB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FBE3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5EDB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04A3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20A2C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4E96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0F4E9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9DF7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2B2BE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3F31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F5CCD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4E55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638E1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2173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54E3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AF32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C34ED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91BF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75CE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74E6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CBEE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9742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EB1E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EC8F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F3E4D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20B36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258FC299"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48219751"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4975FB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Issuing urgent alerts on arms and explosives and alerts on currency counterfeiting and securities fraud</w:t>
            </w:r>
          </w:p>
        </w:tc>
        <w:tc>
          <w:tcPr>
            <w:tcW w:w="113" w:type="pct"/>
            <w:tcBorders>
              <w:top w:val="nil"/>
              <w:left w:val="nil"/>
              <w:bottom w:val="single" w:sz="8" w:space="0" w:color="FFFFFF"/>
              <w:right w:val="single" w:sz="8" w:space="0" w:color="FFFFFF"/>
            </w:tcBorders>
            <w:shd w:val="clear" w:color="000000" w:fill="F2F2F2"/>
            <w:noWrap/>
            <w:vAlign w:val="center"/>
          </w:tcPr>
          <w:p w14:paraId="5E3FDC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2EF7F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0964B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692D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5FBA9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2A76A5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BA778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BA37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CF9C6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52F99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E2430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7737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A8F1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35B4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C4B44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E9D3F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9075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DF30E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8435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B00F2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569E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FF26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7A83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50AED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F46E00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0D6F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6DA8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F62E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6259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F12AF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D8E351"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D956A7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11365118"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BB6DA96"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Information on implementation of cross-border surveillance, hot pursuit and controlled deliveries</w:t>
            </w:r>
          </w:p>
        </w:tc>
        <w:tc>
          <w:tcPr>
            <w:tcW w:w="113" w:type="pct"/>
            <w:tcBorders>
              <w:top w:val="nil"/>
              <w:left w:val="nil"/>
              <w:bottom w:val="single" w:sz="8" w:space="0" w:color="FFFFFF"/>
              <w:right w:val="single" w:sz="8" w:space="0" w:color="FFFFFF"/>
            </w:tcBorders>
            <w:shd w:val="clear" w:color="000000" w:fill="F2F2F2"/>
            <w:noWrap/>
            <w:vAlign w:val="center"/>
          </w:tcPr>
          <w:p w14:paraId="40EC96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5160E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FE4B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984E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30E363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3426B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61FAB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FE9B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D99BF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E4ED7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B6FA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AE10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7B724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12F0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97A8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A19F4F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D6C48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A3E35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AA78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DB43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C58E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FF76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6AB1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23B9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96B0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FC62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59CF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871A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0EF2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689D0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1F015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083F40C"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6686045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BD1CC6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Individuals checked by police forces in the course of duty</w:t>
            </w:r>
          </w:p>
        </w:tc>
        <w:tc>
          <w:tcPr>
            <w:tcW w:w="113" w:type="pct"/>
            <w:tcBorders>
              <w:top w:val="nil"/>
              <w:left w:val="nil"/>
              <w:bottom w:val="single" w:sz="8" w:space="0" w:color="FFFFFF"/>
              <w:right w:val="single" w:sz="8" w:space="0" w:color="FFFFFF"/>
            </w:tcBorders>
            <w:shd w:val="clear" w:color="000000" w:fill="F2F2F2"/>
            <w:noWrap/>
            <w:vAlign w:val="center"/>
          </w:tcPr>
          <w:p w14:paraId="6A9A63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F0C3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80DD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B3D0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5CA8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C294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C43E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A3B9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80D45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3583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0317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B2EE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7299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F76C6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9C57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AE03B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46E9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685E8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28BE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259D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06B3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22C1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6DC0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81AB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97A7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0AC3C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061D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9A77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D90B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FA57C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9B99FC"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E6F150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0A353C74"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E610E77"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Individuals who are the subject of judicial measures</w:t>
            </w:r>
          </w:p>
        </w:tc>
        <w:tc>
          <w:tcPr>
            <w:tcW w:w="113" w:type="pct"/>
            <w:tcBorders>
              <w:top w:val="nil"/>
              <w:left w:val="nil"/>
              <w:bottom w:val="single" w:sz="8" w:space="0" w:color="FFFFFF"/>
              <w:right w:val="single" w:sz="8" w:space="0" w:color="FFFFFF"/>
            </w:tcBorders>
            <w:shd w:val="clear" w:color="000000" w:fill="F2F2F2"/>
            <w:noWrap/>
            <w:vAlign w:val="center"/>
          </w:tcPr>
          <w:p w14:paraId="2C74C0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F87D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01DB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4827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61B12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AAFB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8B06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186F4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15497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4AFD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ECA9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4129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E677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8DDD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8A24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BB2A9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2D16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CC60C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D804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40A7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6F38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DA4D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E0AE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80C6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5DC0B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B6A4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D032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28D8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F542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B00BD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7BB32F"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295DC67"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0113C6B7"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75CEA3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Individuals who have committed an administrative violation</w:t>
            </w:r>
          </w:p>
        </w:tc>
        <w:tc>
          <w:tcPr>
            <w:tcW w:w="113" w:type="pct"/>
            <w:tcBorders>
              <w:top w:val="nil"/>
              <w:left w:val="nil"/>
              <w:bottom w:val="single" w:sz="8" w:space="0" w:color="FFFFFF"/>
              <w:right w:val="single" w:sz="8" w:space="0" w:color="FFFFFF"/>
            </w:tcBorders>
            <w:shd w:val="clear" w:color="000000" w:fill="F2F2F2"/>
            <w:noWrap/>
            <w:vAlign w:val="center"/>
          </w:tcPr>
          <w:p w14:paraId="0292CD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4D6E9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C31B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EFE9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4CF62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30EBE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BD4D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5D79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11765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A839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BCF0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C528A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8BBD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F3EF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2FC9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55777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7967B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30F36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9B67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E8F9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AB78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445C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95EE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DE5B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76CC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9FAC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B45F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D1F1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3152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827FB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E1825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1652C9C8"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0471599E"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EBB11C6"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Third-country nationals subject to an expulsion order or ordered to leave the national territory</w:t>
            </w:r>
          </w:p>
        </w:tc>
        <w:tc>
          <w:tcPr>
            <w:tcW w:w="113" w:type="pct"/>
            <w:tcBorders>
              <w:top w:val="nil"/>
              <w:left w:val="nil"/>
              <w:bottom w:val="single" w:sz="8" w:space="0" w:color="FFFFFF"/>
              <w:right w:val="single" w:sz="8" w:space="0" w:color="FFFFFF"/>
            </w:tcBorders>
            <w:shd w:val="clear" w:color="000000" w:fill="F2F2F2"/>
            <w:noWrap/>
            <w:vAlign w:val="center"/>
          </w:tcPr>
          <w:p w14:paraId="19A5DB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D287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9C6F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754B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E1B0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C3C23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20E3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B4634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0551CC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1A45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D918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7BF0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BADA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F4BF2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A000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850B9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EEF3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902C8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D209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C24B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CF11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E5F1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077BB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7310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5C58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C631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7103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9B50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68EA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3062F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540D40"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68D43DD"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14F1EA6B"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B87BE3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Owners of vehicles, documents involved in crime, lost or found</w:t>
            </w:r>
          </w:p>
        </w:tc>
        <w:tc>
          <w:tcPr>
            <w:tcW w:w="113" w:type="pct"/>
            <w:tcBorders>
              <w:top w:val="nil"/>
              <w:left w:val="nil"/>
              <w:bottom w:val="single" w:sz="8" w:space="0" w:color="FFFFFF"/>
              <w:right w:val="single" w:sz="8" w:space="0" w:color="FFFFFF"/>
            </w:tcBorders>
            <w:shd w:val="clear" w:color="000000" w:fill="F2F2F2"/>
            <w:noWrap/>
            <w:vAlign w:val="center"/>
          </w:tcPr>
          <w:p w14:paraId="719835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50A3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A18F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0A4C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29B7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8266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90ED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EDF1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753E6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8AF1E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1302C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159A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D5F7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67D04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1601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837D2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84C0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FDEEA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DFE6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A01D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A18E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DD64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7139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B9ED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7C7FE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732C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7A7A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CC304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8599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05451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D928E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3F03EEEE"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15CD536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FBAC91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Individuals holding, buying, selling, storing or transporting weapons on or from national territory</w:t>
            </w:r>
          </w:p>
        </w:tc>
        <w:tc>
          <w:tcPr>
            <w:tcW w:w="113" w:type="pct"/>
            <w:tcBorders>
              <w:top w:val="nil"/>
              <w:left w:val="nil"/>
              <w:bottom w:val="single" w:sz="8" w:space="0" w:color="FFFFFF"/>
              <w:right w:val="single" w:sz="8" w:space="0" w:color="FFFFFF"/>
            </w:tcBorders>
            <w:shd w:val="clear" w:color="000000" w:fill="F2F2F2"/>
            <w:noWrap/>
            <w:vAlign w:val="center"/>
          </w:tcPr>
          <w:p w14:paraId="5BC03B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B7DC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8448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D7D2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BA7C8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ED2AE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8D29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8DC6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F1299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78830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AFA4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42A9C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7837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1F5D4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F1E2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08E89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2DB6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FBA99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A2AF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2797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FB86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6214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C929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5395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9369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4A60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53A7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57EA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C2E1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F41CD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691C6E"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1D74682D"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008BA07"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104593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European individuals holding a work permit</w:t>
            </w:r>
          </w:p>
        </w:tc>
        <w:tc>
          <w:tcPr>
            <w:tcW w:w="113" w:type="pct"/>
            <w:tcBorders>
              <w:top w:val="nil"/>
              <w:left w:val="nil"/>
              <w:bottom w:val="single" w:sz="8" w:space="0" w:color="FFFFFF"/>
              <w:right w:val="single" w:sz="8" w:space="0" w:color="FFFFFF"/>
            </w:tcBorders>
            <w:shd w:val="clear" w:color="000000" w:fill="F2F2F2"/>
            <w:noWrap/>
            <w:vAlign w:val="center"/>
          </w:tcPr>
          <w:p w14:paraId="1EDFC7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EC09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4355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2BCC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C5490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42E68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8939B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B87D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DA27DD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C38A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19913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8B1B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A090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C45F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8804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633D1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E6A3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723FA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4ECC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02AB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7C41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D766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79EA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2927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D794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6E35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05E0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84AE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39B5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6FA21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F66603"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1BB4540A"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2BA76BA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9D599C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Individuals who are the subject of a foreign arrest warrant</w:t>
            </w:r>
          </w:p>
        </w:tc>
        <w:tc>
          <w:tcPr>
            <w:tcW w:w="113" w:type="pct"/>
            <w:tcBorders>
              <w:top w:val="nil"/>
              <w:left w:val="nil"/>
              <w:bottom w:val="single" w:sz="8" w:space="0" w:color="FFFFFF"/>
              <w:right w:val="single" w:sz="8" w:space="0" w:color="FFFFFF"/>
            </w:tcBorders>
            <w:shd w:val="clear" w:color="000000" w:fill="F2F2F2"/>
            <w:noWrap/>
            <w:vAlign w:val="center"/>
          </w:tcPr>
          <w:p w14:paraId="327A1F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21DC6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6549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CE8B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9C9C7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CF271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BFD4F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D830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63D84E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C40D8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AB9E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DDB3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C307E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B6825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645E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67C63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F080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175F1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4B2D6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EEA1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ABBE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A8E6B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A759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21D3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B8D8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5500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FC02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E5DF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B9CE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32BB7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263363"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78E5D8A"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31225FE9"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50D9842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Individuals banned from sporting events</w:t>
            </w:r>
          </w:p>
        </w:tc>
        <w:tc>
          <w:tcPr>
            <w:tcW w:w="113" w:type="pct"/>
            <w:tcBorders>
              <w:top w:val="nil"/>
              <w:left w:val="nil"/>
              <w:bottom w:val="single" w:sz="8" w:space="0" w:color="FFFFFF"/>
              <w:right w:val="single" w:sz="8" w:space="0" w:color="FFFFFF"/>
            </w:tcBorders>
            <w:shd w:val="clear" w:color="000000" w:fill="F2F2F2"/>
            <w:noWrap/>
            <w:vAlign w:val="center"/>
          </w:tcPr>
          <w:p w14:paraId="43B016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554A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1968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CCA9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92BA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B07E1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6705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5CF5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03B6E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30FE0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22339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22292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4822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56F5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03BA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A1D7F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B406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D6F8C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5CE4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A5C7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DE83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5711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3A91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E66D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0793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A7C9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DF6F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C6E7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9FDF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03CD2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6693D0"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2416090"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B6713E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EC6413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Spouses of individuals involved in crimes</w:t>
            </w:r>
          </w:p>
        </w:tc>
        <w:tc>
          <w:tcPr>
            <w:tcW w:w="113" w:type="pct"/>
            <w:tcBorders>
              <w:top w:val="nil"/>
              <w:left w:val="nil"/>
              <w:bottom w:val="single" w:sz="8" w:space="0" w:color="FFFFFF"/>
              <w:right w:val="single" w:sz="8" w:space="0" w:color="FFFFFF"/>
            </w:tcBorders>
            <w:shd w:val="clear" w:color="000000" w:fill="F2F2F2"/>
            <w:noWrap/>
            <w:vAlign w:val="center"/>
          </w:tcPr>
          <w:p w14:paraId="66BFBC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B27A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0F2F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B0E3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253E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E1B6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91E91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B1D2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4DC2E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E46C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F1EC4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7812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B6A84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607D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C1CA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58973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0E39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DB9C2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6B50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EFE4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1B23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1F9A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7CE7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CF32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CE74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64941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5BB6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8402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72E2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9680C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AFFB2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35438C38"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07230ED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C72D99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Persons found dead</w:t>
            </w:r>
          </w:p>
        </w:tc>
        <w:tc>
          <w:tcPr>
            <w:tcW w:w="113" w:type="pct"/>
            <w:tcBorders>
              <w:top w:val="nil"/>
              <w:left w:val="nil"/>
              <w:bottom w:val="single" w:sz="8" w:space="0" w:color="FFFFFF"/>
              <w:right w:val="single" w:sz="8" w:space="0" w:color="FFFFFF"/>
            </w:tcBorders>
            <w:shd w:val="clear" w:color="000000" w:fill="F2F2F2"/>
            <w:noWrap/>
            <w:vAlign w:val="center"/>
          </w:tcPr>
          <w:p w14:paraId="1D1310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5DE5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2FC0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0662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0B48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6E806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E4B4D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9E81E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18F67F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376D3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A075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6CA0A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0647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E986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EBD5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A5732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4B49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94A0C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C174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9F83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83E1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5C66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DF41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CF4D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CA5C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4226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CF6E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C1E5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94DB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DC75C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32EA84"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05BA70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12D33C91"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6FDCFA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Search due to administrative measures</w:t>
            </w:r>
          </w:p>
        </w:tc>
        <w:tc>
          <w:tcPr>
            <w:tcW w:w="113" w:type="pct"/>
            <w:tcBorders>
              <w:top w:val="nil"/>
              <w:left w:val="nil"/>
              <w:bottom w:val="single" w:sz="8" w:space="0" w:color="FFFFFF"/>
              <w:right w:val="single" w:sz="8" w:space="0" w:color="FFFFFF"/>
            </w:tcBorders>
            <w:shd w:val="clear" w:color="000000" w:fill="F2F2F2"/>
            <w:noWrap/>
            <w:vAlign w:val="center"/>
          </w:tcPr>
          <w:p w14:paraId="32135F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C364B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EF39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6F15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8890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2268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11DC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3803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1DE2C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369F7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3DAF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8970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B21F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5D7A9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355A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DCDC6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3D36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95979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9E8B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535A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BA09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FB87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998C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C10C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0E92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0E3E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8941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A2ED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72706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F4F06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A8B488"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1422B700"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69CB5C41"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CC737AE"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Police station buildings management</w:t>
            </w:r>
          </w:p>
        </w:tc>
        <w:tc>
          <w:tcPr>
            <w:tcW w:w="113" w:type="pct"/>
            <w:tcBorders>
              <w:top w:val="nil"/>
              <w:left w:val="nil"/>
              <w:bottom w:val="single" w:sz="8" w:space="0" w:color="FFFFFF"/>
              <w:right w:val="single" w:sz="8" w:space="0" w:color="FFFFFF"/>
            </w:tcBorders>
            <w:shd w:val="clear" w:color="000000" w:fill="F2F2F2"/>
            <w:noWrap/>
            <w:vAlign w:val="center"/>
          </w:tcPr>
          <w:p w14:paraId="11AFE0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355A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CE7F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04B6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D4CF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1DA0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6B4B1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FC9F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28765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5D1A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CF44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8C2F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81910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ABAA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C5EA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BB956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26E3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EEACB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9A49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F330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8759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7260B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EF502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6547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7B37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1A59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7EEED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0CF0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F835B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D6BB8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83493E"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F9D8A31"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6F1A09E"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99F1D6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Latent fingerprints and DNA databases</w:t>
            </w:r>
          </w:p>
        </w:tc>
        <w:tc>
          <w:tcPr>
            <w:tcW w:w="113" w:type="pct"/>
            <w:tcBorders>
              <w:top w:val="nil"/>
              <w:left w:val="nil"/>
              <w:bottom w:val="single" w:sz="8" w:space="0" w:color="FFFFFF"/>
              <w:right w:val="single" w:sz="8" w:space="0" w:color="FFFFFF"/>
            </w:tcBorders>
            <w:shd w:val="clear" w:color="000000" w:fill="F2F2F2"/>
            <w:noWrap/>
            <w:vAlign w:val="center"/>
          </w:tcPr>
          <w:p w14:paraId="2836DE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F205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BB53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6CE2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29C5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7B33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8263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624B6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97F18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CF60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B3D70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74DB4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B1F48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2EA4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7B28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1BFBE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FA25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E837C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554F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CF30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9228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1A93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A2AF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2EB7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31BB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FAA8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202F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C9BB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32A9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64920E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3B74B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DF97B07"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45B3A79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EABCEE0"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Third-country nationals who have applied for asylum</w:t>
            </w:r>
          </w:p>
        </w:tc>
        <w:tc>
          <w:tcPr>
            <w:tcW w:w="113" w:type="pct"/>
            <w:tcBorders>
              <w:top w:val="nil"/>
              <w:left w:val="nil"/>
              <w:bottom w:val="single" w:sz="8" w:space="0" w:color="FFFFFF"/>
              <w:right w:val="single" w:sz="8" w:space="0" w:color="FFFFFF"/>
            </w:tcBorders>
            <w:shd w:val="clear" w:color="000000" w:fill="F2F2F2"/>
            <w:noWrap/>
            <w:vAlign w:val="center"/>
          </w:tcPr>
          <w:p w14:paraId="102C3C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C16B4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27E3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3E6C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DCD5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709FE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850C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C4644D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2ECBBC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1CB6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D85DEE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3C3FA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07CA3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8D68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F42D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978C9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DC66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760B8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9644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DB80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D45E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47F3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57CCC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656E2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2CDF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75ED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1AE5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EDA1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6499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85FAD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82FCAC"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1243936"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64AC459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830C63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'Prisoners on leave' database</w:t>
            </w:r>
          </w:p>
        </w:tc>
        <w:tc>
          <w:tcPr>
            <w:tcW w:w="113" w:type="pct"/>
            <w:tcBorders>
              <w:top w:val="nil"/>
              <w:left w:val="nil"/>
              <w:bottom w:val="single" w:sz="8" w:space="0" w:color="FFFFFF"/>
              <w:right w:val="single" w:sz="8" w:space="0" w:color="FFFFFF"/>
            </w:tcBorders>
            <w:shd w:val="clear" w:color="000000" w:fill="F2F2F2"/>
            <w:noWrap/>
            <w:vAlign w:val="center"/>
          </w:tcPr>
          <w:p w14:paraId="2231D4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CA296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484E5C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6EE7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A35B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02E5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3043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95BD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4F9A5C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E445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4487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17A6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16475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EA7B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9509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394CC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8175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7828E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6B2A4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E50DF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A223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2B5C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7CB9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E5BE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BC45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D4FB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B6F2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8F8F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6EE6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D95FF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71153A"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348387F"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5C71585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FF6897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Previous histories of natural and legal persons who have committed customs offences</w:t>
            </w:r>
          </w:p>
        </w:tc>
        <w:tc>
          <w:tcPr>
            <w:tcW w:w="113" w:type="pct"/>
            <w:tcBorders>
              <w:top w:val="nil"/>
              <w:left w:val="nil"/>
              <w:bottom w:val="single" w:sz="8" w:space="0" w:color="FFFFFF"/>
              <w:right w:val="single" w:sz="8" w:space="0" w:color="FFFFFF"/>
            </w:tcBorders>
            <w:shd w:val="clear" w:color="000000" w:fill="F2F2F2"/>
            <w:noWrap/>
            <w:vAlign w:val="center"/>
          </w:tcPr>
          <w:p w14:paraId="7003C13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183C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E5A0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3A9B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A7893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BF18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1024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A5C24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BEB04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17CB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E9F8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BE9A4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49A9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E0AB3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9769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ABE5E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46CA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AC1C2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63ED7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D75A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A968B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2264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6937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75F7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A9F69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65D8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3136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0B26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D950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7F477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9B7B38"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FD2FE4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1A6D5D8"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356A8C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Data collected from submissions to the PHAROS platform for reporting unlawful conduct online</w:t>
            </w:r>
          </w:p>
        </w:tc>
        <w:tc>
          <w:tcPr>
            <w:tcW w:w="113" w:type="pct"/>
            <w:tcBorders>
              <w:top w:val="nil"/>
              <w:left w:val="nil"/>
              <w:bottom w:val="single" w:sz="8" w:space="0" w:color="FFFFFF"/>
              <w:right w:val="single" w:sz="8" w:space="0" w:color="FFFFFF"/>
            </w:tcBorders>
            <w:shd w:val="clear" w:color="000000" w:fill="F2F2F2"/>
            <w:noWrap/>
            <w:vAlign w:val="center"/>
          </w:tcPr>
          <w:p w14:paraId="2E964D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2865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C2CB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0F9F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96028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909AD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363BB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2627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D139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A97A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CB26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578B3A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35847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AED1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97B6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C3946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C5CC0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D4417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4624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FABE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66FA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ADFA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70ED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47B2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A76D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129F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6C66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99A0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AA58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F0CF1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9F75E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67AD76A"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2667C4A9"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866C59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Database of minor offences</w:t>
            </w:r>
          </w:p>
        </w:tc>
        <w:tc>
          <w:tcPr>
            <w:tcW w:w="113" w:type="pct"/>
            <w:tcBorders>
              <w:top w:val="nil"/>
              <w:left w:val="nil"/>
              <w:bottom w:val="single" w:sz="8" w:space="0" w:color="FFFFFF"/>
              <w:right w:val="single" w:sz="8" w:space="0" w:color="FFFFFF"/>
            </w:tcBorders>
            <w:shd w:val="clear" w:color="000000" w:fill="F2F2F2"/>
            <w:noWrap/>
            <w:vAlign w:val="center"/>
          </w:tcPr>
          <w:p w14:paraId="09B711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1774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CAED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11014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F60B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2752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186B7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3F1D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5641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00914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5858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noWrap/>
            <w:vAlign w:val="center"/>
          </w:tcPr>
          <w:p w14:paraId="333F18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ACD9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020D8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178C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D86DA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7997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8A631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BA39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3F75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8B72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BC87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A0B2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E145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235E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E510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C273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C64B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5575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B7DD49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5134A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75E441C"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102FA7A"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75F03CBE"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Previous enquiries – who has enquired on an entity</w:t>
            </w:r>
          </w:p>
        </w:tc>
        <w:tc>
          <w:tcPr>
            <w:tcW w:w="113" w:type="pct"/>
            <w:tcBorders>
              <w:top w:val="nil"/>
              <w:left w:val="nil"/>
              <w:bottom w:val="single" w:sz="8" w:space="0" w:color="FFFFFF"/>
              <w:right w:val="single" w:sz="8" w:space="0" w:color="FFFFFF"/>
            </w:tcBorders>
            <w:shd w:val="clear" w:color="000000" w:fill="F2F2F2"/>
            <w:noWrap/>
            <w:vAlign w:val="center"/>
          </w:tcPr>
          <w:p w14:paraId="1C572B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2AC0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E204E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7F89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FD9125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A093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C3DF8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07A23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BB20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DD894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8B759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FFE6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462D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F3B18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9314D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3679F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63E4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850CC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ED47D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F163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772F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5EC1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3B59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F508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6158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8D27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2C77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008D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366E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94AE5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6553C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F4CD136"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21DFE722"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A500FE3"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Personal information on individuals interacting with LEAs – i.e. address, phone numbers, etc.</w:t>
            </w:r>
          </w:p>
        </w:tc>
        <w:tc>
          <w:tcPr>
            <w:tcW w:w="113" w:type="pct"/>
            <w:tcBorders>
              <w:top w:val="nil"/>
              <w:left w:val="nil"/>
              <w:bottom w:val="single" w:sz="8" w:space="0" w:color="FFFFFF"/>
              <w:right w:val="single" w:sz="8" w:space="0" w:color="FFFFFF"/>
            </w:tcBorders>
            <w:shd w:val="clear" w:color="000000" w:fill="F2F2F2"/>
            <w:noWrap/>
            <w:vAlign w:val="center"/>
          </w:tcPr>
          <w:p w14:paraId="0C7E2A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F3C71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DA5D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3AB9E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7FAA5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B42C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C1489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EAB8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9AE52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F9BCB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6D6F8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00EB8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CAB9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F38CA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0C87D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68DFF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8910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550E0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BD0A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3F6D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4B4F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38B5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9832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D1EA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2FC7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145E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7D2B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E9A9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13BA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6DE90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634CB2"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33821EAF"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1B801C6A"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5B2C8B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Taxation, income and wealth data</w:t>
            </w:r>
          </w:p>
        </w:tc>
        <w:tc>
          <w:tcPr>
            <w:tcW w:w="113" w:type="pct"/>
            <w:tcBorders>
              <w:top w:val="nil"/>
              <w:left w:val="nil"/>
              <w:bottom w:val="single" w:sz="8" w:space="0" w:color="FFFFFF"/>
              <w:right w:val="single" w:sz="8" w:space="0" w:color="FFFFFF"/>
            </w:tcBorders>
            <w:shd w:val="clear" w:color="000000" w:fill="F2F2F2"/>
            <w:noWrap/>
            <w:vAlign w:val="center"/>
          </w:tcPr>
          <w:p w14:paraId="56CBB5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00979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7B4E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73EE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A35D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5687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A709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2129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3F5F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94B9C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4B666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934D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21B63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BF0C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5502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B4B5D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4077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53C2C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9703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7EC4B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64E43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7212D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4AAC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BE4E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DACE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32D8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9F18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6B37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4DE4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F3F302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2857D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04BE81A4"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0235C5C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CCECBF4"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Customs auditing reports etc.</w:t>
            </w:r>
          </w:p>
        </w:tc>
        <w:tc>
          <w:tcPr>
            <w:tcW w:w="113" w:type="pct"/>
            <w:tcBorders>
              <w:top w:val="nil"/>
              <w:left w:val="nil"/>
              <w:bottom w:val="single" w:sz="8" w:space="0" w:color="FFFFFF"/>
              <w:right w:val="single" w:sz="8" w:space="0" w:color="FFFFFF"/>
            </w:tcBorders>
            <w:shd w:val="clear" w:color="000000" w:fill="F2F2F2"/>
            <w:noWrap/>
            <w:vAlign w:val="center"/>
          </w:tcPr>
          <w:p w14:paraId="447301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FAEB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71D907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3CF5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1A35D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548E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E7B1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9EC7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245FE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52C5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C684C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47EA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9EADE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61C0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2A52D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1B9DF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B465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D9815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8094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DD15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DA194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C439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D710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9803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DD70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37808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4B58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E92A1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5CB6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1DB05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74390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27BC69DB"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176EC1D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3F07D17"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Probation service client management system</w:t>
            </w:r>
          </w:p>
        </w:tc>
        <w:tc>
          <w:tcPr>
            <w:tcW w:w="113" w:type="pct"/>
            <w:tcBorders>
              <w:top w:val="nil"/>
              <w:left w:val="nil"/>
              <w:bottom w:val="single" w:sz="8" w:space="0" w:color="FFFFFF"/>
              <w:right w:val="single" w:sz="8" w:space="0" w:color="FFFFFF"/>
            </w:tcBorders>
            <w:shd w:val="clear" w:color="000000" w:fill="F2F2F2"/>
            <w:noWrap/>
            <w:vAlign w:val="center"/>
          </w:tcPr>
          <w:p w14:paraId="1BFBBE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C797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177D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44AB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66DA8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CDA1A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49A9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2FAAA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56797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2201C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0465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A5B9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D5E7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0C03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DD12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C1925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BD114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EFCC77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7E00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6E1F1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4F852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7703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E0CB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FE82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F091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FDC9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F2469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F9FC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4C86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1D34D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499802"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C594311"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40FC1C7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F0E0BD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Register of preventive measures</w:t>
            </w:r>
          </w:p>
        </w:tc>
        <w:tc>
          <w:tcPr>
            <w:tcW w:w="113" w:type="pct"/>
            <w:tcBorders>
              <w:top w:val="nil"/>
              <w:left w:val="nil"/>
              <w:bottom w:val="single" w:sz="8" w:space="0" w:color="FFFFFF"/>
              <w:right w:val="single" w:sz="8" w:space="0" w:color="FFFFFF"/>
            </w:tcBorders>
            <w:shd w:val="clear" w:color="000000" w:fill="F2F2F2"/>
            <w:noWrap/>
            <w:vAlign w:val="center"/>
          </w:tcPr>
          <w:p w14:paraId="28E962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6219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7F12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F89BB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7AC7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C4AE5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582A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6928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3DDC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4CE2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96E7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4D67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68CD91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4700B4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6DCC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44B5A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E1F1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BFB32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EDD0C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12DE9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5CD8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F0BE7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C874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C38FA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E0EA4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879B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72C4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EFE9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DBE1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96139A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1EE5E9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0B092C9"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34ABCE82"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2DD977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Register of wanted motor vehicles</w:t>
            </w:r>
          </w:p>
        </w:tc>
        <w:tc>
          <w:tcPr>
            <w:tcW w:w="113" w:type="pct"/>
            <w:tcBorders>
              <w:top w:val="nil"/>
              <w:left w:val="nil"/>
              <w:bottom w:val="single" w:sz="8" w:space="0" w:color="FFFFFF"/>
              <w:right w:val="single" w:sz="8" w:space="0" w:color="FFFFFF"/>
            </w:tcBorders>
            <w:shd w:val="clear" w:color="000000" w:fill="F2F2F2"/>
            <w:noWrap/>
            <w:vAlign w:val="center"/>
          </w:tcPr>
          <w:p w14:paraId="2A078E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EE2B9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E530B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8A64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932C7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10E5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317C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9419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98858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47AC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ABE86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A331B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BD79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D91C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42CBF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3C06D9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38F5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C209A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9C4AA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C3DB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C2C2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AB46F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CE55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B720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6219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F86C0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9B5A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E372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A858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255D9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81B23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49EA1A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D127FEA"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E1E1CC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Register of wanted numeric objects</w:t>
            </w:r>
          </w:p>
        </w:tc>
        <w:tc>
          <w:tcPr>
            <w:tcW w:w="113" w:type="pct"/>
            <w:tcBorders>
              <w:top w:val="nil"/>
              <w:left w:val="nil"/>
              <w:bottom w:val="single" w:sz="8" w:space="0" w:color="FFFFFF"/>
              <w:right w:val="single" w:sz="8" w:space="0" w:color="FFFFFF"/>
            </w:tcBorders>
            <w:shd w:val="clear" w:color="000000" w:fill="F2F2F2"/>
            <w:noWrap/>
            <w:vAlign w:val="center"/>
          </w:tcPr>
          <w:p w14:paraId="2441F58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75E9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7C84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E89F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2C64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1CAF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81F0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F3BE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AE8E52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ACC6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64D4C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E7CE3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82802A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FA44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1C93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85828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1D86F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CCF46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6CFE9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2B6D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0B74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780E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DB93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A355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0EE6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5A786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E84F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3942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B27C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E5BB7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9DECF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898E83E"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02A5A410"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9C23BB4"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Register of undesirable persons</w:t>
            </w:r>
          </w:p>
        </w:tc>
        <w:tc>
          <w:tcPr>
            <w:tcW w:w="113" w:type="pct"/>
            <w:tcBorders>
              <w:top w:val="nil"/>
              <w:left w:val="nil"/>
              <w:bottom w:val="single" w:sz="8" w:space="0" w:color="FFFFFF"/>
              <w:right w:val="single" w:sz="8" w:space="0" w:color="FFFFFF"/>
            </w:tcBorders>
            <w:shd w:val="clear" w:color="000000" w:fill="F2F2F2"/>
            <w:noWrap/>
            <w:vAlign w:val="center"/>
          </w:tcPr>
          <w:p w14:paraId="3B7940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A9A6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5A2E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C319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5C4ED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C553D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32F6C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D5A9B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7FCA8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D4881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751D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0877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D448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ECD2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745E7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FD867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FCD1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D009C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B6F08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B31EC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B1CA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EC3F8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11512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6384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E611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49AD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8189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900D2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54A9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4048A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4DB151"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89837E7"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61BA6421"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793B921"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Persons under special protection</w:t>
            </w:r>
          </w:p>
        </w:tc>
        <w:tc>
          <w:tcPr>
            <w:tcW w:w="113" w:type="pct"/>
            <w:tcBorders>
              <w:top w:val="nil"/>
              <w:left w:val="nil"/>
              <w:bottom w:val="single" w:sz="8" w:space="0" w:color="FFFFFF"/>
              <w:right w:val="single" w:sz="8" w:space="0" w:color="FFFFFF"/>
            </w:tcBorders>
            <w:shd w:val="clear" w:color="000000" w:fill="F2F2F2"/>
            <w:noWrap/>
            <w:vAlign w:val="center"/>
          </w:tcPr>
          <w:p w14:paraId="6931ED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62AFB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3FB666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9376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4333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2DF3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0D910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259DD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9284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E8CA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CA3867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694F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B151E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4AD3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AB02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C979B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3E61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737DB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F2B9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ED5DF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E63B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7C62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2E2E2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1C71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35A5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19DE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7ED86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3FA7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07D9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D1E54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AC4748"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0F3790CB"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03ECD18"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6A04285"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National police system</w:t>
            </w:r>
          </w:p>
        </w:tc>
        <w:tc>
          <w:tcPr>
            <w:tcW w:w="113" w:type="pct"/>
            <w:tcBorders>
              <w:top w:val="nil"/>
              <w:left w:val="nil"/>
              <w:bottom w:val="single" w:sz="8" w:space="0" w:color="FFFFFF"/>
              <w:right w:val="single" w:sz="8" w:space="0" w:color="FFFFFF"/>
            </w:tcBorders>
            <w:shd w:val="clear" w:color="000000" w:fill="F2F2F2"/>
            <w:noWrap/>
            <w:vAlign w:val="center"/>
          </w:tcPr>
          <w:p w14:paraId="0D24BD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59291B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EC88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421A9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041E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03AB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CEA8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5304F7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648E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1B1EB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1B07E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E288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A44D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D341F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9C47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D6D11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3765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43133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988D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6EBC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533F5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0B1EC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B9D4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0D2B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4A71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F5830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AF97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56D6E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07FBA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F1560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28E0FF"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54C6EAD"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67C54E0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44F014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Europol index system</w:t>
            </w:r>
          </w:p>
        </w:tc>
        <w:tc>
          <w:tcPr>
            <w:tcW w:w="113" w:type="pct"/>
            <w:tcBorders>
              <w:top w:val="nil"/>
              <w:left w:val="nil"/>
              <w:bottom w:val="single" w:sz="8" w:space="0" w:color="FFFFFF"/>
              <w:right w:val="single" w:sz="8" w:space="0" w:color="FFFFFF"/>
            </w:tcBorders>
            <w:shd w:val="clear" w:color="000000" w:fill="F2F2F2"/>
            <w:noWrap/>
            <w:vAlign w:val="center"/>
          </w:tcPr>
          <w:p w14:paraId="55F139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2BE7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55D2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6970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13AE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21F28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7144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4708FB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D46A9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CFAF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91D3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16468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05DDB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173B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573E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C1596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3725B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5AE977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F5ED6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A23A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B3BA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1F46A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8B2D0A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FC8D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D170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E1BE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68F1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06F7B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5B58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36188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ABFD62"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424831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6B2F393E"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74EA854"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False and Authentic Document Online</w:t>
            </w:r>
          </w:p>
        </w:tc>
        <w:tc>
          <w:tcPr>
            <w:tcW w:w="113" w:type="pct"/>
            <w:tcBorders>
              <w:top w:val="nil"/>
              <w:left w:val="nil"/>
              <w:bottom w:val="single" w:sz="8" w:space="0" w:color="FFFFFF"/>
              <w:right w:val="single" w:sz="8" w:space="0" w:color="FFFFFF"/>
            </w:tcBorders>
            <w:shd w:val="clear" w:color="000000" w:fill="F2F2F2"/>
            <w:noWrap/>
            <w:vAlign w:val="center"/>
          </w:tcPr>
          <w:p w14:paraId="3F9C4C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3BF7D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A0E8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11A7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95664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25E5C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9139F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D6AD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6CCB5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64D10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8E08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EC7C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646C5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9E17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F6BE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DE769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C431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EB53A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8805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24554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B68A0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DDA32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DB60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0199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D7B48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90BF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119C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BB31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57D7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33FF1B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DB88FA"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D22CD69"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41C006A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DB3E25B"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Persons regardes as public order violators (location bans)</w:t>
            </w:r>
          </w:p>
        </w:tc>
        <w:tc>
          <w:tcPr>
            <w:tcW w:w="113" w:type="pct"/>
            <w:tcBorders>
              <w:top w:val="nil"/>
              <w:left w:val="nil"/>
              <w:bottom w:val="single" w:sz="8" w:space="0" w:color="FFFFFF"/>
              <w:right w:val="single" w:sz="8" w:space="0" w:color="FFFFFF"/>
            </w:tcBorders>
            <w:shd w:val="clear" w:color="000000" w:fill="F2F2F2"/>
            <w:noWrap/>
            <w:vAlign w:val="center"/>
          </w:tcPr>
          <w:p w14:paraId="48FF87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DEB62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3424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6E731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42B0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67027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B284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8314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AF41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78DE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007A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6C83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1EFFF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26F9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3AA11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5438D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A9C13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A66A4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EAEEE0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EEE5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E740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A663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364CEC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1CB5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87DBA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6948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40E20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0A40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4F0E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CE34A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9CBE85"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0645E071"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331C8FA5"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7ECBDF99"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Database of current investigations</w:t>
            </w:r>
          </w:p>
        </w:tc>
        <w:tc>
          <w:tcPr>
            <w:tcW w:w="113" w:type="pct"/>
            <w:tcBorders>
              <w:top w:val="nil"/>
              <w:left w:val="nil"/>
              <w:bottom w:val="single" w:sz="8" w:space="0" w:color="FFFFFF"/>
              <w:right w:val="single" w:sz="8" w:space="0" w:color="FFFFFF"/>
            </w:tcBorders>
            <w:shd w:val="clear" w:color="000000" w:fill="F2F2F2"/>
            <w:noWrap/>
            <w:vAlign w:val="center"/>
          </w:tcPr>
          <w:p w14:paraId="6E4DF3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90FB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08F5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B6AFB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D7FA9D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5A2827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673799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0BE9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0F58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ACAAB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17FF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FAB0D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040852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641BC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E1D59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CCB4F0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EA4A0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C9E10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6F989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1C317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A361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8D7A49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3D2908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0014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E1455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D1384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0CDDE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E0148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804D3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4C1E3BF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EEA960"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4E4A861"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4CE30404"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69BF70D3"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Unidentified persons</w:t>
            </w:r>
          </w:p>
        </w:tc>
        <w:tc>
          <w:tcPr>
            <w:tcW w:w="113" w:type="pct"/>
            <w:tcBorders>
              <w:top w:val="nil"/>
              <w:left w:val="nil"/>
              <w:bottom w:val="single" w:sz="8" w:space="0" w:color="FFFFFF"/>
              <w:right w:val="single" w:sz="8" w:space="0" w:color="FFFFFF"/>
            </w:tcBorders>
            <w:shd w:val="clear" w:color="000000" w:fill="F2F2F2"/>
            <w:noWrap/>
            <w:vAlign w:val="center"/>
          </w:tcPr>
          <w:p w14:paraId="70583E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457D5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B752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D550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8C08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31C4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44FE94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B58F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4397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09B3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3D6E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6C7C8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68B0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044A9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535C84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B50ED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AECA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EA10F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D31F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66D1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88CD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3E78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9F3B5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9B4BD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5CEB8A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8F4A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28A8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CE727F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F4B12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83C11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7D5B1B"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B1CD9F9"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5AB3D66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C1DF049"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Driving bans</w:t>
            </w:r>
          </w:p>
        </w:tc>
        <w:tc>
          <w:tcPr>
            <w:tcW w:w="113" w:type="pct"/>
            <w:tcBorders>
              <w:top w:val="nil"/>
              <w:left w:val="nil"/>
              <w:bottom w:val="single" w:sz="8" w:space="0" w:color="FFFFFF"/>
              <w:right w:val="single" w:sz="8" w:space="0" w:color="FFFFFF"/>
            </w:tcBorders>
            <w:shd w:val="clear" w:color="000000" w:fill="F2F2F2"/>
            <w:noWrap/>
            <w:vAlign w:val="center"/>
          </w:tcPr>
          <w:p w14:paraId="6397EA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0828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20BF0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12443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CF86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65CA14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AA31A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E2C0E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2C05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DB94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CEA66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76A5D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68318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E61D0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872E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1FEE49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A9376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64268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CC028A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E3B5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4AE4A5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660A5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A7DB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89E4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D0EBC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5E184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D62E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C065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138D9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12AC4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0B98288"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17D17CF7"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0DFD232E"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03478D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Controlled purchase, sale or seizure of material goods</w:t>
            </w:r>
          </w:p>
        </w:tc>
        <w:tc>
          <w:tcPr>
            <w:tcW w:w="113" w:type="pct"/>
            <w:tcBorders>
              <w:top w:val="nil"/>
              <w:left w:val="nil"/>
              <w:bottom w:val="single" w:sz="8" w:space="0" w:color="FFFFFF"/>
              <w:right w:val="single" w:sz="8" w:space="0" w:color="FFFFFF"/>
            </w:tcBorders>
            <w:shd w:val="clear" w:color="000000" w:fill="F2F2F2"/>
            <w:noWrap/>
            <w:vAlign w:val="center"/>
          </w:tcPr>
          <w:p w14:paraId="380BD6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930A78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A985E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6B81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1454FF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B19781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B200D0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79F97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07D8C0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71641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1ADDF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9C22B5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0678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847188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84196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8D061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399C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629766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AFA08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AE89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D162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B443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8748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E6DB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D78E7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6840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6F43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7DE94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86B50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77F023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9DD597"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0C17F420"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64C60977"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33B4DF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Organised crime groups</w:t>
            </w:r>
          </w:p>
        </w:tc>
        <w:tc>
          <w:tcPr>
            <w:tcW w:w="113" w:type="pct"/>
            <w:tcBorders>
              <w:top w:val="nil"/>
              <w:left w:val="nil"/>
              <w:bottom w:val="single" w:sz="8" w:space="0" w:color="FFFFFF"/>
              <w:right w:val="single" w:sz="8" w:space="0" w:color="FFFFFF"/>
            </w:tcBorders>
            <w:shd w:val="clear" w:color="000000" w:fill="F2F2F2"/>
            <w:noWrap/>
            <w:vAlign w:val="center"/>
          </w:tcPr>
          <w:p w14:paraId="552BB8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458B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BFE444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8ECEF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A755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F98C1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2486D5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9688A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0457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AAD74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B4E461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4E41A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DE9DAE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F7EA8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2564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A8788E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C9B75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2F7DE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20ED3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C39EAD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4F418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369FA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3B327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F2915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6BF50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7476EC0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4908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D724F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B2AA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A3AE0E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FD39EF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4874745"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4D9AE3F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C660D8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Real property/land register</w:t>
            </w:r>
          </w:p>
        </w:tc>
        <w:tc>
          <w:tcPr>
            <w:tcW w:w="113" w:type="pct"/>
            <w:tcBorders>
              <w:top w:val="nil"/>
              <w:left w:val="nil"/>
              <w:bottom w:val="single" w:sz="8" w:space="0" w:color="FFFFFF"/>
              <w:right w:val="single" w:sz="8" w:space="0" w:color="FFFFFF"/>
            </w:tcBorders>
            <w:shd w:val="clear" w:color="000000" w:fill="F2F2F2"/>
            <w:noWrap/>
            <w:vAlign w:val="center"/>
          </w:tcPr>
          <w:p w14:paraId="12227C3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0051B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0994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A1D8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508FD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02926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EB6D4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707F7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7A39A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A69F5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DF10FF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3FED13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1AD44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F2FCF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42CA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56367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84FAD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5974C2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50D2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FAC29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ABD04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6353A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8E33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36111D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DF571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C20FD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A6EE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065B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F34E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161EE31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9FB0728"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6E4E5189"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0DB94957"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4A28437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Registration forms/data on foreign tourists from accommodation establishments</w:t>
            </w:r>
          </w:p>
        </w:tc>
        <w:tc>
          <w:tcPr>
            <w:tcW w:w="113" w:type="pct"/>
            <w:tcBorders>
              <w:top w:val="nil"/>
              <w:left w:val="nil"/>
              <w:bottom w:val="single" w:sz="8" w:space="0" w:color="FFFFFF"/>
              <w:right w:val="single" w:sz="8" w:space="0" w:color="FFFFFF"/>
            </w:tcBorders>
            <w:shd w:val="clear" w:color="000000" w:fill="F2F2F2"/>
            <w:noWrap/>
            <w:vAlign w:val="center"/>
          </w:tcPr>
          <w:p w14:paraId="05B1D43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2266E7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76784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4847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4F5E1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D8C74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26228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AC87A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80A33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A694B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8115E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3335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294D0F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2225D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B6C4D7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44E53E4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93E8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A5B23C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78BA8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978A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79EC91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9507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54DBB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B7D706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4D8A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7CD698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E5675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5D63E9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2C9EF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25DA6D3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79C1BB6"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ADFFB52"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547B0224"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83F4C33"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Injunctions database: persons banned to leave the locality or not allowed to travel to certain localities</w:t>
            </w:r>
          </w:p>
        </w:tc>
        <w:tc>
          <w:tcPr>
            <w:tcW w:w="113" w:type="pct"/>
            <w:tcBorders>
              <w:top w:val="nil"/>
              <w:left w:val="nil"/>
              <w:bottom w:val="single" w:sz="8" w:space="0" w:color="FFFFFF"/>
              <w:right w:val="single" w:sz="8" w:space="0" w:color="FFFFFF"/>
            </w:tcBorders>
            <w:shd w:val="clear" w:color="000000" w:fill="F2F2F2"/>
            <w:noWrap/>
            <w:vAlign w:val="center"/>
          </w:tcPr>
          <w:p w14:paraId="4F5AFF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115C7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B9739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8147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A9B6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6D52AE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ADBFED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CC61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FD4FF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56476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FE8E2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9A0C73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082AC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5EEAC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0622B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513C66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43DDF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67A8451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6F922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475D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8D713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E209C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314C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24CBB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4B46F5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1FD1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4A74AF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0F2B2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B6C6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3DB632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2770152"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4A7A64D4"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7DE2783"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0E0DF2DA"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'Banking fraud' database: persons suspected of having committed offences against banking system</w:t>
            </w:r>
          </w:p>
        </w:tc>
        <w:tc>
          <w:tcPr>
            <w:tcW w:w="113" w:type="pct"/>
            <w:tcBorders>
              <w:top w:val="nil"/>
              <w:left w:val="nil"/>
              <w:bottom w:val="single" w:sz="8" w:space="0" w:color="FFFFFF"/>
              <w:right w:val="single" w:sz="8" w:space="0" w:color="FFFFFF"/>
            </w:tcBorders>
            <w:shd w:val="clear" w:color="000000" w:fill="F2F2F2"/>
            <w:noWrap/>
            <w:vAlign w:val="center"/>
          </w:tcPr>
          <w:p w14:paraId="482A4B8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9FFB3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764F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ADEEEA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76CF2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9F57A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97066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828E2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389B4E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EE4A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4B593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4ECEA4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FE412B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BADB78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267F00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7870C3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8F6554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D337E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77CE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E3728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51F6EA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1E4CA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1317F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0786C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2CA021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ABF13F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F6E66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504FE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91579C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57ED979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0DE5772"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CCDA274"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7FBDA92"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209EB1AC"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Digital facial recognition</w:t>
            </w:r>
          </w:p>
        </w:tc>
        <w:tc>
          <w:tcPr>
            <w:tcW w:w="113" w:type="pct"/>
            <w:tcBorders>
              <w:top w:val="nil"/>
              <w:left w:val="nil"/>
              <w:bottom w:val="single" w:sz="8" w:space="0" w:color="FFFFFF"/>
              <w:right w:val="single" w:sz="8" w:space="0" w:color="FFFFFF"/>
            </w:tcBorders>
            <w:shd w:val="clear" w:color="000000" w:fill="F2F2F2"/>
            <w:noWrap/>
            <w:vAlign w:val="center"/>
          </w:tcPr>
          <w:p w14:paraId="0312C85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29B5AB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F3D40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11B090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37267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CB8EE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360E6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7D47BF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A54D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98FE23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E62A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BF583C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4CCC1A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E2E207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A1998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048ABC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97D0DD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D88752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7032BA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FAEF21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5898A2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88616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B272F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94752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03FCE6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ADDEFC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5F438A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D2A930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556C75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D2A01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8DAA6D"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18CFD3C5"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5E108C4C"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13FD011D"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Information on address and accommodation</w:t>
            </w:r>
          </w:p>
        </w:tc>
        <w:tc>
          <w:tcPr>
            <w:tcW w:w="113" w:type="pct"/>
            <w:tcBorders>
              <w:top w:val="nil"/>
              <w:left w:val="nil"/>
              <w:bottom w:val="single" w:sz="8" w:space="0" w:color="FFFFFF"/>
              <w:right w:val="single" w:sz="8" w:space="0" w:color="FFFFFF"/>
            </w:tcBorders>
            <w:shd w:val="clear" w:color="000000" w:fill="F2F2F2"/>
            <w:noWrap/>
            <w:vAlign w:val="center"/>
          </w:tcPr>
          <w:p w14:paraId="6C20629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7234E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563A4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AAFAF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0E1E56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52AE6D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9E62C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E3CA04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6DD24B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CD5B2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4D272F7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55824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273127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39930A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6EB8DE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5B04CC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77D86E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5ACBF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F3D858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639395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C5933D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525ACC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161E5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A3858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345C93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744CF3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5CD7B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18B10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94C49A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4EB1C1D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1467185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521DD8BC"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45A20F46"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3BE31DF2"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Customs databases relating to the intracommunity delivery of goods</w:t>
            </w:r>
          </w:p>
        </w:tc>
        <w:tc>
          <w:tcPr>
            <w:tcW w:w="113" w:type="pct"/>
            <w:tcBorders>
              <w:top w:val="nil"/>
              <w:left w:val="nil"/>
              <w:bottom w:val="single" w:sz="8" w:space="0" w:color="FFFFFF"/>
              <w:right w:val="single" w:sz="8" w:space="0" w:color="FFFFFF"/>
            </w:tcBorders>
            <w:shd w:val="clear" w:color="000000" w:fill="F2F2F2"/>
            <w:noWrap/>
            <w:vAlign w:val="center"/>
          </w:tcPr>
          <w:p w14:paraId="13009AB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93B409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12A5F0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18BD4B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C6CA6D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F49FDB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49848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17A99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D2F65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F41C05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187DE91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163AC1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57CE941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B1377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4ED26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8EFAC4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5DB2008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10CC27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31C99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B360345"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2285B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15535C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CFC3F3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4124F30"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D74CA6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486269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9833FD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B35759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CED3B8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002060"/>
          </w:tcPr>
          <w:p w14:paraId="7411BF2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67DF0079"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712222E8"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774A41D2" w14:textId="77777777" w:rsidTr="00611F6B">
        <w:trPr>
          <w:trHeight w:val="20"/>
        </w:trPr>
        <w:tc>
          <w:tcPr>
            <w:tcW w:w="1399" w:type="pct"/>
            <w:tcBorders>
              <w:top w:val="nil"/>
              <w:left w:val="single" w:sz="8" w:space="0" w:color="FFFFFF"/>
              <w:bottom w:val="single" w:sz="8" w:space="0" w:color="FFFFFF"/>
              <w:right w:val="single" w:sz="8" w:space="0" w:color="FFFFFF"/>
            </w:tcBorders>
            <w:shd w:val="clear" w:color="000000" w:fill="F2F2F2"/>
            <w:noWrap/>
            <w:vAlign w:val="center"/>
            <w:hideMark/>
          </w:tcPr>
          <w:p w14:paraId="7530C6F8"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Documentation of telecommunications monitoring</w:t>
            </w:r>
          </w:p>
        </w:tc>
        <w:tc>
          <w:tcPr>
            <w:tcW w:w="113" w:type="pct"/>
            <w:tcBorders>
              <w:top w:val="nil"/>
              <w:left w:val="nil"/>
              <w:bottom w:val="single" w:sz="8" w:space="0" w:color="FFFFFF"/>
              <w:right w:val="single" w:sz="8" w:space="0" w:color="FFFFFF"/>
            </w:tcBorders>
            <w:shd w:val="clear" w:color="000000" w:fill="F2F2F2"/>
            <w:noWrap/>
            <w:vAlign w:val="center"/>
          </w:tcPr>
          <w:p w14:paraId="6B4E106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2CD91B0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FEE0DD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A95E373"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3436D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3CC4D12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597B4A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7F975EF"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82E0574"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893EC6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0DE0631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4471E82"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676A4C4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noWrap/>
            <w:vAlign w:val="center"/>
          </w:tcPr>
          <w:p w14:paraId="73FDEF2D"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FCD7CF1"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393F237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6402DB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808080"/>
            <w:vAlign w:val="center"/>
          </w:tcPr>
          <w:p w14:paraId="2726F37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1C56ED3B"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DD7B17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6C03BE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77C72206"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D712BDA"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69AC24C8"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C0BFDA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430E9FD9"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231719CE"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002060"/>
            <w:vAlign w:val="center"/>
          </w:tcPr>
          <w:p w14:paraId="4845C2B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374C8A67"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nil"/>
            </w:tcBorders>
            <w:shd w:val="clear" w:color="000000" w:fill="F2F2F2"/>
          </w:tcPr>
          <w:p w14:paraId="0E665EAC" w14:textId="77777777" w:rsidR="0050053D" w:rsidRPr="00A10E01" w:rsidRDefault="0050053D" w:rsidP="0050053D">
            <w:pPr>
              <w:rPr>
                <w:rFonts w:ascii="Verdana" w:hAnsi="Verdana"/>
                <w:noProof/>
                <w:sz w:val="12"/>
                <w:szCs w:val="12"/>
              </w:rPr>
            </w:pPr>
          </w:p>
        </w:tc>
        <w:tc>
          <w:tcPr>
            <w:tcW w:w="113" w:type="pct"/>
            <w:tcBorders>
              <w:top w:val="nil"/>
              <w:left w:val="nil"/>
              <w:bottom w:val="single" w:sz="8" w:space="0" w:color="FFFFFF"/>
              <w:right w:val="single" w:sz="8" w:space="0" w:color="FFFFFF"/>
            </w:tcBorders>
            <w:shd w:val="clear" w:color="000000" w:fill="F2F2F2"/>
            <w:vAlign w:val="center"/>
          </w:tcPr>
          <w:p w14:paraId="084AAA61"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FCFCFF"/>
            <w:noWrap/>
            <w:vAlign w:val="center"/>
            <w:hideMark/>
          </w:tcPr>
          <w:p w14:paraId="33770010" w14:textId="77777777" w:rsidR="0050053D" w:rsidRPr="00A10E01" w:rsidRDefault="0050053D" w:rsidP="0050053D">
            <w:pPr>
              <w:rPr>
                <w:rFonts w:ascii="Verdana" w:hAnsi="Verdana"/>
                <w:noProof/>
                <w:sz w:val="12"/>
                <w:szCs w:val="12"/>
              </w:rPr>
            </w:pPr>
            <w:r w:rsidRPr="00A10E01">
              <w:rPr>
                <w:rFonts w:ascii="Verdana" w:hAnsi="Verdana"/>
                <w:noProof/>
                <w:sz w:val="12"/>
                <w:szCs w:val="12"/>
              </w:rPr>
              <w:t>1</w:t>
            </w:r>
          </w:p>
        </w:tc>
      </w:tr>
      <w:tr w:rsidR="00F5634E" w:rsidRPr="00A10E01" w14:paraId="53DCCE12" w14:textId="77777777" w:rsidTr="00611F6B">
        <w:trPr>
          <w:trHeight w:val="20"/>
        </w:trPr>
        <w:tc>
          <w:tcPr>
            <w:tcW w:w="1399" w:type="pct"/>
            <w:tcBorders>
              <w:top w:val="nil"/>
              <w:left w:val="single" w:sz="8" w:space="0" w:color="FFFFFF"/>
              <w:bottom w:val="nil"/>
              <w:right w:val="single" w:sz="8" w:space="0" w:color="FFFFFF"/>
            </w:tcBorders>
            <w:shd w:val="clear" w:color="000000" w:fill="000000"/>
            <w:noWrap/>
            <w:vAlign w:val="center"/>
            <w:hideMark/>
          </w:tcPr>
          <w:p w14:paraId="76CC1796" w14:textId="77777777" w:rsidR="0050053D" w:rsidRPr="00B33628" w:rsidRDefault="0050053D" w:rsidP="0050053D">
            <w:pPr>
              <w:rPr>
                <w:rFonts w:ascii="Verdana" w:hAnsi="Verdana"/>
                <w:b/>
                <w:bCs/>
                <w:noProof/>
                <w:sz w:val="12"/>
                <w:szCs w:val="12"/>
              </w:rPr>
            </w:pPr>
            <w:r w:rsidRPr="00B33628">
              <w:rPr>
                <w:rFonts w:ascii="Verdana" w:hAnsi="Verdana"/>
                <w:b/>
                <w:bCs/>
                <w:noProof/>
                <w:sz w:val="12"/>
                <w:szCs w:val="12"/>
              </w:rPr>
              <w:t>Total</w:t>
            </w:r>
          </w:p>
        </w:tc>
        <w:tc>
          <w:tcPr>
            <w:tcW w:w="113" w:type="pct"/>
            <w:tcBorders>
              <w:top w:val="nil"/>
              <w:left w:val="nil"/>
              <w:bottom w:val="nil"/>
              <w:right w:val="nil"/>
            </w:tcBorders>
            <w:shd w:val="clear" w:color="000000" w:fill="D0EAD9"/>
            <w:noWrap/>
            <w:vAlign w:val="center"/>
            <w:hideMark/>
          </w:tcPr>
          <w:p w14:paraId="0EB1D0E7" w14:textId="77777777" w:rsidR="0050053D" w:rsidRPr="00A10E01" w:rsidRDefault="0050053D" w:rsidP="0050053D">
            <w:pPr>
              <w:rPr>
                <w:rFonts w:ascii="Verdana" w:hAnsi="Verdana"/>
                <w:noProof/>
                <w:sz w:val="12"/>
                <w:szCs w:val="12"/>
              </w:rPr>
            </w:pPr>
            <w:r w:rsidRPr="00A10E01">
              <w:rPr>
                <w:rFonts w:ascii="Verdana" w:hAnsi="Verdana"/>
                <w:noProof/>
                <w:sz w:val="12"/>
                <w:szCs w:val="12"/>
              </w:rPr>
              <w:t>9</w:t>
            </w:r>
          </w:p>
        </w:tc>
        <w:tc>
          <w:tcPr>
            <w:tcW w:w="113" w:type="pct"/>
            <w:tcBorders>
              <w:top w:val="nil"/>
              <w:left w:val="nil"/>
              <w:bottom w:val="nil"/>
              <w:right w:val="nil"/>
            </w:tcBorders>
            <w:shd w:val="clear" w:color="000000" w:fill="BCE2C8"/>
            <w:noWrap/>
            <w:vAlign w:val="center"/>
            <w:hideMark/>
          </w:tcPr>
          <w:p w14:paraId="56A7E7B0" w14:textId="77777777" w:rsidR="0050053D" w:rsidRPr="00A10E01" w:rsidRDefault="0050053D" w:rsidP="0050053D">
            <w:pPr>
              <w:rPr>
                <w:rFonts w:ascii="Verdana" w:hAnsi="Verdana"/>
                <w:noProof/>
                <w:sz w:val="12"/>
                <w:szCs w:val="12"/>
              </w:rPr>
            </w:pPr>
            <w:r w:rsidRPr="00A10E01">
              <w:rPr>
                <w:rFonts w:ascii="Verdana" w:hAnsi="Verdana"/>
                <w:noProof/>
                <w:sz w:val="12"/>
                <w:szCs w:val="12"/>
              </w:rPr>
              <w:t>13</w:t>
            </w:r>
          </w:p>
        </w:tc>
        <w:tc>
          <w:tcPr>
            <w:tcW w:w="113" w:type="pct"/>
            <w:tcBorders>
              <w:top w:val="nil"/>
              <w:left w:val="nil"/>
              <w:bottom w:val="nil"/>
              <w:right w:val="nil"/>
            </w:tcBorders>
            <w:shd w:val="clear" w:color="000000" w:fill="9FD6AF"/>
            <w:noWrap/>
            <w:vAlign w:val="center"/>
            <w:hideMark/>
          </w:tcPr>
          <w:p w14:paraId="02702681" w14:textId="77777777" w:rsidR="0050053D" w:rsidRPr="00A10E01" w:rsidRDefault="0050053D" w:rsidP="0050053D">
            <w:pPr>
              <w:rPr>
                <w:rFonts w:ascii="Verdana" w:hAnsi="Verdana"/>
                <w:noProof/>
                <w:sz w:val="12"/>
                <w:szCs w:val="12"/>
              </w:rPr>
            </w:pPr>
            <w:r w:rsidRPr="00A10E01">
              <w:rPr>
                <w:rFonts w:ascii="Verdana" w:hAnsi="Verdana"/>
                <w:noProof/>
                <w:sz w:val="12"/>
                <w:szCs w:val="12"/>
              </w:rPr>
              <w:t>19</w:t>
            </w:r>
          </w:p>
        </w:tc>
        <w:tc>
          <w:tcPr>
            <w:tcW w:w="113" w:type="pct"/>
            <w:tcBorders>
              <w:top w:val="nil"/>
              <w:left w:val="nil"/>
              <w:bottom w:val="nil"/>
              <w:right w:val="nil"/>
            </w:tcBorders>
            <w:shd w:val="clear" w:color="000000" w:fill="DAEEE2"/>
            <w:noWrap/>
            <w:vAlign w:val="center"/>
            <w:hideMark/>
          </w:tcPr>
          <w:p w14:paraId="2381D4FE" w14:textId="77777777" w:rsidR="0050053D" w:rsidRPr="00A10E01" w:rsidRDefault="0050053D" w:rsidP="0050053D">
            <w:pPr>
              <w:rPr>
                <w:rFonts w:ascii="Verdana" w:hAnsi="Verdana"/>
                <w:noProof/>
                <w:sz w:val="12"/>
                <w:szCs w:val="12"/>
              </w:rPr>
            </w:pPr>
            <w:r w:rsidRPr="00A10E01">
              <w:rPr>
                <w:rFonts w:ascii="Verdana" w:hAnsi="Verdana"/>
                <w:noProof/>
                <w:sz w:val="12"/>
                <w:szCs w:val="12"/>
              </w:rPr>
              <w:t>7</w:t>
            </w:r>
          </w:p>
        </w:tc>
        <w:tc>
          <w:tcPr>
            <w:tcW w:w="113" w:type="pct"/>
            <w:tcBorders>
              <w:top w:val="nil"/>
              <w:left w:val="nil"/>
              <w:bottom w:val="nil"/>
              <w:right w:val="nil"/>
            </w:tcBorders>
            <w:shd w:val="clear" w:color="000000" w:fill="A9DAB7"/>
            <w:noWrap/>
            <w:vAlign w:val="center"/>
            <w:hideMark/>
          </w:tcPr>
          <w:p w14:paraId="46D4DB9C" w14:textId="77777777" w:rsidR="0050053D" w:rsidRPr="00A10E01" w:rsidRDefault="0050053D" w:rsidP="0050053D">
            <w:pPr>
              <w:rPr>
                <w:rFonts w:ascii="Verdana" w:hAnsi="Verdana"/>
                <w:noProof/>
                <w:sz w:val="12"/>
                <w:szCs w:val="12"/>
              </w:rPr>
            </w:pPr>
            <w:r w:rsidRPr="00A10E01">
              <w:rPr>
                <w:rFonts w:ascii="Verdana" w:hAnsi="Verdana"/>
                <w:noProof/>
                <w:sz w:val="12"/>
                <w:szCs w:val="12"/>
              </w:rPr>
              <w:t>17</w:t>
            </w:r>
          </w:p>
        </w:tc>
        <w:tc>
          <w:tcPr>
            <w:tcW w:w="113" w:type="pct"/>
            <w:tcBorders>
              <w:top w:val="nil"/>
              <w:left w:val="nil"/>
              <w:bottom w:val="nil"/>
              <w:right w:val="nil"/>
            </w:tcBorders>
            <w:shd w:val="clear" w:color="000000" w:fill="9AD4AA"/>
            <w:noWrap/>
            <w:vAlign w:val="center"/>
            <w:hideMark/>
          </w:tcPr>
          <w:p w14:paraId="6EF9B727" w14:textId="77777777" w:rsidR="0050053D" w:rsidRPr="00A10E01" w:rsidRDefault="0050053D" w:rsidP="0050053D">
            <w:pPr>
              <w:rPr>
                <w:rFonts w:ascii="Verdana" w:hAnsi="Verdana"/>
                <w:noProof/>
                <w:sz w:val="12"/>
                <w:szCs w:val="12"/>
              </w:rPr>
            </w:pPr>
            <w:r w:rsidRPr="00A10E01">
              <w:rPr>
                <w:rFonts w:ascii="Verdana" w:hAnsi="Verdana"/>
                <w:noProof/>
                <w:sz w:val="12"/>
                <w:szCs w:val="12"/>
              </w:rPr>
              <w:t>20</w:t>
            </w:r>
          </w:p>
        </w:tc>
        <w:tc>
          <w:tcPr>
            <w:tcW w:w="113" w:type="pct"/>
            <w:tcBorders>
              <w:top w:val="nil"/>
              <w:left w:val="nil"/>
              <w:bottom w:val="nil"/>
              <w:right w:val="nil"/>
            </w:tcBorders>
            <w:shd w:val="clear" w:color="000000" w:fill="9FD6AF"/>
            <w:noWrap/>
            <w:vAlign w:val="center"/>
            <w:hideMark/>
          </w:tcPr>
          <w:p w14:paraId="7CF437F1" w14:textId="77777777" w:rsidR="0050053D" w:rsidRPr="00A10E01" w:rsidRDefault="0050053D" w:rsidP="0050053D">
            <w:pPr>
              <w:rPr>
                <w:rFonts w:ascii="Verdana" w:hAnsi="Verdana"/>
                <w:noProof/>
                <w:sz w:val="12"/>
                <w:szCs w:val="12"/>
              </w:rPr>
            </w:pPr>
            <w:r w:rsidRPr="00A10E01">
              <w:rPr>
                <w:rFonts w:ascii="Verdana" w:hAnsi="Verdana"/>
                <w:noProof/>
                <w:sz w:val="12"/>
                <w:szCs w:val="12"/>
              </w:rPr>
              <w:t>19</w:t>
            </w:r>
          </w:p>
        </w:tc>
        <w:tc>
          <w:tcPr>
            <w:tcW w:w="113" w:type="pct"/>
            <w:tcBorders>
              <w:top w:val="nil"/>
              <w:left w:val="nil"/>
              <w:bottom w:val="nil"/>
              <w:right w:val="nil"/>
            </w:tcBorders>
            <w:shd w:val="clear" w:color="000000" w:fill="C6E6D1"/>
            <w:noWrap/>
            <w:vAlign w:val="center"/>
            <w:hideMark/>
          </w:tcPr>
          <w:p w14:paraId="40132498" w14:textId="77777777" w:rsidR="0050053D" w:rsidRPr="00A10E01" w:rsidRDefault="0050053D" w:rsidP="0050053D">
            <w:pPr>
              <w:rPr>
                <w:rFonts w:ascii="Verdana" w:hAnsi="Verdana"/>
                <w:noProof/>
                <w:sz w:val="12"/>
                <w:szCs w:val="12"/>
              </w:rPr>
            </w:pPr>
            <w:r w:rsidRPr="00A10E01">
              <w:rPr>
                <w:rFonts w:ascii="Verdana" w:hAnsi="Verdana"/>
                <w:noProof/>
                <w:sz w:val="12"/>
                <w:szCs w:val="12"/>
              </w:rPr>
              <w:t>11</w:t>
            </w:r>
          </w:p>
        </w:tc>
        <w:tc>
          <w:tcPr>
            <w:tcW w:w="113" w:type="pct"/>
            <w:tcBorders>
              <w:top w:val="nil"/>
              <w:left w:val="nil"/>
              <w:bottom w:val="nil"/>
              <w:right w:val="nil"/>
            </w:tcBorders>
            <w:shd w:val="clear" w:color="000000" w:fill="63BE7B"/>
            <w:noWrap/>
            <w:vAlign w:val="center"/>
            <w:hideMark/>
          </w:tcPr>
          <w:p w14:paraId="396FA16D" w14:textId="77777777" w:rsidR="0050053D" w:rsidRPr="00A10E01" w:rsidRDefault="0050053D" w:rsidP="0050053D">
            <w:pPr>
              <w:rPr>
                <w:rFonts w:ascii="Verdana" w:hAnsi="Verdana"/>
                <w:noProof/>
                <w:sz w:val="12"/>
                <w:szCs w:val="12"/>
              </w:rPr>
            </w:pPr>
            <w:r w:rsidRPr="00A10E01">
              <w:rPr>
                <w:rFonts w:ascii="Verdana" w:hAnsi="Verdana"/>
                <w:noProof/>
                <w:sz w:val="12"/>
                <w:szCs w:val="12"/>
              </w:rPr>
              <w:t>31</w:t>
            </w:r>
          </w:p>
        </w:tc>
        <w:tc>
          <w:tcPr>
            <w:tcW w:w="113" w:type="pct"/>
            <w:tcBorders>
              <w:top w:val="nil"/>
              <w:left w:val="nil"/>
              <w:bottom w:val="nil"/>
              <w:right w:val="nil"/>
            </w:tcBorders>
            <w:shd w:val="clear" w:color="000000" w:fill="D0EAD9"/>
            <w:noWrap/>
            <w:vAlign w:val="center"/>
            <w:hideMark/>
          </w:tcPr>
          <w:p w14:paraId="0A90B402" w14:textId="77777777" w:rsidR="0050053D" w:rsidRPr="00A10E01" w:rsidRDefault="0050053D" w:rsidP="0050053D">
            <w:pPr>
              <w:rPr>
                <w:rFonts w:ascii="Verdana" w:hAnsi="Verdana"/>
                <w:noProof/>
                <w:sz w:val="12"/>
                <w:szCs w:val="12"/>
              </w:rPr>
            </w:pPr>
            <w:r w:rsidRPr="00A10E01">
              <w:rPr>
                <w:rFonts w:ascii="Verdana" w:hAnsi="Verdana"/>
                <w:noProof/>
                <w:sz w:val="12"/>
                <w:szCs w:val="12"/>
              </w:rPr>
              <w:t>9</w:t>
            </w:r>
          </w:p>
        </w:tc>
        <w:tc>
          <w:tcPr>
            <w:tcW w:w="113" w:type="pct"/>
            <w:tcBorders>
              <w:top w:val="nil"/>
              <w:left w:val="nil"/>
              <w:bottom w:val="nil"/>
              <w:right w:val="nil"/>
            </w:tcBorders>
            <w:shd w:val="clear" w:color="000000" w:fill="B7E0C4"/>
            <w:noWrap/>
            <w:vAlign w:val="center"/>
            <w:hideMark/>
          </w:tcPr>
          <w:p w14:paraId="6C56694C" w14:textId="77777777" w:rsidR="0050053D" w:rsidRPr="00A10E01" w:rsidRDefault="0050053D" w:rsidP="0050053D">
            <w:pPr>
              <w:rPr>
                <w:rFonts w:ascii="Verdana" w:hAnsi="Verdana"/>
                <w:noProof/>
                <w:sz w:val="12"/>
                <w:szCs w:val="12"/>
              </w:rPr>
            </w:pPr>
            <w:r w:rsidRPr="00A10E01">
              <w:rPr>
                <w:rFonts w:ascii="Verdana" w:hAnsi="Verdana"/>
                <w:noProof/>
                <w:sz w:val="12"/>
                <w:szCs w:val="12"/>
              </w:rPr>
              <w:t>14</w:t>
            </w:r>
          </w:p>
        </w:tc>
        <w:tc>
          <w:tcPr>
            <w:tcW w:w="113" w:type="pct"/>
            <w:tcBorders>
              <w:top w:val="nil"/>
              <w:left w:val="nil"/>
              <w:bottom w:val="nil"/>
              <w:right w:val="nil"/>
            </w:tcBorders>
            <w:shd w:val="clear" w:color="000000" w:fill="B2DEC0"/>
            <w:noWrap/>
            <w:vAlign w:val="center"/>
            <w:hideMark/>
          </w:tcPr>
          <w:p w14:paraId="4A1267C5" w14:textId="77777777" w:rsidR="0050053D" w:rsidRPr="00A10E01" w:rsidRDefault="0050053D" w:rsidP="0050053D">
            <w:pPr>
              <w:rPr>
                <w:rFonts w:ascii="Verdana" w:hAnsi="Verdana"/>
                <w:noProof/>
                <w:sz w:val="12"/>
                <w:szCs w:val="12"/>
              </w:rPr>
            </w:pPr>
            <w:r w:rsidRPr="00A10E01">
              <w:rPr>
                <w:rFonts w:ascii="Verdana" w:hAnsi="Verdana"/>
                <w:noProof/>
                <w:sz w:val="12"/>
                <w:szCs w:val="12"/>
              </w:rPr>
              <w:t>15</w:t>
            </w:r>
          </w:p>
        </w:tc>
        <w:tc>
          <w:tcPr>
            <w:tcW w:w="113" w:type="pct"/>
            <w:tcBorders>
              <w:top w:val="nil"/>
              <w:left w:val="nil"/>
              <w:bottom w:val="nil"/>
              <w:right w:val="nil"/>
            </w:tcBorders>
            <w:shd w:val="clear" w:color="000000" w:fill="BCE2C8"/>
            <w:noWrap/>
            <w:vAlign w:val="center"/>
            <w:hideMark/>
          </w:tcPr>
          <w:p w14:paraId="3F23BE6B" w14:textId="77777777" w:rsidR="0050053D" w:rsidRPr="00A10E01" w:rsidRDefault="0050053D" w:rsidP="0050053D">
            <w:pPr>
              <w:rPr>
                <w:rFonts w:ascii="Verdana" w:hAnsi="Verdana"/>
                <w:noProof/>
                <w:sz w:val="12"/>
                <w:szCs w:val="12"/>
              </w:rPr>
            </w:pPr>
            <w:r w:rsidRPr="00A10E01">
              <w:rPr>
                <w:rFonts w:ascii="Verdana" w:hAnsi="Verdana"/>
                <w:noProof/>
                <w:sz w:val="12"/>
                <w:szCs w:val="12"/>
              </w:rPr>
              <w:t>13</w:t>
            </w:r>
          </w:p>
        </w:tc>
        <w:tc>
          <w:tcPr>
            <w:tcW w:w="113" w:type="pct"/>
            <w:tcBorders>
              <w:top w:val="nil"/>
              <w:left w:val="nil"/>
              <w:bottom w:val="nil"/>
              <w:right w:val="nil"/>
            </w:tcBorders>
            <w:shd w:val="clear" w:color="000000" w:fill="E9F4EE"/>
            <w:noWrap/>
            <w:vAlign w:val="center"/>
            <w:hideMark/>
          </w:tcPr>
          <w:p w14:paraId="594CDE25" w14:textId="77777777" w:rsidR="0050053D" w:rsidRPr="00A10E01" w:rsidRDefault="0050053D" w:rsidP="0050053D">
            <w:pPr>
              <w:rPr>
                <w:rFonts w:ascii="Verdana" w:hAnsi="Verdana"/>
                <w:noProof/>
                <w:sz w:val="12"/>
                <w:szCs w:val="12"/>
              </w:rPr>
            </w:pPr>
            <w:r w:rsidRPr="00A10E01">
              <w:rPr>
                <w:rFonts w:ascii="Verdana" w:hAnsi="Verdana"/>
                <w:noProof/>
                <w:sz w:val="12"/>
                <w:szCs w:val="12"/>
              </w:rPr>
              <w:t>4</w:t>
            </w:r>
          </w:p>
        </w:tc>
        <w:tc>
          <w:tcPr>
            <w:tcW w:w="113" w:type="pct"/>
            <w:tcBorders>
              <w:top w:val="nil"/>
              <w:left w:val="nil"/>
              <w:bottom w:val="nil"/>
              <w:right w:val="nil"/>
            </w:tcBorders>
            <w:shd w:val="clear" w:color="000000" w:fill="DAEEE2"/>
            <w:noWrap/>
            <w:vAlign w:val="center"/>
            <w:hideMark/>
          </w:tcPr>
          <w:p w14:paraId="74F31205" w14:textId="77777777" w:rsidR="0050053D" w:rsidRPr="00A10E01" w:rsidRDefault="0050053D" w:rsidP="0050053D">
            <w:pPr>
              <w:rPr>
                <w:rFonts w:ascii="Verdana" w:hAnsi="Verdana"/>
                <w:noProof/>
                <w:sz w:val="12"/>
                <w:szCs w:val="12"/>
              </w:rPr>
            </w:pPr>
            <w:r w:rsidRPr="00A10E01">
              <w:rPr>
                <w:rFonts w:ascii="Verdana" w:hAnsi="Verdana"/>
                <w:noProof/>
                <w:sz w:val="12"/>
                <w:szCs w:val="12"/>
              </w:rPr>
              <w:t>7</w:t>
            </w:r>
          </w:p>
        </w:tc>
        <w:tc>
          <w:tcPr>
            <w:tcW w:w="113" w:type="pct"/>
            <w:tcBorders>
              <w:top w:val="nil"/>
              <w:left w:val="nil"/>
              <w:bottom w:val="nil"/>
              <w:right w:val="nil"/>
            </w:tcBorders>
            <w:shd w:val="clear" w:color="000000" w:fill="FCFCFF"/>
            <w:noWrap/>
            <w:vAlign w:val="center"/>
            <w:hideMark/>
          </w:tcPr>
          <w:p w14:paraId="2C074F31" w14:textId="77777777" w:rsidR="0050053D" w:rsidRPr="00A10E01" w:rsidRDefault="0050053D" w:rsidP="0050053D">
            <w:pPr>
              <w:rPr>
                <w:rFonts w:ascii="Verdana" w:hAnsi="Verdana"/>
                <w:noProof/>
                <w:sz w:val="12"/>
                <w:szCs w:val="12"/>
              </w:rPr>
            </w:pPr>
            <w:r w:rsidRPr="00A10E01">
              <w:rPr>
                <w:rFonts w:ascii="Verdana" w:hAnsi="Verdana"/>
                <w:noProof/>
                <w:sz w:val="12"/>
                <w:szCs w:val="12"/>
              </w:rPr>
              <w:t>0</w:t>
            </w:r>
          </w:p>
        </w:tc>
        <w:tc>
          <w:tcPr>
            <w:tcW w:w="113" w:type="pct"/>
            <w:tcBorders>
              <w:top w:val="nil"/>
              <w:left w:val="nil"/>
              <w:bottom w:val="nil"/>
              <w:right w:val="nil"/>
            </w:tcBorders>
            <w:shd w:val="clear" w:color="000000" w:fill="EEF6F3"/>
            <w:noWrap/>
            <w:vAlign w:val="center"/>
            <w:hideMark/>
          </w:tcPr>
          <w:p w14:paraId="2F75CA91" w14:textId="77777777" w:rsidR="0050053D" w:rsidRPr="00A10E01" w:rsidRDefault="0050053D" w:rsidP="0050053D">
            <w:pPr>
              <w:rPr>
                <w:rFonts w:ascii="Verdana" w:hAnsi="Verdana"/>
                <w:noProof/>
                <w:sz w:val="12"/>
                <w:szCs w:val="12"/>
              </w:rPr>
            </w:pPr>
            <w:r w:rsidRPr="00A10E01">
              <w:rPr>
                <w:rFonts w:ascii="Verdana" w:hAnsi="Verdana"/>
                <w:noProof/>
                <w:sz w:val="12"/>
                <w:szCs w:val="12"/>
              </w:rPr>
              <w:t>3</w:t>
            </w:r>
          </w:p>
        </w:tc>
        <w:tc>
          <w:tcPr>
            <w:tcW w:w="113" w:type="pct"/>
            <w:tcBorders>
              <w:top w:val="nil"/>
              <w:left w:val="nil"/>
              <w:bottom w:val="nil"/>
              <w:right w:val="nil"/>
            </w:tcBorders>
            <w:shd w:val="clear" w:color="000000" w:fill="FCFCFF"/>
            <w:noWrap/>
            <w:vAlign w:val="center"/>
            <w:hideMark/>
          </w:tcPr>
          <w:p w14:paraId="54E8E641" w14:textId="77777777" w:rsidR="0050053D" w:rsidRPr="00A10E01" w:rsidRDefault="0050053D" w:rsidP="0050053D">
            <w:pPr>
              <w:rPr>
                <w:rFonts w:ascii="Verdana" w:hAnsi="Verdana"/>
                <w:noProof/>
                <w:sz w:val="12"/>
                <w:szCs w:val="12"/>
              </w:rPr>
            </w:pPr>
            <w:r w:rsidRPr="00A10E01">
              <w:rPr>
                <w:rFonts w:ascii="Verdana" w:hAnsi="Verdana"/>
                <w:noProof/>
                <w:sz w:val="12"/>
                <w:szCs w:val="12"/>
              </w:rPr>
              <w:t>0</w:t>
            </w:r>
          </w:p>
        </w:tc>
        <w:tc>
          <w:tcPr>
            <w:tcW w:w="113" w:type="pct"/>
            <w:tcBorders>
              <w:top w:val="nil"/>
              <w:left w:val="nil"/>
              <w:bottom w:val="nil"/>
              <w:right w:val="nil"/>
            </w:tcBorders>
            <w:shd w:val="clear" w:color="000000" w:fill="AEDCBB"/>
            <w:noWrap/>
            <w:vAlign w:val="center"/>
            <w:hideMark/>
          </w:tcPr>
          <w:p w14:paraId="05D633B1" w14:textId="77777777" w:rsidR="0050053D" w:rsidRPr="00A10E01" w:rsidRDefault="0050053D" w:rsidP="0050053D">
            <w:pPr>
              <w:rPr>
                <w:rFonts w:ascii="Verdana" w:hAnsi="Verdana"/>
                <w:noProof/>
                <w:sz w:val="12"/>
                <w:szCs w:val="12"/>
              </w:rPr>
            </w:pPr>
            <w:r w:rsidRPr="00A10E01">
              <w:rPr>
                <w:rFonts w:ascii="Verdana" w:hAnsi="Verdana"/>
                <w:noProof/>
                <w:sz w:val="12"/>
                <w:szCs w:val="12"/>
              </w:rPr>
              <w:t>16</w:t>
            </w:r>
          </w:p>
        </w:tc>
        <w:tc>
          <w:tcPr>
            <w:tcW w:w="113" w:type="pct"/>
            <w:tcBorders>
              <w:top w:val="nil"/>
              <w:left w:val="nil"/>
              <w:bottom w:val="nil"/>
              <w:right w:val="nil"/>
            </w:tcBorders>
            <w:shd w:val="clear" w:color="000000" w:fill="C1E4CC"/>
            <w:noWrap/>
            <w:vAlign w:val="center"/>
            <w:hideMark/>
          </w:tcPr>
          <w:p w14:paraId="0589CC3F" w14:textId="77777777" w:rsidR="0050053D" w:rsidRPr="00A10E01" w:rsidRDefault="0050053D" w:rsidP="0050053D">
            <w:pPr>
              <w:rPr>
                <w:rFonts w:ascii="Verdana" w:hAnsi="Verdana"/>
                <w:noProof/>
                <w:sz w:val="12"/>
                <w:szCs w:val="12"/>
              </w:rPr>
            </w:pPr>
            <w:r w:rsidRPr="00A10E01">
              <w:rPr>
                <w:rFonts w:ascii="Verdana" w:hAnsi="Verdana"/>
                <w:noProof/>
                <w:sz w:val="12"/>
                <w:szCs w:val="12"/>
              </w:rPr>
              <w:t>12</w:t>
            </w:r>
          </w:p>
        </w:tc>
        <w:tc>
          <w:tcPr>
            <w:tcW w:w="113" w:type="pct"/>
            <w:tcBorders>
              <w:top w:val="nil"/>
              <w:left w:val="nil"/>
              <w:bottom w:val="nil"/>
              <w:right w:val="nil"/>
            </w:tcBorders>
            <w:shd w:val="clear" w:color="000000" w:fill="D5ECDD"/>
            <w:noWrap/>
            <w:vAlign w:val="center"/>
            <w:hideMark/>
          </w:tcPr>
          <w:p w14:paraId="126D302E" w14:textId="77777777" w:rsidR="0050053D" w:rsidRPr="00A10E01" w:rsidRDefault="0050053D" w:rsidP="0050053D">
            <w:pPr>
              <w:rPr>
                <w:rFonts w:ascii="Verdana" w:hAnsi="Verdana"/>
                <w:noProof/>
                <w:sz w:val="12"/>
                <w:szCs w:val="12"/>
              </w:rPr>
            </w:pPr>
            <w:r w:rsidRPr="00A10E01">
              <w:rPr>
                <w:rFonts w:ascii="Verdana" w:hAnsi="Verdana"/>
                <w:noProof/>
                <w:sz w:val="12"/>
                <w:szCs w:val="12"/>
              </w:rPr>
              <w:t>8</w:t>
            </w:r>
          </w:p>
        </w:tc>
        <w:tc>
          <w:tcPr>
            <w:tcW w:w="113" w:type="pct"/>
            <w:tcBorders>
              <w:top w:val="nil"/>
              <w:left w:val="nil"/>
              <w:bottom w:val="nil"/>
              <w:right w:val="nil"/>
            </w:tcBorders>
            <w:shd w:val="clear" w:color="000000" w:fill="C6E6D1"/>
            <w:noWrap/>
            <w:vAlign w:val="center"/>
            <w:hideMark/>
          </w:tcPr>
          <w:p w14:paraId="01DE1D65" w14:textId="77777777" w:rsidR="0050053D" w:rsidRPr="00A10E01" w:rsidRDefault="0050053D" w:rsidP="0050053D">
            <w:pPr>
              <w:rPr>
                <w:rFonts w:ascii="Verdana" w:hAnsi="Verdana"/>
                <w:noProof/>
                <w:sz w:val="12"/>
                <w:szCs w:val="12"/>
              </w:rPr>
            </w:pPr>
            <w:r w:rsidRPr="00A10E01">
              <w:rPr>
                <w:rFonts w:ascii="Verdana" w:hAnsi="Verdana"/>
                <w:noProof/>
                <w:sz w:val="12"/>
                <w:szCs w:val="12"/>
              </w:rPr>
              <w:t>11</w:t>
            </w:r>
          </w:p>
        </w:tc>
        <w:tc>
          <w:tcPr>
            <w:tcW w:w="113" w:type="pct"/>
            <w:tcBorders>
              <w:top w:val="nil"/>
              <w:left w:val="nil"/>
              <w:bottom w:val="nil"/>
              <w:right w:val="nil"/>
            </w:tcBorders>
            <w:shd w:val="clear" w:color="000000" w:fill="B2DEC0"/>
            <w:noWrap/>
            <w:vAlign w:val="center"/>
            <w:hideMark/>
          </w:tcPr>
          <w:p w14:paraId="411A6683" w14:textId="77777777" w:rsidR="0050053D" w:rsidRPr="00A10E01" w:rsidRDefault="0050053D" w:rsidP="0050053D">
            <w:pPr>
              <w:rPr>
                <w:rFonts w:ascii="Verdana" w:hAnsi="Verdana"/>
                <w:noProof/>
                <w:sz w:val="12"/>
                <w:szCs w:val="12"/>
              </w:rPr>
            </w:pPr>
            <w:r w:rsidRPr="00A10E01">
              <w:rPr>
                <w:rFonts w:ascii="Verdana" w:hAnsi="Verdana"/>
                <w:noProof/>
                <w:sz w:val="12"/>
                <w:szCs w:val="12"/>
              </w:rPr>
              <w:t>15</w:t>
            </w:r>
          </w:p>
        </w:tc>
        <w:tc>
          <w:tcPr>
            <w:tcW w:w="113" w:type="pct"/>
            <w:tcBorders>
              <w:top w:val="nil"/>
              <w:left w:val="nil"/>
              <w:bottom w:val="nil"/>
              <w:right w:val="nil"/>
            </w:tcBorders>
            <w:shd w:val="clear" w:color="000000" w:fill="CBE8D5"/>
            <w:noWrap/>
            <w:vAlign w:val="center"/>
            <w:hideMark/>
          </w:tcPr>
          <w:p w14:paraId="2CDB799F" w14:textId="77777777" w:rsidR="0050053D" w:rsidRPr="00A10E01" w:rsidRDefault="0050053D" w:rsidP="0050053D">
            <w:pPr>
              <w:rPr>
                <w:rFonts w:ascii="Verdana" w:hAnsi="Verdana"/>
                <w:noProof/>
                <w:sz w:val="12"/>
                <w:szCs w:val="12"/>
              </w:rPr>
            </w:pPr>
            <w:r w:rsidRPr="00A10E01">
              <w:rPr>
                <w:rFonts w:ascii="Verdana" w:hAnsi="Verdana"/>
                <w:noProof/>
                <w:sz w:val="12"/>
                <w:szCs w:val="12"/>
              </w:rPr>
              <w:t>10</w:t>
            </w:r>
          </w:p>
        </w:tc>
        <w:tc>
          <w:tcPr>
            <w:tcW w:w="113" w:type="pct"/>
            <w:tcBorders>
              <w:top w:val="nil"/>
              <w:left w:val="nil"/>
              <w:bottom w:val="nil"/>
              <w:right w:val="nil"/>
            </w:tcBorders>
            <w:shd w:val="clear" w:color="000000" w:fill="A4D8B3"/>
            <w:noWrap/>
            <w:vAlign w:val="center"/>
            <w:hideMark/>
          </w:tcPr>
          <w:p w14:paraId="7AD5A4EC" w14:textId="77777777" w:rsidR="0050053D" w:rsidRPr="00A10E01" w:rsidRDefault="0050053D" w:rsidP="0050053D">
            <w:pPr>
              <w:rPr>
                <w:rFonts w:ascii="Verdana" w:hAnsi="Verdana"/>
                <w:noProof/>
                <w:sz w:val="12"/>
                <w:szCs w:val="12"/>
              </w:rPr>
            </w:pPr>
            <w:r w:rsidRPr="00A10E01">
              <w:rPr>
                <w:rFonts w:ascii="Verdana" w:hAnsi="Verdana"/>
                <w:noProof/>
                <w:sz w:val="12"/>
                <w:szCs w:val="12"/>
              </w:rPr>
              <w:t>18</w:t>
            </w:r>
          </w:p>
        </w:tc>
        <w:tc>
          <w:tcPr>
            <w:tcW w:w="113" w:type="pct"/>
            <w:tcBorders>
              <w:top w:val="nil"/>
              <w:left w:val="nil"/>
              <w:bottom w:val="nil"/>
              <w:right w:val="nil"/>
            </w:tcBorders>
            <w:shd w:val="clear" w:color="000000" w:fill="68C080"/>
            <w:noWrap/>
            <w:vAlign w:val="center"/>
            <w:hideMark/>
          </w:tcPr>
          <w:p w14:paraId="7124DB9B" w14:textId="77777777" w:rsidR="0050053D" w:rsidRPr="00A10E01" w:rsidRDefault="0050053D" w:rsidP="0050053D">
            <w:pPr>
              <w:rPr>
                <w:rFonts w:ascii="Verdana" w:hAnsi="Verdana"/>
                <w:noProof/>
                <w:sz w:val="12"/>
                <w:szCs w:val="12"/>
              </w:rPr>
            </w:pPr>
            <w:r w:rsidRPr="00A10E01">
              <w:rPr>
                <w:rFonts w:ascii="Verdana" w:hAnsi="Verdana"/>
                <w:noProof/>
                <w:sz w:val="12"/>
                <w:szCs w:val="12"/>
              </w:rPr>
              <w:t>30</w:t>
            </w:r>
          </w:p>
        </w:tc>
        <w:tc>
          <w:tcPr>
            <w:tcW w:w="113" w:type="pct"/>
            <w:tcBorders>
              <w:top w:val="nil"/>
              <w:left w:val="nil"/>
              <w:bottom w:val="nil"/>
              <w:right w:val="nil"/>
            </w:tcBorders>
            <w:shd w:val="clear" w:color="000000" w:fill="A9DAB7"/>
            <w:noWrap/>
            <w:vAlign w:val="center"/>
            <w:hideMark/>
          </w:tcPr>
          <w:p w14:paraId="2E09BC7A" w14:textId="77777777" w:rsidR="0050053D" w:rsidRPr="00A10E01" w:rsidRDefault="0050053D" w:rsidP="0050053D">
            <w:pPr>
              <w:rPr>
                <w:rFonts w:ascii="Verdana" w:hAnsi="Verdana"/>
                <w:noProof/>
                <w:sz w:val="12"/>
                <w:szCs w:val="12"/>
              </w:rPr>
            </w:pPr>
            <w:r w:rsidRPr="00A10E01">
              <w:rPr>
                <w:rFonts w:ascii="Verdana" w:hAnsi="Verdana"/>
                <w:noProof/>
                <w:sz w:val="12"/>
                <w:szCs w:val="12"/>
              </w:rPr>
              <w:t>17</w:t>
            </w:r>
          </w:p>
        </w:tc>
        <w:tc>
          <w:tcPr>
            <w:tcW w:w="113" w:type="pct"/>
            <w:tcBorders>
              <w:top w:val="nil"/>
              <w:left w:val="nil"/>
              <w:bottom w:val="nil"/>
              <w:right w:val="nil"/>
            </w:tcBorders>
            <w:shd w:val="clear" w:color="000000" w:fill="68C080"/>
            <w:noWrap/>
            <w:vAlign w:val="center"/>
            <w:hideMark/>
          </w:tcPr>
          <w:p w14:paraId="46904ED7" w14:textId="77777777" w:rsidR="0050053D" w:rsidRPr="00A10E01" w:rsidRDefault="0050053D" w:rsidP="0050053D">
            <w:pPr>
              <w:rPr>
                <w:rFonts w:ascii="Verdana" w:hAnsi="Verdana"/>
                <w:noProof/>
                <w:sz w:val="12"/>
                <w:szCs w:val="12"/>
              </w:rPr>
            </w:pPr>
            <w:r w:rsidRPr="00A10E01">
              <w:rPr>
                <w:rFonts w:ascii="Verdana" w:hAnsi="Verdana"/>
                <w:noProof/>
                <w:sz w:val="12"/>
                <w:szCs w:val="12"/>
              </w:rPr>
              <w:t>30</w:t>
            </w:r>
          </w:p>
        </w:tc>
        <w:tc>
          <w:tcPr>
            <w:tcW w:w="113" w:type="pct"/>
            <w:tcBorders>
              <w:top w:val="nil"/>
              <w:left w:val="nil"/>
              <w:bottom w:val="nil"/>
              <w:right w:val="nil"/>
            </w:tcBorders>
            <w:shd w:val="clear" w:color="000000" w:fill="86CC99"/>
            <w:noWrap/>
            <w:vAlign w:val="center"/>
            <w:hideMark/>
          </w:tcPr>
          <w:p w14:paraId="292D62A0" w14:textId="77777777" w:rsidR="0050053D" w:rsidRPr="00A10E01" w:rsidRDefault="0050053D" w:rsidP="0050053D">
            <w:pPr>
              <w:rPr>
                <w:rFonts w:ascii="Verdana" w:hAnsi="Verdana"/>
                <w:noProof/>
                <w:sz w:val="12"/>
                <w:szCs w:val="12"/>
              </w:rPr>
            </w:pPr>
            <w:r w:rsidRPr="00A10E01">
              <w:rPr>
                <w:rFonts w:ascii="Verdana" w:hAnsi="Verdana"/>
                <w:noProof/>
                <w:sz w:val="12"/>
                <w:szCs w:val="12"/>
              </w:rPr>
              <w:t>24</w:t>
            </w:r>
          </w:p>
        </w:tc>
        <w:tc>
          <w:tcPr>
            <w:tcW w:w="113" w:type="pct"/>
            <w:tcBorders>
              <w:top w:val="nil"/>
              <w:left w:val="nil"/>
              <w:bottom w:val="nil"/>
              <w:right w:val="nil"/>
            </w:tcBorders>
            <w:shd w:val="clear" w:color="000000" w:fill="9AD4AA"/>
          </w:tcPr>
          <w:p w14:paraId="4D2D69C4" w14:textId="77777777" w:rsidR="0050053D" w:rsidRPr="00A10E01" w:rsidRDefault="0050053D" w:rsidP="0050053D">
            <w:pPr>
              <w:rPr>
                <w:rFonts w:ascii="Verdana" w:hAnsi="Verdana"/>
                <w:noProof/>
                <w:sz w:val="12"/>
                <w:szCs w:val="12"/>
              </w:rPr>
            </w:pPr>
          </w:p>
        </w:tc>
        <w:tc>
          <w:tcPr>
            <w:tcW w:w="113" w:type="pct"/>
            <w:tcBorders>
              <w:top w:val="nil"/>
              <w:left w:val="nil"/>
              <w:bottom w:val="nil"/>
              <w:right w:val="nil"/>
            </w:tcBorders>
            <w:shd w:val="clear" w:color="000000" w:fill="9AD4AA"/>
            <w:noWrap/>
            <w:vAlign w:val="center"/>
            <w:hideMark/>
          </w:tcPr>
          <w:p w14:paraId="623F75A5" w14:textId="77777777" w:rsidR="0050053D" w:rsidRPr="00A10E01" w:rsidRDefault="0050053D" w:rsidP="0050053D">
            <w:pPr>
              <w:rPr>
                <w:rFonts w:ascii="Verdana" w:hAnsi="Verdana"/>
                <w:noProof/>
                <w:sz w:val="12"/>
                <w:szCs w:val="12"/>
              </w:rPr>
            </w:pPr>
            <w:r w:rsidRPr="00A10E01">
              <w:rPr>
                <w:rFonts w:ascii="Verdana" w:hAnsi="Verdana"/>
                <w:noProof/>
                <w:sz w:val="12"/>
                <w:szCs w:val="12"/>
              </w:rPr>
              <w:t>20</w:t>
            </w:r>
          </w:p>
        </w:tc>
        <w:tc>
          <w:tcPr>
            <w:tcW w:w="113" w:type="pct"/>
            <w:tcBorders>
              <w:top w:val="nil"/>
              <w:left w:val="nil"/>
              <w:bottom w:val="nil"/>
              <w:right w:val="nil"/>
            </w:tcBorders>
            <w:shd w:val="clear" w:color="auto" w:fill="auto"/>
            <w:noWrap/>
            <w:vAlign w:val="center"/>
            <w:hideMark/>
          </w:tcPr>
          <w:p w14:paraId="379114EE" w14:textId="77777777" w:rsidR="0050053D" w:rsidRPr="00A10E01" w:rsidRDefault="0050053D" w:rsidP="0050053D">
            <w:pPr>
              <w:rPr>
                <w:rFonts w:ascii="Verdana" w:hAnsi="Verdana"/>
                <w:noProof/>
                <w:sz w:val="12"/>
                <w:szCs w:val="12"/>
              </w:rPr>
            </w:pPr>
          </w:p>
        </w:tc>
      </w:tr>
    </w:tbl>
    <w:p w14:paraId="58DA59AF" w14:textId="77777777" w:rsidR="00BD2B17" w:rsidRDefault="0050053D" w:rsidP="000C73E9">
      <w:pPr>
        <w:jc w:val="center"/>
        <w:rPr>
          <w:i/>
          <w:noProof/>
          <w:color w:val="7F7F7F" w:themeColor="text1" w:themeTint="80"/>
          <w:sz w:val="18"/>
          <w:szCs w:val="18"/>
        </w:rPr>
      </w:pPr>
      <w:r w:rsidRPr="00327691">
        <w:rPr>
          <w:i/>
          <w:noProof/>
          <w:color w:val="7F7F7F" w:themeColor="text1" w:themeTint="80"/>
          <w:sz w:val="18"/>
          <w:szCs w:val="18"/>
        </w:rPr>
        <w:t xml:space="preserve">Source: </w:t>
      </w:r>
      <w:r>
        <w:rPr>
          <w:i/>
          <w:noProof/>
          <w:color w:val="7F7F7F" w:themeColor="text1" w:themeTint="80"/>
          <w:sz w:val="18"/>
          <w:szCs w:val="18"/>
        </w:rPr>
        <w:t xml:space="preserve">Elaboration by the Study </w:t>
      </w:r>
      <w:r w:rsidRPr="009C0147">
        <w:rPr>
          <w:i/>
          <w:noProof/>
          <w:color w:val="7F7F7F" w:themeColor="text1" w:themeTint="80"/>
          <w:sz w:val="18"/>
          <w:szCs w:val="18"/>
        </w:rPr>
        <w:t>to support the preparation of an impact assessment on EU policy initiatives facilitating cross-border law enforcement cooperation</w:t>
      </w:r>
      <w:r>
        <w:rPr>
          <w:i/>
          <w:noProof/>
          <w:color w:val="7F7F7F" w:themeColor="text1" w:themeTint="80"/>
          <w:sz w:val="18"/>
          <w:szCs w:val="18"/>
        </w:rPr>
        <w:t xml:space="preserve"> based on National Fact Sheets from the Manual on Law Enforcement Information Exchange</w:t>
      </w:r>
    </w:p>
    <w:p w14:paraId="4BAF83E9" w14:textId="77777777" w:rsidR="000C73E9" w:rsidRPr="00346099" w:rsidRDefault="000C73E9" w:rsidP="000C73E9">
      <w:pPr>
        <w:jc w:val="center"/>
        <w:rPr>
          <w:rFonts w:ascii="Verdana" w:hAnsi="Verdana"/>
          <w:b/>
          <w:bCs/>
          <w:noProof/>
          <w:sz w:val="18"/>
          <w:szCs w:val="18"/>
        </w:rPr>
      </w:pPr>
      <w:r w:rsidRPr="00346099">
        <w:rPr>
          <w:rFonts w:ascii="Verdana" w:hAnsi="Verdana"/>
          <w:b/>
          <w:bCs/>
          <w:noProof/>
          <w:sz w:val="18"/>
          <w:szCs w:val="18"/>
        </w:rPr>
        <w:t>Types of data available to SPOCs from databases managed by another authority and indirectly accessible to the SPOC</w:t>
      </w:r>
    </w:p>
    <w:tbl>
      <w:tblPr>
        <w:tblW w:w="5000" w:type="pct"/>
        <w:tblLook w:val="04A0" w:firstRow="1" w:lastRow="0" w:firstColumn="1" w:lastColumn="0" w:noHBand="0" w:noVBand="1"/>
      </w:tblPr>
      <w:tblGrid>
        <w:gridCol w:w="2987"/>
        <w:gridCol w:w="380"/>
        <w:gridCol w:w="380"/>
        <w:gridCol w:w="380"/>
        <w:gridCol w:w="380"/>
        <w:gridCol w:w="380"/>
        <w:gridCol w:w="380"/>
        <w:gridCol w:w="380"/>
        <w:gridCol w:w="380"/>
        <w:gridCol w:w="380"/>
        <w:gridCol w:w="380"/>
        <w:gridCol w:w="380"/>
        <w:gridCol w:w="380"/>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tblGrid>
      <w:tr w:rsidR="00F5634E" w:rsidRPr="00346099" w14:paraId="2ED6CF41" w14:textId="77777777" w:rsidTr="00080E5C">
        <w:trPr>
          <w:cantSplit/>
          <w:trHeight w:val="1134"/>
          <w:tblHeader/>
        </w:trPr>
        <w:tc>
          <w:tcPr>
            <w:tcW w:w="959" w:type="pct"/>
            <w:tcBorders>
              <w:top w:val="single" w:sz="8" w:space="0" w:color="FFFFFF"/>
              <w:left w:val="single" w:sz="8" w:space="0" w:color="FFFFFF"/>
              <w:bottom w:val="single" w:sz="8" w:space="0" w:color="FFFFFF"/>
              <w:right w:val="single" w:sz="8" w:space="0" w:color="FFFFFF"/>
            </w:tcBorders>
            <w:shd w:val="clear" w:color="000000" w:fill="00AEF0"/>
            <w:noWrap/>
            <w:textDirection w:val="btLr"/>
            <w:vAlign w:val="center"/>
            <w:hideMark/>
          </w:tcPr>
          <w:p w14:paraId="27646CB8"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 </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2AB97F9"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AT</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1BF21017"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BE</w:t>
            </w:r>
          </w:p>
        </w:tc>
        <w:tc>
          <w:tcPr>
            <w:tcW w:w="130"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305FF3A9"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BG</w:t>
            </w:r>
          </w:p>
        </w:tc>
        <w:tc>
          <w:tcPr>
            <w:tcW w:w="130"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C1361CD"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CY</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3E9BD349"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CZ</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7B055AE0"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DE</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177C4EE5"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DK</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16EB6310"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EE</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F44154F"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EL</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1F24FE4"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ES</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7EFAFA6"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FI</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21325AA2"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FR</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23CBBED6"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HR</w:t>
            </w:r>
          </w:p>
        </w:tc>
        <w:tc>
          <w:tcPr>
            <w:tcW w:w="130"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A64E43E"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HU</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B9509D2"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IE</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FA69B53"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IS</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5A1977E"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IT</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33D9C88"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LI</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DAAEC7D"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LT</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313F6482"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LU</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7FF94AF"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LV</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2F7E606"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MT</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0B4055F7"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NL</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3E2E99C8"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NO</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1CCE5836"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PL</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331ADF31"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PT</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28F130E5"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RO</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7ED8FB7"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SE</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7FAF471A"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SI</w:t>
            </w:r>
          </w:p>
        </w:tc>
        <w:tc>
          <w:tcPr>
            <w:tcW w:w="131"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0247B8AB"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SK</w:t>
            </w:r>
          </w:p>
        </w:tc>
        <w:tc>
          <w:tcPr>
            <w:tcW w:w="131" w:type="pct"/>
            <w:tcBorders>
              <w:top w:val="nil"/>
              <w:left w:val="nil"/>
              <w:bottom w:val="nil"/>
              <w:right w:val="single" w:sz="8" w:space="0" w:color="FFFFFF"/>
            </w:tcBorders>
            <w:shd w:val="clear" w:color="000000" w:fill="000000"/>
            <w:textDirection w:val="btLr"/>
            <w:vAlign w:val="center"/>
            <w:hideMark/>
          </w:tcPr>
          <w:p w14:paraId="1484344B" w14:textId="77777777" w:rsidR="000C73E9" w:rsidRPr="00346099" w:rsidRDefault="000C73E9" w:rsidP="00080E5C">
            <w:pPr>
              <w:ind w:left="113" w:right="113"/>
              <w:rPr>
                <w:rFonts w:ascii="Verdana" w:hAnsi="Verdana"/>
                <w:b/>
                <w:bCs/>
                <w:noProof/>
                <w:color w:val="FFFFFF" w:themeColor="background1"/>
                <w:sz w:val="12"/>
                <w:szCs w:val="12"/>
              </w:rPr>
            </w:pPr>
            <w:r w:rsidRPr="00346099">
              <w:rPr>
                <w:rFonts w:ascii="Verdana" w:hAnsi="Verdana"/>
                <w:b/>
                <w:bCs/>
                <w:noProof/>
                <w:color w:val="FFFFFF" w:themeColor="background1"/>
                <w:sz w:val="12"/>
                <w:szCs w:val="12"/>
              </w:rPr>
              <w:t>Total</w:t>
            </w:r>
          </w:p>
        </w:tc>
      </w:tr>
      <w:tr w:rsidR="00F5634E" w:rsidRPr="00F56134" w14:paraId="0AC3C385"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01D9CF54"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Identification of telecommunications subscribers</w:t>
            </w:r>
          </w:p>
        </w:tc>
        <w:tc>
          <w:tcPr>
            <w:tcW w:w="130" w:type="pct"/>
            <w:tcBorders>
              <w:top w:val="nil"/>
              <w:left w:val="nil"/>
              <w:bottom w:val="single" w:sz="8" w:space="0" w:color="FFFFFF"/>
              <w:right w:val="single" w:sz="8" w:space="0" w:color="FFFFFF"/>
            </w:tcBorders>
            <w:shd w:val="clear" w:color="000000" w:fill="002060"/>
            <w:noWrap/>
            <w:vAlign w:val="center"/>
          </w:tcPr>
          <w:p w14:paraId="1BF36D6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4B908D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2995440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vAlign w:val="center"/>
          </w:tcPr>
          <w:p w14:paraId="5E606AA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33E98BC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1A305D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0624C33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B618C8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85869A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72D9693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9A5EBC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D51E1F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956A9E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CC1EA3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6427F1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0128A0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245B48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072BD9F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3856A02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E4B629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5D132EC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3F73B6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EAF8CF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FC03E7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D2A425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940B46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2561D0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5CA54DB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4CA2749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0F5E9C6C"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63BE7B"/>
            <w:noWrap/>
            <w:vAlign w:val="bottom"/>
            <w:hideMark/>
          </w:tcPr>
          <w:p w14:paraId="3BA3821F" w14:textId="77777777" w:rsidR="000C73E9" w:rsidRPr="00BD1214" w:rsidRDefault="000C73E9" w:rsidP="00080E5C">
            <w:pPr>
              <w:rPr>
                <w:rFonts w:ascii="Verdana" w:hAnsi="Verdana"/>
                <w:noProof/>
                <w:sz w:val="11"/>
                <w:szCs w:val="11"/>
              </w:rPr>
            </w:pPr>
            <w:r w:rsidRPr="00BD1214">
              <w:rPr>
                <w:rFonts w:ascii="Verdana" w:hAnsi="Verdana"/>
                <w:noProof/>
                <w:sz w:val="11"/>
                <w:szCs w:val="11"/>
              </w:rPr>
              <w:t>10</w:t>
            </w:r>
          </w:p>
        </w:tc>
      </w:tr>
      <w:tr w:rsidR="00F5634E" w:rsidRPr="00F56134" w14:paraId="5EF4D26D"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13307A25"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Information (including personal data) held by telecommunication operators</w:t>
            </w:r>
          </w:p>
        </w:tc>
        <w:tc>
          <w:tcPr>
            <w:tcW w:w="130" w:type="pct"/>
            <w:tcBorders>
              <w:top w:val="nil"/>
              <w:left w:val="nil"/>
              <w:bottom w:val="single" w:sz="8" w:space="0" w:color="FFFFFF"/>
              <w:right w:val="single" w:sz="8" w:space="0" w:color="FFFFFF"/>
            </w:tcBorders>
            <w:shd w:val="clear" w:color="000000" w:fill="F2F2F2"/>
            <w:noWrap/>
            <w:vAlign w:val="center"/>
          </w:tcPr>
          <w:p w14:paraId="45CA931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779B54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32CD33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9AFBE1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61B914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AA046D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1CAE3C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F900C5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4435A23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89E196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441B8C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85A3F6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93FF49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159817D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06D7165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0480671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CFF974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045B41E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BFD17B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7783693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767995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C71F03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A19AA3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5A34B2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5487153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5D450CE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D0E0AA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EBAD29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02D368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192C7AB"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85CC99"/>
            <w:noWrap/>
            <w:vAlign w:val="bottom"/>
            <w:hideMark/>
          </w:tcPr>
          <w:p w14:paraId="1702BC0C" w14:textId="77777777" w:rsidR="000C73E9" w:rsidRPr="00346099" w:rsidRDefault="000C73E9" w:rsidP="00080E5C">
            <w:pPr>
              <w:rPr>
                <w:rFonts w:ascii="Verdana" w:hAnsi="Verdana"/>
                <w:noProof/>
                <w:sz w:val="12"/>
                <w:szCs w:val="12"/>
              </w:rPr>
            </w:pPr>
            <w:r w:rsidRPr="00346099">
              <w:rPr>
                <w:rFonts w:ascii="Verdana" w:hAnsi="Verdana"/>
                <w:noProof/>
                <w:sz w:val="12"/>
                <w:szCs w:val="12"/>
              </w:rPr>
              <w:t>8</w:t>
            </w:r>
          </w:p>
        </w:tc>
      </w:tr>
      <w:tr w:rsidR="00F5634E" w:rsidRPr="00F56134" w14:paraId="0D4B4594"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1399708"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Passenger and freight lists of transport companies</w:t>
            </w:r>
          </w:p>
        </w:tc>
        <w:tc>
          <w:tcPr>
            <w:tcW w:w="130" w:type="pct"/>
            <w:tcBorders>
              <w:top w:val="nil"/>
              <w:left w:val="nil"/>
              <w:bottom w:val="single" w:sz="8" w:space="0" w:color="FFFFFF"/>
              <w:right w:val="single" w:sz="8" w:space="0" w:color="FFFFFF"/>
            </w:tcBorders>
            <w:shd w:val="clear" w:color="000000" w:fill="F2F2F2"/>
            <w:noWrap/>
            <w:vAlign w:val="center"/>
          </w:tcPr>
          <w:p w14:paraId="4963FC4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BD1F8B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13EBAC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E8F3BC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7F52DF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3F0389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1B6C72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7C01F62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24D4D1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A92A52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6D6752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C59248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2DBDE5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7EE3E9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49E5336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8F0CD0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F5851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0E009D2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48999F0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77DDA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97E923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47BC970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8F9FCB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96011C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595F1D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46B2E4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EDA3E1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658CE75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6993355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F73254C"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96D3A7"/>
            <w:noWrap/>
            <w:vAlign w:val="bottom"/>
            <w:hideMark/>
          </w:tcPr>
          <w:p w14:paraId="0F6ABFC3" w14:textId="77777777" w:rsidR="000C73E9" w:rsidRPr="00346099" w:rsidRDefault="000C73E9" w:rsidP="00080E5C">
            <w:pPr>
              <w:rPr>
                <w:rFonts w:ascii="Verdana" w:hAnsi="Verdana"/>
                <w:noProof/>
                <w:sz w:val="12"/>
                <w:szCs w:val="12"/>
              </w:rPr>
            </w:pPr>
            <w:r w:rsidRPr="00346099">
              <w:rPr>
                <w:rFonts w:ascii="Verdana" w:hAnsi="Verdana"/>
                <w:noProof/>
                <w:sz w:val="12"/>
                <w:szCs w:val="12"/>
              </w:rPr>
              <w:t>7</w:t>
            </w:r>
          </w:p>
        </w:tc>
      </w:tr>
      <w:tr w:rsidR="00F5634E" w:rsidRPr="00F56134" w14:paraId="45495538"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1BB8F8EA"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Unusual or suspicious (money) transactions</w:t>
            </w:r>
          </w:p>
        </w:tc>
        <w:tc>
          <w:tcPr>
            <w:tcW w:w="130" w:type="pct"/>
            <w:tcBorders>
              <w:top w:val="nil"/>
              <w:left w:val="nil"/>
              <w:bottom w:val="single" w:sz="8" w:space="0" w:color="FFFFFF"/>
              <w:right w:val="single" w:sz="8" w:space="0" w:color="FFFFFF"/>
            </w:tcBorders>
            <w:shd w:val="clear" w:color="000000" w:fill="F2F2F2"/>
            <w:noWrap/>
            <w:vAlign w:val="center"/>
          </w:tcPr>
          <w:p w14:paraId="2231DAB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D9F55D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vAlign w:val="center"/>
          </w:tcPr>
          <w:p w14:paraId="14AC48D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073E53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92DE2F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06847F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B9C9CD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23A28C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C3BC62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C2E31F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33FC27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0146B7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4A6B36A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E1B912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29BAC9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939755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C56C1C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754B3D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678493D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427F97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C9B299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79694D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06D9BF6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6A91639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6A7153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2E4B12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A6CC91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A6A1E8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4216E2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18C34A6"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B8E1C5"/>
            <w:noWrap/>
            <w:vAlign w:val="bottom"/>
            <w:hideMark/>
          </w:tcPr>
          <w:p w14:paraId="6ACC93A7" w14:textId="77777777" w:rsidR="000C73E9" w:rsidRPr="00346099" w:rsidRDefault="000C73E9" w:rsidP="00080E5C">
            <w:pPr>
              <w:rPr>
                <w:rFonts w:ascii="Verdana" w:hAnsi="Verdana"/>
                <w:noProof/>
                <w:sz w:val="12"/>
                <w:szCs w:val="12"/>
              </w:rPr>
            </w:pPr>
            <w:r w:rsidRPr="00346099">
              <w:rPr>
                <w:rFonts w:ascii="Verdana" w:hAnsi="Verdana"/>
                <w:noProof/>
                <w:sz w:val="12"/>
                <w:szCs w:val="12"/>
              </w:rPr>
              <w:t>5</w:t>
            </w:r>
          </w:p>
        </w:tc>
      </w:tr>
      <w:tr w:rsidR="00F5634E" w:rsidRPr="00F56134" w14:paraId="59889B43"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29572062"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Real property/land register</w:t>
            </w:r>
          </w:p>
        </w:tc>
        <w:tc>
          <w:tcPr>
            <w:tcW w:w="130" w:type="pct"/>
            <w:tcBorders>
              <w:top w:val="nil"/>
              <w:left w:val="nil"/>
              <w:bottom w:val="nil"/>
              <w:right w:val="single" w:sz="8" w:space="0" w:color="FFFFFF"/>
            </w:tcBorders>
            <w:shd w:val="clear" w:color="000000" w:fill="F2F2F2"/>
            <w:noWrap/>
            <w:vAlign w:val="center"/>
          </w:tcPr>
          <w:p w14:paraId="0E821DAE"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30B95A07"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002060"/>
            <w:vAlign w:val="center"/>
          </w:tcPr>
          <w:p w14:paraId="51BF92C3"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vAlign w:val="center"/>
          </w:tcPr>
          <w:p w14:paraId="3D6E22F9"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45408605"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5762464E"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70300C07"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7E4A65BF"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072E3E4F"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002060"/>
            <w:noWrap/>
            <w:vAlign w:val="center"/>
          </w:tcPr>
          <w:p w14:paraId="14192229"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234040FC"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7309BEF6"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002060"/>
            <w:noWrap/>
            <w:vAlign w:val="center"/>
          </w:tcPr>
          <w:p w14:paraId="57EFE524" w14:textId="77777777" w:rsidR="000C73E9" w:rsidRPr="00346099" w:rsidRDefault="000C73E9" w:rsidP="00080E5C">
            <w:pPr>
              <w:rPr>
                <w:rFonts w:ascii="Verdana" w:hAnsi="Verdana"/>
                <w:noProof/>
                <w:sz w:val="12"/>
                <w:szCs w:val="12"/>
              </w:rPr>
            </w:pPr>
          </w:p>
        </w:tc>
        <w:tc>
          <w:tcPr>
            <w:tcW w:w="130" w:type="pct"/>
            <w:tcBorders>
              <w:top w:val="nil"/>
              <w:left w:val="nil"/>
              <w:bottom w:val="nil"/>
              <w:right w:val="single" w:sz="8" w:space="0" w:color="FFFFFF"/>
            </w:tcBorders>
            <w:shd w:val="clear" w:color="000000" w:fill="F2F2F2"/>
            <w:noWrap/>
            <w:vAlign w:val="center"/>
          </w:tcPr>
          <w:p w14:paraId="293686FF"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002060"/>
            <w:vAlign w:val="center"/>
          </w:tcPr>
          <w:p w14:paraId="2BE5B436"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808080"/>
            <w:vAlign w:val="center"/>
          </w:tcPr>
          <w:p w14:paraId="263F51B6"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662E81A4"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808080"/>
            <w:vAlign w:val="center"/>
          </w:tcPr>
          <w:p w14:paraId="21305835"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56B4A4BF"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6B2115C4"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6F4CECFF"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752CE8F2"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56F184EC"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0A853910"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33EAE0CC"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54BEBE9C"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34A351F8"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788C7520"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3F764B41" w14:textId="77777777" w:rsidR="000C73E9" w:rsidRPr="00346099" w:rsidRDefault="000C73E9" w:rsidP="00080E5C">
            <w:pPr>
              <w:rPr>
                <w:rFonts w:ascii="Verdana" w:hAnsi="Verdana"/>
                <w:noProof/>
                <w:sz w:val="12"/>
                <w:szCs w:val="12"/>
              </w:rPr>
            </w:pPr>
          </w:p>
        </w:tc>
        <w:tc>
          <w:tcPr>
            <w:tcW w:w="131" w:type="pct"/>
            <w:tcBorders>
              <w:top w:val="nil"/>
              <w:left w:val="nil"/>
              <w:bottom w:val="nil"/>
              <w:right w:val="single" w:sz="8" w:space="0" w:color="FFFFFF"/>
            </w:tcBorders>
            <w:shd w:val="clear" w:color="000000" w:fill="F2F2F2"/>
            <w:vAlign w:val="center"/>
          </w:tcPr>
          <w:p w14:paraId="3831D58E"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C9E8D3"/>
            <w:noWrap/>
            <w:vAlign w:val="bottom"/>
            <w:hideMark/>
          </w:tcPr>
          <w:p w14:paraId="6ADA735D" w14:textId="77777777" w:rsidR="000C73E9" w:rsidRPr="00346099" w:rsidRDefault="000C73E9" w:rsidP="00080E5C">
            <w:pPr>
              <w:rPr>
                <w:rFonts w:ascii="Verdana" w:hAnsi="Verdana"/>
                <w:noProof/>
                <w:sz w:val="12"/>
                <w:szCs w:val="12"/>
              </w:rPr>
            </w:pPr>
            <w:r w:rsidRPr="00346099">
              <w:rPr>
                <w:rFonts w:ascii="Verdana" w:hAnsi="Verdana"/>
                <w:noProof/>
                <w:sz w:val="12"/>
                <w:szCs w:val="12"/>
              </w:rPr>
              <w:t>4</w:t>
            </w:r>
          </w:p>
        </w:tc>
      </w:tr>
      <w:tr w:rsidR="00F5634E" w:rsidRPr="00F56134" w14:paraId="4A30839A"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68B94981"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Identification (distinguishing marks or dental record)</w:t>
            </w:r>
          </w:p>
        </w:tc>
        <w:tc>
          <w:tcPr>
            <w:tcW w:w="130" w:type="pct"/>
            <w:tcBorders>
              <w:top w:val="nil"/>
              <w:left w:val="nil"/>
              <w:bottom w:val="single" w:sz="8" w:space="0" w:color="FFFFFF"/>
              <w:right w:val="single" w:sz="8" w:space="0" w:color="FFFFFF"/>
            </w:tcBorders>
            <w:shd w:val="clear" w:color="000000" w:fill="F2F2F2"/>
            <w:noWrap/>
            <w:vAlign w:val="center"/>
          </w:tcPr>
          <w:p w14:paraId="2745D6D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D4FF56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F8687E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27194D3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10B400B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48C15C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D2BDD4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6D4441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845A7E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3466E6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006557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E08725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518785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6CD3C3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A8B833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253687A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7FF49B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7BAE95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896608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C01340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53560A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BC9F9C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E7F2A1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F7EB19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A6EA8C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24E588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2A6F25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9AC798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58C02E0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FB29C88"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DAEFE2"/>
            <w:noWrap/>
            <w:vAlign w:val="bottom"/>
            <w:hideMark/>
          </w:tcPr>
          <w:p w14:paraId="622BED03" w14:textId="77777777" w:rsidR="000C73E9" w:rsidRPr="00346099" w:rsidRDefault="000C73E9" w:rsidP="00080E5C">
            <w:pPr>
              <w:rPr>
                <w:rFonts w:ascii="Verdana" w:hAnsi="Verdana"/>
                <w:noProof/>
                <w:sz w:val="12"/>
                <w:szCs w:val="12"/>
              </w:rPr>
            </w:pPr>
            <w:r w:rsidRPr="00346099">
              <w:rPr>
                <w:rFonts w:ascii="Verdana" w:hAnsi="Verdana"/>
                <w:noProof/>
                <w:sz w:val="12"/>
                <w:szCs w:val="12"/>
              </w:rPr>
              <w:t>3</w:t>
            </w:r>
          </w:p>
        </w:tc>
      </w:tr>
      <w:tr w:rsidR="00F5634E" w:rsidRPr="00F56134" w14:paraId="079A93BA"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423579EC"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Fingerprints</w:t>
            </w:r>
          </w:p>
        </w:tc>
        <w:tc>
          <w:tcPr>
            <w:tcW w:w="130" w:type="pct"/>
            <w:tcBorders>
              <w:top w:val="nil"/>
              <w:left w:val="nil"/>
              <w:bottom w:val="single" w:sz="8" w:space="0" w:color="FFFFFF"/>
              <w:right w:val="single" w:sz="8" w:space="0" w:color="FFFFFF"/>
            </w:tcBorders>
            <w:shd w:val="clear" w:color="000000" w:fill="F2F2F2"/>
            <w:noWrap/>
            <w:vAlign w:val="center"/>
          </w:tcPr>
          <w:p w14:paraId="1893177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DF7398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0676E1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AF8994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E1D99C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0A2393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A79FAD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7498568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33D60A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4B0A84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834709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ECFADD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504DD7D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55F3EA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1F3992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947837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78BA10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2AD953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842024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75E001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C37135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7EE541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7D1CBB8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252838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28CC47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D59A45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303077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641E98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9A8813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072C68B"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DAEFE2"/>
            <w:noWrap/>
            <w:vAlign w:val="bottom"/>
            <w:hideMark/>
          </w:tcPr>
          <w:p w14:paraId="0E37A3FB" w14:textId="77777777" w:rsidR="000C73E9" w:rsidRPr="00346099" w:rsidRDefault="000C73E9" w:rsidP="00080E5C">
            <w:pPr>
              <w:rPr>
                <w:rFonts w:ascii="Verdana" w:hAnsi="Verdana"/>
                <w:noProof/>
                <w:sz w:val="12"/>
                <w:szCs w:val="12"/>
              </w:rPr>
            </w:pPr>
            <w:r w:rsidRPr="00346099">
              <w:rPr>
                <w:rFonts w:ascii="Verdana" w:hAnsi="Verdana"/>
                <w:noProof/>
                <w:sz w:val="12"/>
                <w:szCs w:val="12"/>
              </w:rPr>
              <w:t>3</w:t>
            </w:r>
          </w:p>
        </w:tc>
      </w:tr>
      <w:tr w:rsidR="00F5634E" w:rsidRPr="00F56134" w14:paraId="57FCD3C9"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5021FB3F"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Information on company board of directors, operations, share capital etc.</w:t>
            </w:r>
          </w:p>
        </w:tc>
        <w:tc>
          <w:tcPr>
            <w:tcW w:w="130" w:type="pct"/>
            <w:tcBorders>
              <w:top w:val="nil"/>
              <w:left w:val="nil"/>
              <w:bottom w:val="single" w:sz="8" w:space="0" w:color="FFFFFF"/>
              <w:right w:val="single" w:sz="8" w:space="0" w:color="FFFFFF"/>
            </w:tcBorders>
            <w:shd w:val="clear" w:color="000000" w:fill="F2F2F2"/>
            <w:noWrap/>
            <w:vAlign w:val="center"/>
          </w:tcPr>
          <w:p w14:paraId="42B06DF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5775A8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ED9811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939BC6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6FD709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3D635E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BDE332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65D82B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C6D542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7941CDD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C83302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FDB7A6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21F45FD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70EB16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9B76EA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D1D51D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8D9760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991CAF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924A9E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E967E3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E74335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AE3192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549BB7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8AAE36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EE2F8A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6AF44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629B25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8AC759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6B274F6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E1F36A8"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DAEFE2"/>
            <w:noWrap/>
            <w:vAlign w:val="bottom"/>
            <w:hideMark/>
          </w:tcPr>
          <w:p w14:paraId="6E80A312" w14:textId="77777777" w:rsidR="000C73E9" w:rsidRPr="00346099" w:rsidRDefault="000C73E9" w:rsidP="00080E5C">
            <w:pPr>
              <w:rPr>
                <w:rFonts w:ascii="Verdana" w:hAnsi="Verdana"/>
                <w:noProof/>
                <w:sz w:val="12"/>
                <w:szCs w:val="12"/>
              </w:rPr>
            </w:pPr>
            <w:r w:rsidRPr="00346099">
              <w:rPr>
                <w:rFonts w:ascii="Verdana" w:hAnsi="Verdana"/>
                <w:noProof/>
                <w:sz w:val="12"/>
                <w:szCs w:val="12"/>
              </w:rPr>
              <w:t>3</w:t>
            </w:r>
          </w:p>
        </w:tc>
      </w:tr>
      <w:tr w:rsidR="00F5634E" w:rsidRPr="00F56134" w14:paraId="13D40CC6"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1955B5BE"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Information held by banks or financial institutions</w:t>
            </w:r>
          </w:p>
        </w:tc>
        <w:tc>
          <w:tcPr>
            <w:tcW w:w="130" w:type="pct"/>
            <w:tcBorders>
              <w:top w:val="nil"/>
              <w:left w:val="nil"/>
              <w:bottom w:val="single" w:sz="8" w:space="0" w:color="FFFFFF"/>
              <w:right w:val="single" w:sz="8" w:space="0" w:color="FFFFFF"/>
            </w:tcBorders>
            <w:shd w:val="clear" w:color="000000" w:fill="F2F2F2"/>
            <w:noWrap/>
            <w:vAlign w:val="center"/>
          </w:tcPr>
          <w:p w14:paraId="0829E6D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A8944A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F1CB61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B82FD0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B32D45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80991D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22C6C0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D380AC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A013DE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CB135D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656C42C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54B219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2E5562E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CBFC36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3B7586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2BC80E9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4E3704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457E01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A3D7D7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40342A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C1FF2C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0B0AF0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53876D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234E0C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19F88E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0055087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932E70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0D5753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7FEDBB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7406E79"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DAEFE2"/>
            <w:noWrap/>
            <w:vAlign w:val="bottom"/>
            <w:hideMark/>
          </w:tcPr>
          <w:p w14:paraId="3DDAF41F" w14:textId="77777777" w:rsidR="000C73E9" w:rsidRPr="00346099" w:rsidRDefault="000C73E9" w:rsidP="00080E5C">
            <w:pPr>
              <w:rPr>
                <w:rFonts w:ascii="Verdana" w:hAnsi="Verdana"/>
                <w:noProof/>
                <w:sz w:val="12"/>
                <w:szCs w:val="12"/>
              </w:rPr>
            </w:pPr>
            <w:r w:rsidRPr="00346099">
              <w:rPr>
                <w:rFonts w:ascii="Verdana" w:hAnsi="Verdana"/>
                <w:noProof/>
                <w:sz w:val="12"/>
                <w:szCs w:val="12"/>
              </w:rPr>
              <w:t>3</w:t>
            </w:r>
          </w:p>
        </w:tc>
      </w:tr>
      <w:tr w:rsidR="00F5634E" w:rsidRPr="00F56134" w14:paraId="3611D362"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48FAD4A8"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Register on enterprises and commercial companies</w:t>
            </w:r>
          </w:p>
        </w:tc>
        <w:tc>
          <w:tcPr>
            <w:tcW w:w="130" w:type="pct"/>
            <w:tcBorders>
              <w:top w:val="nil"/>
              <w:left w:val="nil"/>
              <w:bottom w:val="single" w:sz="8" w:space="0" w:color="FFFFFF"/>
              <w:right w:val="single" w:sz="8" w:space="0" w:color="FFFFFF"/>
            </w:tcBorders>
            <w:shd w:val="clear" w:color="000000" w:fill="F2F2F2"/>
            <w:noWrap/>
            <w:vAlign w:val="center"/>
          </w:tcPr>
          <w:p w14:paraId="59BD0AD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456DEA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3A9B8F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129A9F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669E7C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7ECC97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1F9480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34CE2B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7A1C2A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3B60B9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9E66D4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7FC029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9FBDF4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EB175C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FFCB4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8262BE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B6FE15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E25847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0571D8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91561A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1450C6D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79E9319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22182D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AA5697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6CBE1A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69BE7C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4618AF8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C12211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E8C236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1381605"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DAEFE2"/>
            <w:noWrap/>
            <w:vAlign w:val="bottom"/>
            <w:hideMark/>
          </w:tcPr>
          <w:p w14:paraId="5FB1763C" w14:textId="77777777" w:rsidR="000C73E9" w:rsidRPr="00346099" w:rsidRDefault="000C73E9" w:rsidP="00080E5C">
            <w:pPr>
              <w:rPr>
                <w:rFonts w:ascii="Verdana" w:hAnsi="Verdana"/>
                <w:noProof/>
                <w:sz w:val="12"/>
                <w:szCs w:val="12"/>
              </w:rPr>
            </w:pPr>
            <w:r w:rsidRPr="00346099">
              <w:rPr>
                <w:rFonts w:ascii="Verdana" w:hAnsi="Verdana"/>
                <w:noProof/>
                <w:sz w:val="12"/>
                <w:szCs w:val="12"/>
              </w:rPr>
              <w:t>3</w:t>
            </w:r>
          </w:p>
        </w:tc>
      </w:tr>
      <w:tr w:rsidR="00F5634E" w:rsidRPr="00F56134" w14:paraId="30072F4A"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64E73802"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Database of asylum seekers and illegal migrants</w:t>
            </w:r>
          </w:p>
        </w:tc>
        <w:tc>
          <w:tcPr>
            <w:tcW w:w="130" w:type="pct"/>
            <w:tcBorders>
              <w:top w:val="nil"/>
              <w:left w:val="nil"/>
              <w:bottom w:val="single" w:sz="8" w:space="0" w:color="FFFFFF"/>
              <w:right w:val="single" w:sz="8" w:space="0" w:color="FFFFFF"/>
            </w:tcBorders>
            <w:shd w:val="clear" w:color="000000" w:fill="F2F2F2"/>
            <w:noWrap/>
            <w:vAlign w:val="center"/>
          </w:tcPr>
          <w:p w14:paraId="155C83A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1933C98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2C81A4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1A54A3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D1D2F2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3A762E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7894A5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8F7094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82C092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C6778D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893333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21F679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9D5092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CCE0BF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7ACFB6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235C35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3938C2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E74090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48A79F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F75529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2EE59A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CF30E3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37497E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AF3C5B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4F5E18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7DA4AF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C7ACBC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1DE8A0A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0672CB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12A1A81"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EBF6F1"/>
            <w:noWrap/>
            <w:vAlign w:val="bottom"/>
            <w:hideMark/>
          </w:tcPr>
          <w:p w14:paraId="1747940B" w14:textId="77777777" w:rsidR="000C73E9" w:rsidRPr="00346099" w:rsidRDefault="000C73E9" w:rsidP="00080E5C">
            <w:pPr>
              <w:rPr>
                <w:rFonts w:ascii="Verdana" w:hAnsi="Verdana"/>
                <w:noProof/>
                <w:sz w:val="12"/>
                <w:szCs w:val="12"/>
              </w:rPr>
            </w:pPr>
            <w:r w:rsidRPr="00346099">
              <w:rPr>
                <w:rFonts w:ascii="Verdana" w:hAnsi="Verdana"/>
                <w:noProof/>
                <w:sz w:val="12"/>
                <w:szCs w:val="12"/>
              </w:rPr>
              <w:t>2</w:t>
            </w:r>
          </w:p>
        </w:tc>
      </w:tr>
      <w:tr w:rsidR="00F5634E" w:rsidRPr="00F56134" w14:paraId="0F97C170"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1EADE5E2"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Database of prisoners</w:t>
            </w:r>
          </w:p>
        </w:tc>
        <w:tc>
          <w:tcPr>
            <w:tcW w:w="130" w:type="pct"/>
            <w:tcBorders>
              <w:top w:val="nil"/>
              <w:left w:val="nil"/>
              <w:bottom w:val="single" w:sz="8" w:space="0" w:color="FFFFFF"/>
              <w:right w:val="single" w:sz="8" w:space="0" w:color="FFFFFF"/>
            </w:tcBorders>
            <w:shd w:val="clear" w:color="000000" w:fill="F2F2F2"/>
            <w:noWrap/>
            <w:vAlign w:val="center"/>
          </w:tcPr>
          <w:p w14:paraId="1058DD6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C328B2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vAlign w:val="center"/>
          </w:tcPr>
          <w:p w14:paraId="7A10ABE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CA0D11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081E3C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20C185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50EB3B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0118C3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C3BC7F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C72D68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C9CB5F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2FD6BB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F19508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932FBB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3F0AAC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2D4466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49E649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B84E58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465E6C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45404E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64C5E1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AC197B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FE5B2F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A0EF6F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B24F74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430778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2664A1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9360CB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99345B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1E73B67"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EBF6F1"/>
            <w:noWrap/>
            <w:vAlign w:val="bottom"/>
            <w:hideMark/>
          </w:tcPr>
          <w:p w14:paraId="0EDEACCC" w14:textId="77777777" w:rsidR="000C73E9" w:rsidRPr="00346099" w:rsidRDefault="000C73E9" w:rsidP="00080E5C">
            <w:pPr>
              <w:rPr>
                <w:rFonts w:ascii="Verdana" w:hAnsi="Verdana"/>
                <w:noProof/>
                <w:sz w:val="12"/>
                <w:szCs w:val="12"/>
              </w:rPr>
            </w:pPr>
            <w:r w:rsidRPr="00346099">
              <w:rPr>
                <w:rFonts w:ascii="Verdana" w:hAnsi="Verdana"/>
                <w:noProof/>
                <w:sz w:val="12"/>
                <w:szCs w:val="12"/>
              </w:rPr>
              <w:t>2</w:t>
            </w:r>
          </w:p>
        </w:tc>
      </w:tr>
      <w:tr w:rsidR="00F5634E" w:rsidRPr="00F56134" w14:paraId="38CCFB9C"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4BE4A96C"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Credit information</w:t>
            </w:r>
          </w:p>
        </w:tc>
        <w:tc>
          <w:tcPr>
            <w:tcW w:w="130" w:type="pct"/>
            <w:tcBorders>
              <w:top w:val="nil"/>
              <w:left w:val="nil"/>
              <w:bottom w:val="single" w:sz="8" w:space="0" w:color="FFFFFF"/>
              <w:right w:val="single" w:sz="8" w:space="0" w:color="FFFFFF"/>
            </w:tcBorders>
            <w:shd w:val="clear" w:color="000000" w:fill="F2F2F2"/>
            <w:noWrap/>
            <w:vAlign w:val="center"/>
          </w:tcPr>
          <w:p w14:paraId="1E4475D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36A932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A9B056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82BCF0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3B34F9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100FED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E3E482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066351F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B4C615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C3F6D6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1854A24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1E1FE1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5DDAE1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46BA9B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15B367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3452A4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F74B93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BF26CB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E426ED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5A41D2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400421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8F3E75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FFEA19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688EA8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D9B09E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FD6AA5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952C9B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8123F9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F1E34E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4E18DC3"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EBF6F1"/>
            <w:noWrap/>
            <w:vAlign w:val="bottom"/>
            <w:hideMark/>
          </w:tcPr>
          <w:p w14:paraId="0C08630F" w14:textId="77777777" w:rsidR="000C73E9" w:rsidRPr="00346099" w:rsidRDefault="000C73E9" w:rsidP="00080E5C">
            <w:pPr>
              <w:rPr>
                <w:rFonts w:ascii="Verdana" w:hAnsi="Verdana"/>
                <w:noProof/>
                <w:sz w:val="12"/>
                <w:szCs w:val="12"/>
              </w:rPr>
            </w:pPr>
            <w:r w:rsidRPr="00346099">
              <w:rPr>
                <w:rFonts w:ascii="Verdana" w:hAnsi="Verdana"/>
                <w:noProof/>
                <w:sz w:val="12"/>
                <w:szCs w:val="12"/>
              </w:rPr>
              <w:t>2</w:t>
            </w:r>
          </w:p>
        </w:tc>
      </w:tr>
      <w:tr w:rsidR="00F5634E" w:rsidRPr="00F56134" w14:paraId="5A8FECE0"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2ADD5C40"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DNA</w:t>
            </w:r>
          </w:p>
        </w:tc>
        <w:tc>
          <w:tcPr>
            <w:tcW w:w="130" w:type="pct"/>
            <w:tcBorders>
              <w:top w:val="nil"/>
              <w:left w:val="nil"/>
              <w:bottom w:val="single" w:sz="8" w:space="0" w:color="FFFFFF"/>
              <w:right w:val="single" w:sz="8" w:space="0" w:color="FFFFFF"/>
            </w:tcBorders>
            <w:shd w:val="clear" w:color="000000" w:fill="F2F2F2"/>
            <w:noWrap/>
            <w:vAlign w:val="center"/>
          </w:tcPr>
          <w:p w14:paraId="0928CF2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D9FE51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A242F4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9363F6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12B74C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B2C347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9E56CD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718DED2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CD05BC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05D639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9C3702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9B2542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1952F05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DDA74A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0BAC02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7697D1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4EFCF2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EEB5DF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67FBEA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DC270F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774EBE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B8AE8E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B1542D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9B27EB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FB4CE7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661486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D227E0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F4A267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AB18A9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81F0FB5"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EBF6F1"/>
            <w:noWrap/>
            <w:vAlign w:val="bottom"/>
            <w:hideMark/>
          </w:tcPr>
          <w:p w14:paraId="5AAA83D2" w14:textId="77777777" w:rsidR="000C73E9" w:rsidRPr="00346099" w:rsidRDefault="000C73E9" w:rsidP="00080E5C">
            <w:pPr>
              <w:rPr>
                <w:rFonts w:ascii="Verdana" w:hAnsi="Verdana"/>
                <w:noProof/>
                <w:sz w:val="12"/>
                <w:szCs w:val="12"/>
              </w:rPr>
            </w:pPr>
            <w:r w:rsidRPr="00346099">
              <w:rPr>
                <w:rFonts w:ascii="Verdana" w:hAnsi="Verdana"/>
                <w:noProof/>
                <w:sz w:val="12"/>
                <w:szCs w:val="12"/>
              </w:rPr>
              <w:t>2</w:t>
            </w:r>
          </w:p>
        </w:tc>
      </w:tr>
      <w:tr w:rsidR="00F5634E" w:rsidRPr="00F56134" w14:paraId="35BCC90E"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5E7F2231"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Data on social benefits and welfare</w:t>
            </w:r>
          </w:p>
        </w:tc>
        <w:tc>
          <w:tcPr>
            <w:tcW w:w="130" w:type="pct"/>
            <w:tcBorders>
              <w:top w:val="nil"/>
              <w:left w:val="nil"/>
              <w:bottom w:val="single" w:sz="8" w:space="0" w:color="FFFFFF"/>
              <w:right w:val="single" w:sz="8" w:space="0" w:color="FFFFFF"/>
            </w:tcBorders>
            <w:shd w:val="clear" w:color="000000" w:fill="F2F2F2"/>
            <w:noWrap/>
            <w:vAlign w:val="center"/>
          </w:tcPr>
          <w:p w14:paraId="4E4FA35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0393B6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EA7FA1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D3215E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57E243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33F424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CDE1C1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FE7B19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6939EA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83B49F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5921B0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1244E4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8DD1A5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5478BA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34C5C48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2210A19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313188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EA1FA7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712A33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10D263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080CC2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824AD6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621D8CA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2A9E37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A8855A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B4AA01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EC639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FB4FAB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D02D8B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1406143"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EBF6F1"/>
            <w:noWrap/>
            <w:vAlign w:val="bottom"/>
            <w:hideMark/>
          </w:tcPr>
          <w:p w14:paraId="1DE00216" w14:textId="77777777" w:rsidR="000C73E9" w:rsidRPr="00346099" w:rsidRDefault="000C73E9" w:rsidP="00080E5C">
            <w:pPr>
              <w:rPr>
                <w:rFonts w:ascii="Verdana" w:hAnsi="Verdana"/>
                <w:noProof/>
                <w:sz w:val="12"/>
                <w:szCs w:val="12"/>
              </w:rPr>
            </w:pPr>
            <w:r w:rsidRPr="00346099">
              <w:rPr>
                <w:rFonts w:ascii="Verdana" w:hAnsi="Verdana"/>
                <w:noProof/>
                <w:sz w:val="12"/>
                <w:szCs w:val="12"/>
              </w:rPr>
              <w:t>2</w:t>
            </w:r>
          </w:p>
        </w:tc>
      </w:tr>
      <w:tr w:rsidR="00F5634E" w:rsidRPr="00F56134" w14:paraId="38FF3DBA"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2679F2DF"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Taxation, income and wealth data</w:t>
            </w:r>
          </w:p>
        </w:tc>
        <w:tc>
          <w:tcPr>
            <w:tcW w:w="130" w:type="pct"/>
            <w:tcBorders>
              <w:top w:val="nil"/>
              <w:left w:val="nil"/>
              <w:bottom w:val="single" w:sz="8" w:space="0" w:color="FFFFFF"/>
              <w:right w:val="single" w:sz="8" w:space="0" w:color="FFFFFF"/>
            </w:tcBorders>
            <w:shd w:val="clear" w:color="000000" w:fill="F2F2F2"/>
            <w:noWrap/>
            <w:vAlign w:val="center"/>
          </w:tcPr>
          <w:p w14:paraId="2F67097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EE2D36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ED4E09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7B920A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427779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924E26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70D985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F9A8AD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6CE15C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B2656C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8DCB25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5B2927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EA9B79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FF43BC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7A6E05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7F964B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59984A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D8352D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20DB6E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32FA47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5C591E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77AD33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0E0684D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B239A2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FDDA6C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5540D9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49B1A6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D50972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7C322F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421EE65"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EBF6F1"/>
            <w:noWrap/>
            <w:vAlign w:val="bottom"/>
            <w:hideMark/>
          </w:tcPr>
          <w:p w14:paraId="64C37227" w14:textId="77777777" w:rsidR="000C73E9" w:rsidRPr="00346099" w:rsidRDefault="000C73E9" w:rsidP="00080E5C">
            <w:pPr>
              <w:rPr>
                <w:rFonts w:ascii="Verdana" w:hAnsi="Verdana"/>
                <w:noProof/>
                <w:sz w:val="12"/>
                <w:szCs w:val="12"/>
              </w:rPr>
            </w:pPr>
            <w:r w:rsidRPr="00346099">
              <w:rPr>
                <w:rFonts w:ascii="Verdana" w:hAnsi="Verdana"/>
                <w:noProof/>
                <w:sz w:val="12"/>
                <w:szCs w:val="12"/>
              </w:rPr>
              <w:t>2</w:t>
            </w:r>
          </w:p>
        </w:tc>
      </w:tr>
      <w:tr w:rsidR="00F5634E" w:rsidRPr="00F56134" w14:paraId="0008E396"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32EFD034"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Vessel data and owners of vessel or boat</w:t>
            </w:r>
          </w:p>
        </w:tc>
        <w:tc>
          <w:tcPr>
            <w:tcW w:w="130" w:type="pct"/>
            <w:tcBorders>
              <w:top w:val="nil"/>
              <w:left w:val="nil"/>
              <w:bottom w:val="single" w:sz="8" w:space="0" w:color="FFFFFF"/>
              <w:right w:val="single" w:sz="8" w:space="0" w:color="FFFFFF"/>
            </w:tcBorders>
            <w:shd w:val="clear" w:color="000000" w:fill="F2F2F2"/>
            <w:noWrap/>
            <w:vAlign w:val="center"/>
          </w:tcPr>
          <w:p w14:paraId="3513273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AD552E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24D98E6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937F6C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30229F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5100EF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41B02B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B43B69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FC03EB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D3271A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33F13F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5ED038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0AE33D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608272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1D3182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A51615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F10E92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6CE4C9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35E518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6B1CE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C40E13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00C311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EC4888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B6E4A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76EF67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6F13F1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00E40E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DDBC46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30A033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42299152"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EBF6F1"/>
            <w:noWrap/>
            <w:vAlign w:val="bottom"/>
            <w:hideMark/>
          </w:tcPr>
          <w:p w14:paraId="4FB8CFCE" w14:textId="77777777" w:rsidR="000C73E9" w:rsidRPr="00346099" w:rsidRDefault="000C73E9" w:rsidP="00080E5C">
            <w:pPr>
              <w:rPr>
                <w:rFonts w:ascii="Verdana" w:hAnsi="Verdana"/>
                <w:noProof/>
                <w:sz w:val="12"/>
                <w:szCs w:val="12"/>
              </w:rPr>
            </w:pPr>
            <w:r w:rsidRPr="00346099">
              <w:rPr>
                <w:rFonts w:ascii="Verdana" w:hAnsi="Verdana"/>
                <w:noProof/>
                <w:sz w:val="12"/>
                <w:szCs w:val="12"/>
              </w:rPr>
              <w:t>2</w:t>
            </w:r>
          </w:p>
        </w:tc>
      </w:tr>
      <w:tr w:rsidR="00F5634E" w:rsidRPr="00F56134" w14:paraId="7B085A13"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00FAB7C"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Photographs</w:t>
            </w:r>
          </w:p>
        </w:tc>
        <w:tc>
          <w:tcPr>
            <w:tcW w:w="130" w:type="pct"/>
            <w:tcBorders>
              <w:top w:val="nil"/>
              <w:left w:val="nil"/>
              <w:bottom w:val="single" w:sz="8" w:space="0" w:color="FFFFFF"/>
              <w:right w:val="single" w:sz="8" w:space="0" w:color="FFFFFF"/>
            </w:tcBorders>
            <w:shd w:val="clear" w:color="000000" w:fill="F2F2F2"/>
            <w:noWrap/>
            <w:vAlign w:val="center"/>
          </w:tcPr>
          <w:p w14:paraId="2432A48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5DE35C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8C27E6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878A84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7DBE0A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945C64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4D53FD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3FE894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6E5136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D2723F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19CE0F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A6EB91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4BFC05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B435FD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2BF98F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0B5BEC8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08D1A9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2041B16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34024A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EC9BDE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C8828F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E97FC2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37B0F9A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B671A5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D6A7A2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8DD48B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C3B7BC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1097A2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3A1299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8C4D7B4"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0293CC11"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0DCCE74E"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0A748A10"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Film or video recordings</w:t>
            </w:r>
          </w:p>
        </w:tc>
        <w:tc>
          <w:tcPr>
            <w:tcW w:w="130" w:type="pct"/>
            <w:tcBorders>
              <w:top w:val="nil"/>
              <w:left w:val="nil"/>
              <w:bottom w:val="single" w:sz="8" w:space="0" w:color="FFFFFF"/>
              <w:right w:val="single" w:sz="8" w:space="0" w:color="FFFFFF"/>
            </w:tcBorders>
            <w:shd w:val="clear" w:color="000000" w:fill="F2F2F2"/>
            <w:noWrap/>
            <w:vAlign w:val="center"/>
          </w:tcPr>
          <w:p w14:paraId="33E1354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1C661E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12A6A4B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1E0A23D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060D2E9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2C147F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BF3E61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6CFD6A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E69AE2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74A51C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93009B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2F0D9A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CDB2D1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F5DBF7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A88339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6301A9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E78306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3E59F5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B1E576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60B9D8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6A703B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04705E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FBA818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108EA1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E0A7EB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3AB985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8FFBFB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66B547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E93D91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8FBC689"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3DFC2965"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400EC4F0"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08D24620"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Investigating the origin of motor vehicles and the data of vessels registered</w:t>
            </w:r>
          </w:p>
        </w:tc>
        <w:tc>
          <w:tcPr>
            <w:tcW w:w="130" w:type="pct"/>
            <w:tcBorders>
              <w:top w:val="nil"/>
              <w:left w:val="nil"/>
              <w:bottom w:val="single" w:sz="8" w:space="0" w:color="FFFFFF"/>
              <w:right w:val="single" w:sz="8" w:space="0" w:color="FFFFFF"/>
            </w:tcBorders>
            <w:shd w:val="clear" w:color="000000" w:fill="F2F2F2"/>
            <w:noWrap/>
            <w:vAlign w:val="center"/>
          </w:tcPr>
          <w:p w14:paraId="05D8E23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C6C02D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6B6EE2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2DABFB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CF95A6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550EA8A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E68796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905B4A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AF1A91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3F0B99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50C8E6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DC0CAC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82F422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80AA00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AAAD53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6C14A5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04D8C0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A029B3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109C51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EDA754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DD1AC3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FC8786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BFA04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A7542C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F8F847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FDA923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F291E7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78312E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A77EC1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5A8606F"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77883965"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74BFC033"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11A5FEBC"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Database of insurance companies</w:t>
            </w:r>
          </w:p>
        </w:tc>
        <w:tc>
          <w:tcPr>
            <w:tcW w:w="130" w:type="pct"/>
            <w:tcBorders>
              <w:top w:val="nil"/>
              <w:left w:val="nil"/>
              <w:bottom w:val="single" w:sz="8" w:space="0" w:color="FFFFFF"/>
              <w:right w:val="single" w:sz="8" w:space="0" w:color="FFFFFF"/>
            </w:tcBorders>
            <w:shd w:val="clear" w:color="000000" w:fill="F2F2F2"/>
            <w:noWrap/>
            <w:vAlign w:val="center"/>
          </w:tcPr>
          <w:p w14:paraId="282A3A1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702EB8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6137BB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47D8F6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FF3CC5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6F3291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97CC22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1232429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D31799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E1179E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F7F798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865F04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9BEE10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ACAB2B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D36D7A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BFC962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419710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F129E2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49C18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092ABA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5CF8A9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605B9A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4AFDE8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9F80CD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C10CE3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BC3425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CD3AAF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F53810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189D09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F134183"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10C51B94"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006593EB"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B3D50A5"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Passenger register (accommodation information)</w:t>
            </w:r>
          </w:p>
        </w:tc>
        <w:tc>
          <w:tcPr>
            <w:tcW w:w="130" w:type="pct"/>
            <w:tcBorders>
              <w:top w:val="nil"/>
              <w:left w:val="nil"/>
              <w:bottom w:val="single" w:sz="8" w:space="0" w:color="FFFFFF"/>
              <w:right w:val="single" w:sz="8" w:space="0" w:color="FFFFFF"/>
            </w:tcBorders>
            <w:shd w:val="clear" w:color="000000" w:fill="F2F2F2"/>
            <w:noWrap/>
            <w:vAlign w:val="center"/>
          </w:tcPr>
          <w:p w14:paraId="7A4BCE5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937B7F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9989EB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F0EEB7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A6B10D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870CF6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AD1AC6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68D10E7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725CE6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06BAB4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D9640D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84282F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AA66E1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DD9F23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D2F33D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6E416C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74B4E3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F04D0C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6CB181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8693A6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7F22C8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0A2155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519D1E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A97155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11B675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357D37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B59314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7C587C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FF7B71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D37AB3F"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1BB16B14"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3F90D643"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53E853F2"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E-mail or website address</w:t>
            </w:r>
          </w:p>
        </w:tc>
        <w:tc>
          <w:tcPr>
            <w:tcW w:w="130" w:type="pct"/>
            <w:tcBorders>
              <w:top w:val="nil"/>
              <w:left w:val="nil"/>
              <w:bottom w:val="single" w:sz="8" w:space="0" w:color="FFFFFF"/>
              <w:right w:val="single" w:sz="8" w:space="0" w:color="FFFFFF"/>
            </w:tcBorders>
            <w:shd w:val="clear" w:color="000000" w:fill="F2F2F2"/>
            <w:noWrap/>
            <w:vAlign w:val="center"/>
          </w:tcPr>
          <w:p w14:paraId="12E93FE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944A89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A0409A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7F4693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6748F4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0A9C17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B705CF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70ABE61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DA7150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DDF6C5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F4D010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82E44B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20DDC2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8C43B5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B25F4D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A2DB8D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718CB7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D41CF3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0B78C6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C915AF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F5B03D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1AEB70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6B1623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E1282F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7364E2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961695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912FE8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8BC603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DC49EA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B0884F5"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60E15543"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50DC24D4"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3278A9E6"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Databases/files of private service providers (hotels, car rental companies, cruise companies)</w:t>
            </w:r>
          </w:p>
        </w:tc>
        <w:tc>
          <w:tcPr>
            <w:tcW w:w="130" w:type="pct"/>
            <w:tcBorders>
              <w:top w:val="nil"/>
              <w:left w:val="nil"/>
              <w:bottom w:val="single" w:sz="8" w:space="0" w:color="FFFFFF"/>
              <w:right w:val="single" w:sz="8" w:space="0" w:color="FFFFFF"/>
            </w:tcBorders>
            <w:shd w:val="clear" w:color="000000" w:fill="F2F2F2"/>
            <w:noWrap/>
            <w:vAlign w:val="center"/>
          </w:tcPr>
          <w:p w14:paraId="5A1AA31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AEE73B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8DA9B6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587DF4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88CCCF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C9F8EA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030404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61E088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393A1A1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508495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9F245A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E67EB1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3B2CB1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D26F7B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AFB168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D9D1A0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EFC739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5EAEA7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03231D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0B0130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DD7A7C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54D214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B02E82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991ED7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E4F2C3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E60393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C7F906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D48E3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96003E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381C846"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44ECF0BC"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5EF43643"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287DAC43"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Databases/files of private clinics/hospitals</w:t>
            </w:r>
          </w:p>
        </w:tc>
        <w:tc>
          <w:tcPr>
            <w:tcW w:w="130" w:type="pct"/>
            <w:tcBorders>
              <w:top w:val="nil"/>
              <w:left w:val="nil"/>
              <w:bottom w:val="single" w:sz="8" w:space="0" w:color="FFFFFF"/>
              <w:right w:val="single" w:sz="8" w:space="0" w:color="FFFFFF"/>
            </w:tcBorders>
            <w:shd w:val="clear" w:color="000000" w:fill="F2F2F2"/>
            <w:noWrap/>
            <w:vAlign w:val="center"/>
          </w:tcPr>
          <w:p w14:paraId="7846589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DC2437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0A2401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B8247E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00CC7D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55CB23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02ED48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F9B4CD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53E027E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9689C0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D372FE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934BB6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7074BF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DFB31B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8AFA05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4A6CF1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E62B87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C4C49C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5B85F1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D24EDD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CC52DF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380526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CE67AA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0FC6A2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E8236C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47D83B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E328EC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49CEBF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3165EF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C470985"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5C450596"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43AFC1A7"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59D2A252"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Databases/files of advertising companies</w:t>
            </w:r>
          </w:p>
        </w:tc>
        <w:tc>
          <w:tcPr>
            <w:tcW w:w="130" w:type="pct"/>
            <w:tcBorders>
              <w:top w:val="nil"/>
              <w:left w:val="nil"/>
              <w:bottom w:val="single" w:sz="8" w:space="0" w:color="FFFFFF"/>
              <w:right w:val="single" w:sz="8" w:space="0" w:color="FFFFFF"/>
            </w:tcBorders>
            <w:shd w:val="clear" w:color="000000" w:fill="F2F2F2"/>
            <w:noWrap/>
            <w:vAlign w:val="center"/>
          </w:tcPr>
          <w:p w14:paraId="00AA18E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88A2C1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7CA1D7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FDA0D0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B339C9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60B9F5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6EC3C2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FCB4C9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4546738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ACAFC1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836472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554E84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560CE3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DD3810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6099EB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2A1BB7A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61CA0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6903D2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6867CA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069B03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19A371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440A35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EC7CA3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1A5E9B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502DDE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A06CB8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1BA6B6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7B84B0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42427B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A15345D"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6A8677D3"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093E5D5E"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48A50201"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Money electronic transfer companies</w:t>
            </w:r>
          </w:p>
        </w:tc>
        <w:tc>
          <w:tcPr>
            <w:tcW w:w="130" w:type="pct"/>
            <w:tcBorders>
              <w:top w:val="nil"/>
              <w:left w:val="nil"/>
              <w:bottom w:val="single" w:sz="8" w:space="0" w:color="FFFFFF"/>
              <w:right w:val="single" w:sz="8" w:space="0" w:color="FFFFFF"/>
            </w:tcBorders>
            <w:shd w:val="clear" w:color="000000" w:fill="F2F2F2"/>
            <w:noWrap/>
            <w:vAlign w:val="center"/>
          </w:tcPr>
          <w:p w14:paraId="7D4AAE2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507636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77C8B6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FFBEDD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EE036A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A9CC37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B0455C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05B4BC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697793D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B70A5C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B94C65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589EBE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72B867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BD12CC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2AFFA6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0426240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640D58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04C12E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17DFB9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92A8BC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0403D2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B7723C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4A3CFD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B689F4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7B3478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3CBCCA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C75F40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41EE16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FBAA6E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6A1CE60"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7877066C"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027FE08B"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389083A4"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Passports and identity documents</w:t>
            </w:r>
          </w:p>
        </w:tc>
        <w:tc>
          <w:tcPr>
            <w:tcW w:w="130" w:type="pct"/>
            <w:tcBorders>
              <w:top w:val="nil"/>
              <w:left w:val="nil"/>
              <w:bottom w:val="single" w:sz="8" w:space="0" w:color="FFFFFF"/>
              <w:right w:val="single" w:sz="8" w:space="0" w:color="FFFFFF"/>
            </w:tcBorders>
            <w:shd w:val="clear" w:color="000000" w:fill="F2F2F2"/>
            <w:noWrap/>
            <w:vAlign w:val="center"/>
          </w:tcPr>
          <w:p w14:paraId="1B16EFA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9F5125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29CE702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FB2218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FBCEDD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DFD3B2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6D23BA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A47474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B85CE2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74173F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50AE2D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5DACFB3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02F48A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102DAF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596838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A40B76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FC97AD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2F7B0E7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EE7663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E4A1F0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C954CD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6B1091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0B70B2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934AA4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75DD2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8B12BA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FE5933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54E93F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28FD1B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26DF30F"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7F127783"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58601694"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ED5E306"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Citizenship records</w:t>
            </w:r>
          </w:p>
        </w:tc>
        <w:tc>
          <w:tcPr>
            <w:tcW w:w="130" w:type="pct"/>
            <w:tcBorders>
              <w:top w:val="nil"/>
              <w:left w:val="nil"/>
              <w:bottom w:val="single" w:sz="8" w:space="0" w:color="FFFFFF"/>
              <w:right w:val="single" w:sz="8" w:space="0" w:color="FFFFFF"/>
            </w:tcBorders>
            <w:shd w:val="clear" w:color="000000" w:fill="F2F2F2"/>
            <w:noWrap/>
            <w:vAlign w:val="center"/>
          </w:tcPr>
          <w:p w14:paraId="6E7355A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9AA4EA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598F65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82E9FD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FB63B3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D09A2F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5BDA16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6E553F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6D408D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F65256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659E5A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1CCC2D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075C67C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F06592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196B31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D613A5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60721C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2AA7759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556A7F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877DDC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9848DD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D42237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D571BB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1D0129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665876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008CA9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C500D7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620900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A43210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C580A3A"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788D1B5F"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71C68051"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94F0A66"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Gaming authority database</w:t>
            </w:r>
          </w:p>
        </w:tc>
        <w:tc>
          <w:tcPr>
            <w:tcW w:w="130" w:type="pct"/>
            <w:tcBorders>
              <w:top w:val="nil"/>
              <w:left w:val="nil"/>
              <w:bottom w:val="single" w:sz="8" w:space="0" w:color="FFFFFF"/>
              <w:right w:val="single" w:sz="8" w:space="0" w:color="FFFFFF"/>
            </w:tcBorders>
            <w:shd w:val="clear" w:color="000000" w:fill="F2F2F2"/>
            <w:noWrap/>
            <w:vAlign w:val="center"/>
          </w:tcPr>
          <w:p w14:paraId="684ED4B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342DBB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26F43C5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2BBEAA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E2553E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9113D0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55E500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E307EA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5776DF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1C15C8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207F77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6AE830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FE6613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42D40F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723366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CEAD70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846DCB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18E176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32553E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A101A9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6D8AE5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51A5A60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ADE897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64CAC4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679873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F45330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CC2880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DE9462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934A59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3C0D1B8"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573A4719"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33D4213F"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67359564"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Information from service providers about the localisation of mobile phones</w:t>
            </w:r>
          </w:p>
        </w:tc>
        <w:tc>
          <w:tcPr>
            <w:tcW w:w="130" w:type="pct"/>
            <w:tcBorders>
              <w:top w:val="nil"/>
              <w:left w:val="nil"/>
              <w:bottom w:val="single" w:sz="8" w:space="0" w:color="FFFFFF"/>
              <w:right w:val="single" w:sz="8" w:space="0" w:color="FFFFFF"/>
            </w:tcBorders>
            <w:shd w:val="clear" w:color="000000" w:fill="F2F2F2"/>
            <w:noWrap/>
            <w:vAlign w:val="center"/>
          </w:tcPr>
          <w:p w14:paraId="0DB101C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A9F2BE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2765191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C81243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157DC3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2A7789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DCA914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F330DE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4A945F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CEDCF8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A401E4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8D568C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E21409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CB7670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2F740F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283448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0E7D25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87E584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20CBC5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DA1F95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9E7977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74AA525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525066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874808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872A6D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1772EA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4452DA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CF65FD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2C705E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83A7079"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44F9879B"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1B05B185"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6C0C42DA"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Status of foreign nationals</w:t>
            </w:r>
          </w:p>
        </w:tc>
        <w:tc>
          <w:tcPr>
            <w:tcW w:w="130" w:type="pct"/>
            <w:tcBorders>
              <w:top w:val="nil"/>
              <w:left w:val="nil"/>
              <w:bottom w:val="single" w:sz="8" w:space="0" w:color="FFFFFF"/>
              <w:right w:val="single" w:sz="8" w:space="0" w:color="FFFFFF"/>
            </w:tcBorders>
            <w:shd w:val="clear" w:color="000000" w:fill="F2F2F2"/>
            <w:noWrap/>
            <w:vAlign w:val="center"/>
          </w:tcPr>
          <w:p w14:paraId="2D6DA4A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2524D1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A6474E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AE66E7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528477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54B36B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17FD09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F7137B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5728C8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68590A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D0C05D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1486CB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27F3BA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620AF6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EF65A5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0BF567F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0A35CA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6275E2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F53909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3DF31C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4862E6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AAE462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3AC7581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C8B03C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C1BF30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748482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B05323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163982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4D20BC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919CC72"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4DC50961"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630F3B8F"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447808A4"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Registered debts such as taxes, maintenance, fines, debts to individual guarantors, etc</w:t>
            </w:r>
          </w:p>
        </w:tc>
        <w:tc>
          <w:tcPr>
            <w:tcW w:w="130" w:type="pct"/>
            <w:tcBorders>
              <w:top w:val="nil"/>
              <w:left w:val="nil"/>
              <w:bottom w:val="single" w:sz="8" w:space="0" w:color="FFFFFF"/>
              <w:right w:val="single" w:sz="8" w:space="0" w:color="FFFFFF"/>
            </w:tcBorders>
            <w:shd w:val="clear" w:color="000000" w:fill="F2F2F2"/>
            <w:noWrap/>
            <w:vAlign w:val="center"/>
          </w:tcPr>
          <w:p w14:paraId="4BF066C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0A49D8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263C938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CF42DB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E8B45A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FFC3F6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B1A536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BFE546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6F815C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6678B5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D5A717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1BF8D5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C9D20E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304653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AAC906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92D997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56430A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FAA939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DEDC31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561B65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09C62E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A8AD5B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B3698B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88E65C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9E331F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C00FD8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D0A858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7B2287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8C770E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6439B5E"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1AAC679A"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6B87DFD9"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5A6CDB21"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Reports, analyses and intelligence concerning criminal investigations</w:t>
            </w:r>
          </w:p>
        </w:tc>
        <w:tc>
          <w:tcPr>
            <w:tcW w:w="130" w:type="pct"/>
            <w:tcBorders>
              <w:top w:val="nil"/>
              <w:left w:val="nil"/>
              <w:bottom w:val="single" w:sz="8" w:space="0" w:color="FFFFFF"/>
              <w:right w:val="single" w:sz="8" w:space="0" w:color="FFFFFF"/>
            </w:tcBorders>
            <w:shd w:val="clear" w:color="000000" w:fill="F2F2F2"/>
            <w:noWrap/>
            <w:vAlign w:val="center"/>
          </w:tcPr>
          <w:p w14:paraId="1D1F565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63FD07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92C8FE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6D98D59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B4647A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2370CF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4F8FD8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F23EF7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0A5F7D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A214CD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A8CCEB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6E3CFD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CA9919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043657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4973EC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94FF78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BD8392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1158D1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2D1C7C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4E9E7C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C6D5F8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AF6E4F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CBB65B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C3948D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CAB23A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C83EAE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BD777F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21DC4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20B72D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C40A786"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47679339"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6D019776"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56A3887C"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Criminal intelligence register</w:t>
            </w:r>
          </w:p>
        </w:tc>
        <w:tc>
          <w:tcPr>
            <w:tcW w:w="130" w:type="pct"/>
            <w:tcBorders>
              <w:top w:val="nil"/>
              <w:left w:val="nil"/>
              <w:bottom w:val="single" w:sz="8" w:space="0" w:color="FFFFFF"/>
              <w:right w:val="single" w:sz="8" w:space="0" w:color="FFFFFF"/>
            </w:tcBorders>
            <w:shd w:val="clear" w:color="000000" w:fill="F2F2F2"/>
            <w:noWrap/>
            <w:vAlign w:val="center"/>
          </w:tcPr>
          <w:p w14:paraId="5AB7D23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9095C2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72136E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043597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2CBEA2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3E264F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F47EAD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508F9C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463C9B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33E840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05C588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1BE597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E7BEDD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36064B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40493D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EA9D89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E6AEA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20C75DD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B67CFC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89AFAD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C967D2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44CE41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74D8125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0454DD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DC89CE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4383BA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C5591E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9CACD5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4336F1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438ECCB"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36E0E6C3"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68EE333A"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11C74CA"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Customs authorities’ information on import and export of goods</w:t>
            </w:r>
          </w:p>
        </w:tc>
        <w:tc>
          <w:tcPr>
            <w:tcW w:w="130" w:type="pct"/>
            <w:tcBorders>
              <w:top w:val="nil"/>
              <w:left w:val="nil"/>
              <w:bottom w:val="single" w:sz="8" w:space="0" w:color="FFFFFF"/>
              <w:right w:val="single" w:sz="8" w:space="0" w:color="FFFFFF"/>
            </w:tcBorders>
            <w:shd w:val="clear" w:color="000000" w:fill="F2F2F2"/>
            <w:noWrap/>
            <w:vAlign w:val="center"/>
          </w:tcPr>
          <w:p w14:paraId="6BB94B0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E7FA60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2104E3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694F29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B2A57B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273629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F9B132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B3A8B2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FF8EB5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B68A3A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85BD32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5BF641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A6EBA2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4E8BCD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FA261C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38E9E1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15376D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A03604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E90C6B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324A5F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0009B4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251A76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18F94C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C4C3E6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40315F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56F6E9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7EF17A7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0F4974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25D3DE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E1D04CA"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5A4D777F"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53EC18C8"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15302E16"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Intellectual property rights</w:t>
            </w:r>
          </w:p>
        </w:tc>
        <w:tc>
          <w:tcPr>
            <w:tcW w:w="130" w:type="pct"/>
            <w:tcBorders>
              <w:top w:val="nil"/>
              <w:left w:val="nil"/>
              <w:bottom w:val="single" w:sz="8" w:space="0" w:color="FFFFFF"/>
              <w:right w:val="single" w:sz="8" w:space="0" w:color="FFFFFF"/>
            </w:tcBorders>
            <w:shd w:val="clear" w:color="000000" w:fill="F2F2F2"/>
            <w:noWrap/>
            <w:vAlign w:val="center"/>
          </w:tcPr>
          <w:p w14:paraId="7464B8B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70E28B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53C697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09A6DF8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1DA546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FE5A24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78F5EF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23B66D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BE57E5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E2D35A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76F7A1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AACAAD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D21C63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3BD8E2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A03897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4BE955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E7514E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CAF04E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15D0EB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A09ED2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9DAC76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91FBD8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1B62C5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4D113E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3F635A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775173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52097B9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0D82AE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FF3875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C9CB648"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7309A42C"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6E9219C9" w14:textId="77777777" w:rsidTr="00080E5C">
        <w:trPr>
          <w:trHeight w:val="102"/>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237F809B"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Visa</w:t>
            </w:r>
          </w:p>
        </w:tc>
        <w:tc>
          <w:tcPr>
            <w:tcW w:w="130" w:type="pct"/>
            <w:tcBorders>
              <w:top w:val="nil"/>
              <w:left w:val="nil"/>
              <w:bottom w:val="single" w:sz="8" w:space="0" w:color="FFFFFF"/>
              <w:right w:val="single" w:sz="8" w:space="0" w:color="FFFFFF"/>
            </w:tcBorders>
            <w:shd w:val="clear" w:color="000000" w:fill="F2F2F2"/>
            <w:noWrap/>
            <w:vAlign w:val="center"/>
          </w:tcPr>
          <w:p w14:paraId="6D758CE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1AA740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1331CD6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78A14C8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F025AD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862FA8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832483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C0935E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866BE08"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895193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AF42FF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4DFDA6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ACBC2C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5FBCF5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84F0DC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BD09A2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CB7BF7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038E92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25594E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83E0E9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FC2012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0B25D2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5AB847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006B6E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CA2CAA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C4443C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41E7FE9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C1F62B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B19E6B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BB58A40"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4E856575"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7283C930"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5F41D84"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Management information system on cultural goods</w:t>
            </w:r>
          </w:p>
        </w:tc>
        <w:tc>
          <w:tcPr>
            <w:tcW w:w="130" w:type="pct"/>
            <w:tcBorders>
              <w:top w:val="nil"/>
              <w:left w:val="nil"/>
              <w:bottom w:val="single" w:sz="8" w:space="0" w:color="FFFFFF"/>
              <w:right w:val="single" w:sz="8" w:space="0" w:color="FFFFFF"/>
            </w:tcBorders>
            <w:shd w:val="clear" w:color="000000" w:fill="F2F2F2"/>
            <w:noWrap/>
            <w:vAlign w:val="center"/>
          </w:tcPr>
          <w:p w14:paraId="311D479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B4F4DD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C69BB2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F3D615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0CB495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1C8DA6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16EA44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CA177A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9796C6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23FD67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612D45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B69E4C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87A93D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186682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C56CA8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8A5856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0FA866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760333B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3E4284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2EA378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E61537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6CBEE1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7AF8B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0A3B1E9"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2ED0B0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ACD5ED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23BC40A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808819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9601F3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799BADA"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2FA1F013"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05CF49A2"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44CA30CC"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Information on transportation on inland waters</w:t>
            </w:r>
          </w:p>
        </w:tc>
        <w:tc>
          <w:tcPr>
            <w:tcW w:w="130" w:type="pct"/>
            <w:tcBorders>
              <w:top w:val="nil"/>
              <w:left w:val="nil"/>
              <w:bottom w:val="single" w:sz="8" w:space="0" w:color="FFFFFF"/>
              <w:right w:val="single" w:sz="8" w:space="0" w:color="FFFFFF"/>
            </w:tcBorders>
            <w:shd w:val="clear" w:color="000000" w:fill="F2F2F2"/>
            <w:noWrap/>
            <w:vAlign w:val="center"/>
          </w:tcPr>
          <w:p w14:paraId="1BBECD6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1DB240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4F0266E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2A31980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BA1868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EB1CD6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622517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D9B588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B9F41C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7AA4A6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AF426B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37EB651"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F2507D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AAB52D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997079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20ABF6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15E08B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6F81520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F35F3C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3D5C32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AAD83C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DA5D28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D8B097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9F80F4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C6FBF5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60D03B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6C544E68"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950DE3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E690C1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F01A5CD"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4D425BF9"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2389FDF7"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C488E16"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Data concerning aircraft and owners of aircraft</w:t>
            </w:r>
          </w:p>
        </w:tc>
        <w:tc>
          <w:tcPr>
            <w:tcW w:w="130" w:type="pct"/>
            <w:tcBorders>
              <w:top w:val="nil"/>
              <w:left w:val="nil"/>
              <w:bottom w:val="single" w:sz="8" w:space="0" w:color="FFFFFF"/>
              <w:right w:val="single" w:sz="8" w:space="0" w:color="FFFFFF"/>
            </w:tcBorders>
            <w:shd w:val="clear" w:color="000000" w:fill="F2F2F2"/>
            <w:noWrap/>
            <w:vAlign w:val="center"/>
          </w:tcPr>
          <w:p w14:paraId="067FD1B7"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09D065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5309F00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F4B340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317124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6725410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B3C807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B18FD5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8BAED1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62624C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05CF00F"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872312A"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FD4D73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4350978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5D323F4"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1016FF1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D44D8B7"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353AC9A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B562DE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42CFAC0"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C9C51D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3FBB65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A8FD5F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B0F555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648EB4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677D1F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DBE1D1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16FA01A"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25DD2B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002060"/>
            <w:vAlign w:val="center"/>
          </w:tcPr>
          <w:p w14:paraId="0468DAEC"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45A3448F"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09151FFF"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F2F2F2"/>
            <w:noWrap/>
            <w:vAlign w:val="center"/>
            <w:hideMark/>
          </w:tcPr>
          <w:p w14:paraId="7FE0A24D"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Persons convicted of crime (criminal records)</w:t>
            </w:r>
          </w:p>
        </w:tc>
        <w:tc>
          <w:tcPr>
            <w:tcW w:w="130" w:type="pct"/>
            <w:tcBorders>
              <w:top w:val="nil"/>
              <w:left w:val="nil"/>
              <w:bottom w:val="single" w:sz="8" w:space="0" w:color="FFFFFF"/>
              <w:right w:val="single" w:sz="8" w:space="0" w:color="FFFFFF"/>
            </w:tcBorders>
            <w:shd w:val="clear" w:color="000000" w:fill="F2F2F2"/>
            <w:noWrap/>
            <w:vAlign w:val="center"/>
          </w:tcPr>
          <w:p w14:paraId="67BF5F4D"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33B80C94"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36C74A0E"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vAlign w:val="center"/>
          </w:tcPr>
          <w:p w14:paraId="1670CF15"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0C523D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5FD707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6D11C6B"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F3BEBE9"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58D5F9DC"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23DF5590"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002060"/>
            <w:noWrap/>
            <w:vAlign w:val="center"/>
          </w:tcPr>
          <w:p w14:paraId="49E22F02"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05323453"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720E0A66" w14:textId="77777777" w:rsidR="000C73E9" w:rsidRPr="00346099" w:rsidRDefault="000C73E9" w:rsidP="00080E5C">
            <w:pPr>
              <w:rPr>
                <w:rFonts w:ascii="Verdana" w:hAnsi="Verdana"/>
                <w:noProof/>
                <w:sz w:val="12"/>
                <w:szCs w:val="12"/>
              </w:rPr>
            </w:pPr>
          </w:p>
        </w:tc>
        <w:tc>
          <w:tcPr>
            <w:tcW w:w="130" w:type="pct"/>
            <w:tcBorders>
              <w:top w:val="nil"/>
              <w:left w:val="nil"/>
              <w:bottom w:val="single" w:sz="8" w:space="0" w:color="FFFFFF"/>
              <w:right w:val="single" w:sz="8" w:space="0" w:color="FFFFFF"/>
            </w:tcBorders>
            <w:shd w:val="clear" w:color="000000" w:fill="F2F2F2"/>
            <w:noWrap/>
            <w:vAlign w:val="center"/>
          </w:tcPr>
          <w:p w14:paraId="1FB1D86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04C6B551"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5626A11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2FFDAA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808080"/>
            <w:vAlign w:val="center"/>
          </w:tcPr>
          <w:p w14:paraId="4C753CCC"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AA340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49BBDAD"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5C85F5B"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12FEE0C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570301E5"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96C9DD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6EFE6F2"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7C7BA156"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2DE94EC3"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6A7F65AE"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346CB20F" w14:textId="77777777" w:rsidR="000C73E9" w:rsidRPr="00346099" w:rsidRDefault="000C73E9" w:rsidP="00080E5C">
            <w:pPr>
              <w:rPr>
                <w:rFonts w:ascii="Verdana" w:hAnsi="Verdana"/>
                <w:noProof/>
                <w:sz w:val="12"/>
                <w:szCs w:val="12"/>
              </w:rPr>
            </w:pPr>
          </w:p>
        </w:tc>
        <w:tc>
          <w:tcPr>
            <w:tcW w:w="131" w:type="pct"/>
            <w:tcBorders>
              <w:top w:val="nil"/>
              <w:left w:val="nil"/>
              <w:bottom w:val="single" w:sz="8" w:space="0" w:color="FFFFFF"/>
              <w:right w:val="single" w:sz="8" w:space="0" w:color="FFFFFF"/>
            </w:tcBorders>
            <w:shd w:val="clear" w:color="000000" w:fill="F2F2F2"/>
            <w:vAlign w:val="center"/>
          </w:tcPr>
          <w:p w14:paraId="48F7A7DD" w14:textId="77777777" w:rsidR="000C73E9" w:rsidRPr="00346099" w:rsidRDefault="000C73E9" w:rsidP="00080E5C">
            <w:pPr>
              <w:rPr>
                <w:rFonts w:ascii="Verdana" w:hAnsi="Verdana"/>
                <w:noProof/>
                <w:sz w:val="12"/>
                <w:szCs w:val="12"/>
              </w:rPr>
            </w:pPr>
          </w:p>
        </w:tc>
        <w:tc>
          <w:tcPr>
            <w:tcW w:w="131" w:type="pct"/>
            <w:tcBorders>
              <w:top w:val="nil"/>
              <w:left w:val="nil"/>
              <w:bottom w:val="nil"/>
              <w:right w:val="nil"/>
            </w:tcBorders>
            <w:shd w:val="clear" w:color="000000" w:fill="FCFCFF"/>
            <w:noWrap/>
            <w:vAlign w:val="bottom"/>
            <w:hideMark/>
          </w:tcPr>
          <w:p w14:paraId="5FEFAEE3" w14:textId="77777777" w:rsidR="000C73E9" w:rsidRPr="00346099" w:rsidRDefault="000C73E9" w:rsidP="00080E5C">
            <w:pPr>
              <w:rPr>
                <w:rFonts w:ascii="Verdana" w:hAnsi="Verdana"/>
                <w:noProof/>
                <w:sz w:val="12"/>
                <w:szCs w:val="12"/>
              </w:rPr>
            </w:pPr>
            <w:r w:rsidRPr="00346099">
              <w:rPr>
                <w:rFonts w:ascii="Verdana" w:hAnsi="Verdana"/>
                <w:noProof/>
                <w:sz w:val="12"/>
                <w:szCs w:val="12"/>
              </w:rPr>
              <w:t>1</w:t>
            </w:r>
          </w:p>
        </w:tc>
      </w:tr>
      <w:tr w:rsidR="00F5634E" w:rsidRPr="00F56134" w14:paraId="031672CE" w14:textId="77777777" w:rsidTr="00080E5C">
        <w:trPr>
          <w:trHeight w:val="20"/>
        </w:trPr>
        <w:tc>
          <w:tcPr>
            <w:tcW w:w="959" w:type="pct"/>
            <w:tcBorders>
              <w:top w:val="nil"/>
              <w:left w:val="single" w:sz="8" w:space="0" w:color="FFFFFF"/>
              <w:bottom w:val="single" w:sz="8" w:space="0" w:color="FFFFFF"/>
              <w:right w:val="single" w:sz="8" w:space="0" w:color="FFFFFF"/>
            </w:tcBorders>
            <w:shd w:val="clear" w:color="000000" w:fill="000000"/>
            <w:noWrap/>
            <w:vAlign w:val="center"/>
            <w:hideMark/>
          </w:tcPr>
          <w:p w14:paraId="0A7931D6" w14:textId="77777777" w:rsidR="000C73E9" w:rsidRPr="00346099" w:rsidRDefault="000C73E9" w:rsidP="00080E5C">
            <w:pPr>
              <w:rPr>
                <w:rFonts w:ascii="Verdana" w:hAnsi="Verdana"/>
                <w:b/>
                <w:bCs/>
                <w:noProof/>
                <w:sz w:val="12"/>
                <w:szCs w:val="12"/>
              </w:rPr>
            </w:pPr>
            <w:r w:rsidRPr="00346099">
              <w:rPr>
                <w:rFonts w:ascii="Verdana" w:hAnsi="Verdana"/>
                <w:b/>
                <w:bCs/>
                <w:noProof/>
                <w:sz w:val="12"/>
                <w:szCs w:val="12"/>
              </w:rPr>
              <w:t>Total</w:t>
            </w:r>
          </w:p>
        </w:tc>
        <w:tc>
          <w:tcPr>
            <w:tcW w:w="130" w:type="pct"/>
            <w:tcBorders>
              <w:top w:val="nil"/>
              <w:left w:val="nil"/>
              <w:bottom w:val="nil"/>
              <w:right w:val="nil"/>
            </w:tcBorders>
            <w:shd w:val="clear" w:color="000000" w:fill="EFF7F3"/>
            <w:noWrap/>
            <w:vAlign w:val="center"/>
            <w:hideMark/>
          </w:tcPr>
          <w:p w14:paraId="66799B0F"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0" w:type="pct"/>
            <w:tcBorders>
              <w:top w:val="nil"/>
              <w:left w:val="nil"/>
              <w:bottom w:val="nil"/>
              <w:right w:val="nil"/>
            </w:tcBorders>
            <w:shd w:val="clear" w:color="000000" w:fill="EFF7F3"/>
            <w:noWrap/>
            <w:vAlign w:val="center"/>
            <w:hideMark/>
          </w:tcPr>
          <w:p w14:paraId="623E70C1"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0" w:type="pct"/>
            <w:tcBorders>
              <w:top w:val="nil"/>
              <w:left w:val="nil"/>
              <w:bottom w:val="nil"/>
              <w:right w:val="nil"/>
            </w:tcBorders>
            <w:shd w:val="clear" w:color="000000" w:fill="D3ECDB"/>
            <w:noWrap/>
            <w:vAlign w:val="center"/>
            <w:hideMark/>
          </w:tcPr>
          <w:p w14:paraId="107881F2"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3</w:t>
            </w:r>
          </w:p>
        </w:tc>
        <w:tc>
          <w:tcPr>
            <w:tcW w:w="130" w:type="pct"/>
            <w:tcBorders>
              <w:top w:val="nil"/>
              <w:left w:val="nil"/>
              <w:bottom w:val="nil"/>
              <w:right w:val="nil"/>
            </w:tcBorders>
            <w:shd w:val="clear" w:color="000000" w:fill="EFF7F3"/>
            <w:noWrap/>
            <w:vAlign w:val="center"/>
            <w:hideMark/>
          </w:tcPr>
          <w:p w14:paraId="7A1DCE9E"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0" w:type="pct"/>
            <w:tcBorders>
              <w:top w:val="nil"/>
              <w:left w:val="nil"/>
              <w:bottom w:val="nil"/>
              <w:right w:val="nil"/>
            </w:tcBorders>
            <w:shd w:val="clear" w:color="000000" w:fill="D3ECDB"/>
            <w:noWrap/>
            <w:vAlign w:val="center"/>
            <w:hideMark/>
          </w:tcPr>
          <w:p w14:paraId="648C7BF5"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3</w:t>
            </w:r>
          </w:p>
        </w:tc>
        <w:tc>
          <w:tcPr>
            <w:tcW w:w="130" w:type="pct"/>
            <w:tcBorders>
              <w:top w:val="nil"/>
              <w:left w:val="nil"/>
              <w:bottom w:val="nil"/>
              <w:right w:val="nil"/>
            </w:tcBorders>
            <w:shd w:val="clear" w:color="000000" w:fill="EFF7F3"/>
            <w:noWrap/>
            <w:vAlign w:val="center"/>
            <w:hideMark/>
          </w:tcPr>
          <w:p w14:paraId="7C7C49E1"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0" w:type="pct"/>
            <w:tcBorders>
              <w:top w:val="nil"/>
              <w:left w:val="nil"/>
              <w:bottom w:val="nil"/>
              <w:right w:val="nil"/>
            </w:tcBorders>
            <w:shd w:val="clear" w:color="000000" w:fill="EFF7F3"/>
            <w:noWrap/>
            <w:vAlign w:val="center"/>
            <w:hideMark/>
          </w:tcPr>
          <w:p w14:paraId="472B41D0"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0" w:type="pct"/>
            <w:tcBorders>
              <w:top w:val="nil"/>
              <w:left w:val="nil"/>
              <w:bottom w:val="nil"/>
              <w:right w:val="nil"/>
            </w:tcBorders>
            <w:shd w:val="clear" w:color="000000" w:fill="9BD5AB"/>
            <w:noWrap/>
            <w:vAlign w:val="center"/>
            <w:hideMark/>
          </w:tcPr>
          <w:p w14:paraId="618892D1"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7</w:t>
            </w:r>
          </w:p>
        </w:tc>
        <w:tc>
          <w:tcPr>
            <w:tcW w:w="130" w:type="pct"/>
            <w:tcBorders>
              <w:top w:val="nil"/>
              <w:left w:val="nil"/>
              <w:bottom w:val="nil"/>
              <w:right w:val="nil"/>
            </w:tcBorders>
            <w:shd w:val="clear" w:color="000000" w:fill="B7E0C3"/>
            <w:noWrap/>
            <w:vAlign w:val="center"/>
            <w:hideMark/>
          </w:tcPr>
          <w:p w14:paraId="4F7535FD"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5</w:t>
            </w:r>
          </w:p>
        </w:tc>
        <w:tc>
          <w:tcPr>
            <w:tcW w:w="130" w:type="pct"/>
            <w:tcBorders>
              <w:top w:val="nil"/>
              <w:left w:val="nil"/>
              <w:bottom w:val="nil"/>
              <w:right w:val="nil"/>
            </w:tcBorders>
            <w:shd w:val="clear" w:color="000000" w:fill="D3ECDB"/>
            <w:noWrap/>
            <w:vAlign w:val="center"/>
            <w:hideMark/>
          </w:tcPr>
          <w:p w14:paraId="5EA5117C"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3</w:t>
            </w:r>
          </w:p>
        </w:tc>
        <w:tc>
          <w:tcPr>
            <w:tcW w:w="130" w:type="pct"/>
            <w:tcBorders>
              <w:top w:val="nil"/>
              <w:left w:val="nil"/>
              <w:bottom w:val="nil"/>
              <w:right w:val="nil"/>
            </w:tcBorders>
            <w:shd w:val="clear" w:color="000000" w:fill="D3ECDB"/>
            <w:noWrap/>
            <w:vAlign w:val="center"/>
            <w:hideMark/>
          </w:tcPr>
          <w:p w14:paraId="7D9CB56F"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3</w:t>
            </w:r>
          </w:p>
        </w:tc>
        <w:tc>
          <w:tcPr>
            <w:tcW w:w="130" w:type="pct"/>
            <w:tcBorders>
              <w:top w:val="nil"/>
              <w:left w:val="nil"/>
              <w:bottom w:val="nil"/>
              <w:right w:val="nil"/>
            </w:tcBorders>
            <w:shd w:val="clear" w:color="000000" w:fill="EFF7F3"/>
            <w:noWrap/>
            <w:vAlign w:val="center"/>
            <w:hideMark/>
          </w:tcPr>
          <w:p w14:paraId="7FE95908"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0" w:type="pct"/>
            <w:tcBorders>
              <w:top w:val="nil"/>
              <w:left w:val="nil"/>
              <w:bottom w:val="nil"/>
              <w:right w:val="nil"/>
            </w:tcBorders>
            <w:shd w:val="clear" w:color="000000" w:fill="9BD5AB"/>
            <w:noWrap/>
            <w:vAlign w:val="center"/>
            <w:hideMark/>
          </w:tcPr>
          <w:p w14:paraId="360995E5"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7</w:t>
            </w:r>
          </w:p>
        </w:tc>
        <w:tc>
          <w:tcPr>
            <w:tcW w:w="130" w:type="pct"/>
            <w:tcBorders>
              <w:top w:val="nil"/>
              <w:left w:val="nil"/>
              <w:bottom w:val="nil"/>
              <w:right w:val="nil"/>
            </w:tcBorders>
            <w:shd w:val="clear" w:color="000000" w:fill="EFF7F3"/>
            <w:noWrap/>
            <w:vAlign w:val="center"/>
            <w:hideMark/>
          </w:tcPr>
          <w:p w14:paraId="28C85420"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1" w:type="pct"/>
            <w:tcBorders>
              <w:top w:val="nil"/>
              <w:left w:val="nil"/>
              <w:bottom w:val="nil"/>
              <w:right w:val="nil"/>
            </w:tcBorders>
            <w:shd w:val="clear" w:color="000000" w:fill="C5E6CF"/>
            <w:noWrap/>
            <w:vAlign w:val="center"/>
            <w:hideMark/>
          </w:tcPr>
          <w:p w14:paraId="2850129D"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4</w:t>
            </w:r>
          </w:p>
        </w:tc>
        <w:tc>
          <w:tcPr>
            <w:tcW w:w="131" w:type="pct"/>
            <w:tcBorders>
              <w:top w:val="nil"/>
              <w:left w:val="nil"/>
              <w:bottom w:val="nil"/>
              <w:right w:val="nil"/>
            </w:tcBorders>
            <w:shd w:val="clear" w:color="000000" w:fill="FCFCFF"/>
            <w:noWrap/>
            <w:vAlign w:val="center"/>
            <w:hideMark/>
          </w:tcPr>
          <w:p w14:paraId="22E6D359"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0</w:t>
            </w:r>
          </w:p>
        </w:tc>
        <w:tc>
          <w:tcPr>
            <w:tcW w:w="131" w:type="pct"/>
            <w:tcBorders>
              <w:top w:val="nil"/>
              <w:left w:val="nil"/>
              <w:bottom w:val="nil"/>
              <w:right w:val="nil"/>
            </w:tcBorders>
            <w:shd w:val="clear" w:color="000000" w:fill="FCFCFF"/>
            <w:noWrap/>
            <w:vAlign w:val="center"/>
            <w:hideMark/>
          </w:tcPr>
          <w:p w14:paraId="0C46CDA9"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0</w:t>
            </w:r>
          </w:p>
        </w:tc>
        <w:tc>
          <w:tcPr>
            <w:tcW w:w="131" w:type="pct"/>
            <w:tcBorders>
              <w:top w:val="nil"/>
              <w:left w:val="nil"/>
              <w:bottom w:val="nil"/>
              <w:right w:val="nil"/>
            </w:tcBorders>
            <w:shd w:val="clear" w:color="000000" w:fill="FCFCFF"/>
            <w:noWrap/>
            <w:vAlign w:val="center"/>
            <w:hideMark/>
          </w:tcPr>
          <w:p w14:paraId="134C7515"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0</w:t>
            </w:r>
          </w:p>
        </w:tc>
        <w:tc>
          <w:tcPr>
            <w:tcW w:w="131" w:type="pct"/>
            <w:tcBorders>
              <w:top w:val="nil"/>
              <w:left w:val="nil"/>
              <w:bottom w:val="nil"/>
              <w:right w:val="nil"/>
            </w:tcBorders>
            <w:shd w:val="clear" w:color="000000" w:fill="D3ECDB"/>
            <w:noWrap/>
            <w:vAlign w:val="center"/>
            <w:hideMark/>
          </w:tcPr>
          <w:p w14:paraId="7734724E"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3</w:t>
            </w:r>
          </w:p>
        </w:tc>
        <w:tc>
          <w:tcPr>
            <w:tcW w:w="131" w:type="pct"/>
            <w:tcBorders>
              <w:top w:val="nil"/>
              <w:left w:val="nil"/>
              <w:bottom w:val="nil"/>
              <w:right w:val="nil"/>
            </w:tcBorders>
            <w:shd w:val="clear" w:color="000000" w:fill="EFF7F3"/>
            <w:noWrap/>
            <w:vAlign w:val="center"/>
            <w:hideMark/>
          </w:tcPr>
          <w:p w14:paraId="321205B6"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1" w:type="pct"/>
            <w:tcBorders>
              <w:top w:val="nil"/>
              <w:left w:val="nil"/>
              <w:bottom w:val="nil"/>
              <w:right w:val="nil"/>
            </w:tcBorders>
            <w:shd w:val="clear" w:color="000000" w:fill="E1F1E7"/>
            <w:noWrap/>
            <w:vAlign w:val="center"/>
            <w:hideMark/>
          </w:tcPr>
          <w:p w14:paraId="7871D5D4"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2</w:t>
            </w:r>
          </w:p>
        </w:tc>
        <w:tc>
          <w:tcPr>
            <w:tcW w:w="131" w:type="pct"/>
            <w:tcBorders>
              <w:top w:val="nil"/>
              <w:left w:val="nil"/>
              <w:bottom w:val="nil"/>
              <w:right w:val="nil"/>
            </w:tcBorders>
            <w:shd w:val="clear" w:color="000000" w:fill="B7E0C3"/>
            <w:noWrap/>
            <w:vAlign w:val="center"/>
            <w:hideMark/>
          </w:tcPr>
          <w:p w14:paraId="4225277E"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5</w:t>
            </w:r>
          </w:p>
        </w:tc>
        <w:tc>
          <w:tcPr>
            <w:tcW w:w="131" w:type="pct"/>
            <w:tcBorders>
              <w:top w:val="nil"/>
              <w:left w:val="nil"/>
              <w:bottom w:val="nil"/>
              <w:right w:val="nil"/>
            </w:tcBorders>
            <w:shd w:val="clear" w:color="000000" w:fill="63BE7B"/>
            <w:noWrap/>
            <w:vAlign w:val="center"/>
            <w:hideMark/>
          </w:tcPr>
          <w:p w14:paraId="2668E1D2" w14:textId="77777777" w:rsidR="000C73E9" w:rsidRPr="00BD1214" w:rsidRDefault="000C73E9" w:rsidP="00080E5C">
            <w:pPr>
              <w:jc w:val="center"/>
              <w:rPr>
                <w:rFonts w:ascii="Verdana" w:hAnsi="Verdana"/>
                <w:noProof/>
                <w:sz w:val="11"/>
                <w:szCs w:val="11"/>
              </w:rPr>
            </w:pPr>
            <w:r w:rsidRPr="00BD1214">
              <w:rPr>
                <w:rFonts w:ascii="Verdana" w:hAnsi="Verdana"/>
                <w:noProof/>
                <w:sz w:val="11"/>
                <w:szCs w:val="11"/>
              </w:rPr>
              <w:t>11</w:t>
            </w:r>
          </w:p>
        </w:tc>
        <w:tc>
          <w:tcPr>
            <w:tcW w:w="131" w:type="pct"/>
            <w:tcBorders>
              <w:top w:val="nil"/>
              <w:left w:val="nil"/>
              <w:bottom w:val="nil"/>
              <w:right w:val="nil"/>
            </w:tcBorders>
            <w:shd w:val="clear" w:color="000000" w:fill="E1F1E7"/>
            <w:noWrap/>
            <w:vAlign w:val="center"/>
            <w:hideMark/>
          </w:tcPr>
          <w:p w14:paraId="20ABEEFC"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2</w:t>
            </w:r>
          </w:p>
        </w:tc>
        <w:tc>
          <w:tcPr>
            <w:tcW w:w="131" w:type="pct"/>
            <w:tcBorders>
              <w:top w:val="nil"/>
              <w:left w:val="nil"/>
              <w:bottom w:val="nil"/>
              <w:right w:val="nil"/>
            </w:tcBorders>
            <w:shd w:val="clear" w:color="000000" w:fill="EFF7F3"/>
            <w:noWrap/>
            <w:vAlign w:val="center"/>
            <w:hideMark/>
          </w:tcPr>
          <w:p w14:paraId="7EFC0E23"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1</w:t>
            </w:r>
          </w:p>
        </w:tc>
        <w:tc>
          <w:tcPr>
            <w:tcW w:w="131" w:type="pct"/>
            <w:tcBorders>
              <w:top w:val="nil"/>
              <w:left w:val="nil"/>
              <w:bottom w:val="nil"/>
              <w:right w:val="nil"/>
            </w:tcBorders>
            <w:shd w:val="clear" w:color="000000" w:fill="E1F1E7"/>
            <w:noWrap/>
            <w:vAlign w:val="center"/>
            <w:hideMark/>
          </w:tcPr>
          <w:p w14:paraId="26B757B1"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2</w:t>
            </w:r>
          </w:p>
        </w:tc>
        <w:tc>
          <w:tcPr>
            <w:tcW w:w="131" w:type="pct"/>
            <w:tcBorders>
              <w:top w:val="nil"/>
              <w:left w:val="nil"/>
              <w:bottom w:val="nil"/>
              <w:right w:val="nil"/>
            </w:tcBorders>
            <w:shd w:val="clear" w:color="000000" w:fill="9BD5AB"/>
            <w:noWrap/>
            <w:vAlign w:val="center"/>
            <w:hideMark/>
          </w:tcPr>
          <w:p w14:paraId="62ABE842"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7</w:t>
            </w:r>
          </w:p>
        </w:tc>
        <w:tc>
          <w:tcPr>
            <w:tcW w:w="131" w:type="pct"/>
            <w:tcBorders>
              <w:top w:val="nil"/>
              <w:left w:val="nil"/>
              <w:bottom w:val="nil"/>
              <w:right w:val="nil"/>
            </w:tcBorders>
            <w:shd w:val="clear" w:color="000000" w:fill="C5E6CF"/>
            <w:noWrap/>
            <w:vAlign w:val="center"/>
            <w:hideMark/>
          </w:tcPr>
          <w:p w14:paraId="77FA0656"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4</w:t>
            </w:r>
          </w:p>
        </w:tc>
        <w:tc>
          <w:tcPr>
            <w:tcW w:w="131" w:type="pct"/>
            <w:tcBorders>
              <w:top w:val="nil"/>
              <w:left w:val="nil"/>
              <w:bottom w:val="nil"/>
              <w:right w:val="nil"/>
            </w:tcBorders>
            <w:shd w:val="clear" w:color="000000" w:fill="C5E6CF"/>
            <w:noWrap/>
            <w:vAlign w:val="center"/>
            <w:hideMark/>
          </w:tcPr>
          <w:p w14:paraId="4DD213B1"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4</w:t>
            </w:r>
          </w:p>
        </w:tc>
        <w:tc>
          <w:tcPr>
            <w:tcW w:w="131" w:type="pct"/>
            <w:tcBorders>
              <w:top w:val="nil"/>
              <w:left w:val="nil"/>
              <w:bottom w:val="nil"/>
              <w:right w:val="nil"/>
            </w:tcBorders>
            <w:shd w:val="clear" w:color="000000" w:fill="C5E6CF"/>
            <w:noWrap/>
            <w:vAlign w:val="center"/>
            <w:hideMark/>
          </w:tcPr>
          <w:p w14:paraId="0F4A5049" w14:textId="77777777" w:rsidR="000C73E9" w:rsidRPr="00346099" w:rsidRDefault="000C73E9" w:rsidP="00080E5C">
            <w:pPr>
              <w:jc w:val="center"/>
              <w:rPr>
                <w:rFonts w:ascii="Verdana" w:hAnsi="Verdana"/>
                <w:noProof/>
                <w:sz w:val="12"/>
                <w:szCs w:val="12"/>
              </w:rPr>
            </w:pPr>
            <w:r w:rsidRPr="00346099">
              <w:rPr>
                <w:rFonts w:ascii="Verdana" w:hAnsi="Verdana"/>
                <w:noProof/>
                <w:sz w:val="12"/>
                <w:szCs w:val="12"/>
              </w:rPr>
              <w:t>4</w:t>
            </w:r>
          </w:p>
        </w:tc>
        <w:tc>
          <w:tcPr>
            <w:tcW w:w="131" w:type="pct"/>
            <w:tcBorders>
              <w:top w:val="nil"/>
              <w:left w:val="nil"/>
              <w:bottom w:val="nil"/>
              <w:right w:val="nil"/>
            </w:tcBorders>
            <w:shd w:val="clear" w:color="auto" w:fill="auto"/>
            <w:noWrap/>
            <w:vAlign w:val="center"/>
            <w:hideMark/>
          </w:tcPr>
          <w:p w14:paraId="30F6B1F9" w14:textId="77777777" w:rsidR="000C73E9" w:rsidRPr="00346099" w:rsidRDefault="000C73E9" w:rsidP="00080E5C">
            <w:pPr>
              <w:jc w:val="center"/>
              <w:rPr>
                <w:rFonts w:ascii="Verdana" w:hAnsi="Verdana"/>
                <w:noProof/>
                <w:sz w:val="12"/>
                <w:szCs w:val="12"/>
              </w:rPr>
            </w:pPr>
          </w:p>
        </w:tc>
      </w:tr>
    </w:tbl>
    <w:p w14:paraId="0F3EF80B" w14:textId="77777777" w:rsidR="000C73E9" w:rsidRPr="006E6B64" w:rsidRDefault="000C73E9" w:rsidP="000C73E9">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Pr>
          <w:i/>
          <w:noProof/>
          <w:color w:val="7F7F7F" w:themeColor="text1" w:themeTint="80"/>
          <w:sz w:val="18"/>
          <w:szCs w:val="18"/>
        </w:rPr>
        <w:t xml:space="preserve">Elaboration by the Study </w:t>
      </w:r>
      <w:r w:rsidRPr="009C0147">
        <w:rPr>
          <w:i/>
          <w:noProof/>
          <w:color w:val="7F7F7F" w:themeColor="text1" w:themeTint="80"/>
          <w:sz w:val="18"/>
          <w:szCs w:val="18"/>
        </w:rPr>
        <w:t>to support the preparation of an impact assessment on EU policy initiatives facilitating cross-border law enforcement cooperation</w:t>
      </w:r>
      <w:r>
        <w:rPr>
          <w:i/>
          <w:noProof/>
          <w:color w:val="7F7F7F" w:themeColor="text1" w:themeTint="80"/>
          <w:sz w:val="18"/>
          <w:szCs w:val="18"/>
        </w:rPr>
        <w:t xml:space="preserve"> based on National Fact Sheets from the Manual on Law Enforcement Information Exchange</w:t>
      </w:r>
    </w:p>
    <w:p w14:paraId="7DBE821B" w14:textId="77777777" w:rsidR="000C73E9" w:rsidRDefault="000C73E9" w:rsidP="000C73E9">
      <w:pPr>
        <w:pStyle w:val="Caption"/>
        <w:keepNext/>
        <w:ind w:left="426" w:hanging="49"/>
        <w:jc w:val="center"/>
        <w:rPr>
          <w:noProof/>
          <w:lang w:val="en-US"/>
        </w:rPr>
      </w:pPr>
      <w:r>
        <w:rPr>
          <w:noProof/>
          <w:lang w:val="en-US"/>
        </w:rPr>
        <w:t xml:space="preserve">Types of data available to SPOCs from databases </w:t>
      </w:r>
      <w:r w:rsidRPr="00BB319A">
        <w:rPr>
          <w:noProof/>
          <w:lang w:val="en-US"/>
        </w:rPr>
        <w:t>managed by judicial authorities</w:t>
      </w:r>
    </w:p>
    <w:tbl>
      <w:tblPr>
        <w:tblW w:w="5000" w:type="pct"/>
        <w:tblLayout w:type="fixed"/>
        <w:tblLook w:val="04A0" w:firstRow="1" w:lastRow="0" w:firstColumn="1" w:lastColumn="0" w:noHBand="0" w:noVBand="1"/>
      </w:tblPr>
      <w:tblGrid>
        <w:gridCol w:w="3589"/>
        <w:gridCol w:w="360"/>
        <w:gridCol w:w="360"/>
        <w:gridCol w:w="360"/>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73"/>
      </w:tblGrid>
      <w:tr w:rsidR="00F5634E" w:rsidRPr="00BD1214" w14:paraId="6CBA5BBC" w14:textId="77777777" w:rsidTr="00080E5C">
        <w:trPr>
          <w:cantSplit/>
          <w:trHeight w:val="1134"/>
          <w:tblHeader/>
        </w:trPr>
        <w:tc>
          <w:tcPr>
            <w:tcW w:w="1214" w:type="pct"/>
            <w:tcBorders>
              <w:top w:val="single" w:sz="8" w:space="0" w:color="FFFFFF"/>
              <w:left w:val="single" w:sz="8" w:space="0" w:color="FFFFFF"/>
              <w:bottom w:val="single" w:sz="8" w:space="0" w:color="FFFFFF"/>
              <w:right w:val="single" w:sz="8" w:space="0" w:color="FFFFFF"/>
            </w:tcBorders>
            <w:shd w:val="clear" w:color="000000" w:fill="00AEF0"/>
            <w:noWrap/>
            <w:vAlign w:val="center"/>
            <w:hideMark/>
          </w:tcPr>
          <w:p w14:paraId="10923AED" w14:textId="77777777" w:rsidR="000C73E9" w:rsidRPr="00BD1214" w:rsidRDefault="000C73E9" w:rsidP="00080E5C">
            <w:pPr>
              <w:spacing w:after="0" w:line="240" w:lineRule="auto"/>
              <w:ind w:right="-102"/>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 </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4EB45FA"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AT</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60E86448"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BE</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E5BFD8A"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BG</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3A1A79BD"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CY</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24BD2300"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CZ</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06F47A97"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DE</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6C0FA02F"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DK</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2E812728"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EE</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2BC7FB94"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EL</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320B32A2"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ES</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72A250D5"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FI</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5803EF5E"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FR</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2A02C9E2"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HR</w:t>
            </w:r>
          </w:p>
        </w:tc>
        <w:tc>
          <w:tcPr>
            <w:tcW w:w="122" w:type="pct"/>
            <w:tcBorders>
              <w:top w:val="single" w:sz="8" w:space="0" w:color="FFFFFF"/>
              <w:left w:val="nil"/>
              <w:bottom w:val="single" w:sz="8" w:space="0" w:color="FFFFFF"/>
              <w:right w:val="single" w:sz="8" w:space="0" w:color="FFFFFF"/>
            </w:tcBorders>
            <w:shd w:val="clear" w:color="000000" w:fill="00AEF0"/>
            <w:noWrap/>
            <w:textDirection w:val="btLr"/>
            <w:vAlign w:val="center"/>
            <w:hideMark/>
          </w:tcPr>
          <w:p w14:paraId="4807A9AF"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HU</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9057C75"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IE</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12848533"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IS</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00F6B033"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IT</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12D2509F"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LI</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296BB12A"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LT</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23786F97"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LU</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E5DAF16"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LV</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4B12BC2A"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MT</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28C97F43"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NL</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523E54F"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NO</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D20FBD6"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PL</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56A2F69"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PT</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65A9B3D9"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RO</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3A656A78"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SE</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FB240E1"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SI</w:t>
            </w:r>
          </w:p>
        </w:tc>
        <w:tc>
          <w:tcPr>
            <w:tcW w:w="122" w:type="pct"/>
            <w:tcBorders>
              <w:top w:val="single" w:sz="8" w:space="0" w:color="FFFFFF"/>
              <w:left w:val="nil"/>
              <w:bottom w:val="single" w:sz="8" w:space="0" w:color="FFFFFF"/>
              <w:right w:val="single" w:sz="8" w:space="0" w:color="FFFFFF"/>
            </w:tcBorders>
            <w:shd w:val="clear" w:color="000000" w:fill="00AEF0"/>
            <w:textDirection w:val="btLr"/>
            <w:vAlign w:val="center"/>
            <w:hideMark/>
          </w:tcPr>
          <w:p w14:paraId="546FD5EC"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SK</w:t>
            </w:r>
          </w:p>
        </w:tc>
        <w:tc>
          <w:tcPr>
            <w:tcW w:w="126" w:type="pct"/>
            <w:tcBorders>
              <w:top w:val="nil"/>
              <w:left w:val="nil"/>
              <w:bottom w:val="nil"/>
              <w:right w:val="single" w:sz="8" w:space="0" w:color="FFFFFF"/>
            </w:tcBorders>
            <w:shd w:val="clear" w:color="000000" w:fill="000000"/>
            <w:textDirection w:val="btLr"/>
            <w:vAlign w:val="center"/>
            <w:hideMark/>
          </w:tcPr>
          <w:p w14:paraId="616EA4EF" w14:textId="77777777" w:rsidR="000C73E9" w:rsidRPr="00BD1214" w:rsidRDefault="000C73E9" w:rsidP="00080E5C">
            <w:pPr>
              <w:spacing w:after="0" w:line="240" w:lineRule="auto"/>
              <w:ind w:left="113" w:right="113"/>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Total</w:t>
            </w:r>
          </w:p>
        </w:tc>
      </w:tr>
      <w:tr w:rsidR="00F5634E" w:rsidRPr="00BD1214" w14:paraId="75D81213" w14:textId="77777777" w:rsidTr="00080E5C">
        <w:trPr>
          <w:trHeight w:val="280"/>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445E1F40"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Information held by banks or financial institutions</w:t>
            </w:r>
          </w:p>
        </w:tc>
        <w:tc>
          <w:tcPr>
            <w:tcW w:w="122" w:type="pct"/>
            <w:tcBorders>
              <w:top w:val="nil"/>
              <w:left w:val="nil"/>
              <w:bottom w:val="single" w:sz="8" w:space="0" w:color="FFFFFF"/>
              <w:right w:val="single" w:sz="8" w:space="0" w:color="FFFFFF"/>
            </w:tcBorders>
            <w:shd w:val="clear" w:color="000000" w:fill="002060"/>
            <w:noWrap/>
            <w:vAlign w:val="center"/>
          </w:tcPr>
          <w:p w14:paraId="69E1C01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1492935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562B1C7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EEED87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BF4318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21C635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361B673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54531FF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13FF0E8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3ADDB7F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6E79E4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5EAEF27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8978FD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697563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5764C13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F54FAE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0A2A31E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FCA524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5FC326F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BA9BE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7DFC0CB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981995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BE52B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71B24AC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5FEB63B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45D894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7369015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E64A96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16C32BE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58774CA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63BE7B"/>
            <w:noWrap/>
            <w:vAlign w:val="center"/>
            <w:hideMark/>
          </w:tcPr>
          <w:p w14:paraId="73C55EF0"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21</w:t>
            </w:r>
          </w:p>
        </w:tc>
      </w:tr>
      <w:tr w:rsidR="00F5634E" w:rsidRPr="00BD1214" w14:paraId="47400ACA"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7D3A4A86"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Information (including personal data) held by telecommunication operators</w:t>
            </w:r>
          </w:p>
        </w:tc>
        <w:tc>
          <w:tcPr>
            <w:tcW w:w="122" w:type="pct"/>
            <w:tcBorders>
              <w:top w:val="nil"/>
              <w:left w:val="nil"/>
              <w:bottom w:val="single" w:sz="8" w:space="0" w:color="FFFFFF"/>
              <w:right w:val="single" w:sz="8" w:space="0" w:color="FFFFFF"/>
            </w:tcBorders>
            <w:shd w:val="clear" w:color="000000" w:fill="F2F2F2"/>
            <w:noWrap/>
            <w:vAlign w:val="center"/>
          </w:tcPr>
          <w:p w14:paraId="4049FEF9" w14:textId="77777777" w:rsidR="000C73E9" w:rsidRPr="00BD1214" w:rsidRDefault="000C73E9" w:rsidP="00080E5C">
            <w:pPr>
              <w:spacing w:after="0" w:line="240" w:lineRule="auto"/>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71C77FE1" w14:textId="77777777" w:rsidR="000C73E9" w:rsidRPr="00BD1214" w:rsidRDefault="000C73E9" w:rsidP="00080E5C">
            <w:pPr>
              <w:spacing w:after="0" w:line="240" w:lineRule="auto"/>
              <w:jc w:val="right"/>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0D81CA6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73DDDF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B78B701" w14:textId="77777777" w:rsidR="000C73E9" w:rsidRPr="00BD1214" w:rsidRDefault="000C73E9" w:rsidP="00080E5C">
            <w:pPr>
              <w:spacing w:after="0" w:line="240" w:lineRule="auto"/>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1116147" w14:textId="77777777" w:rsidR="000C73E9" w:rsidRPr="00BD1214" w:rsidRDefault="000C73E9" w:rsidP="00080E5C">
            <w:pPr>
              <w:spacing w:after="0" w:line="240" w:lineRule="auto"/>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22CDB850" w14:textId="77777777" w:rsidR="000C73E9" w:rsidRPr="00BD1214" w:rsidRDefault="000C73E9" w:rsidP="00080E5C">
            <w:pPr>
              <w:spacing w:after="0" w:line="240" w:lineRule="auto"/>
              <w:jc w:val="right"/>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9248E88" w14:textId="77777777" w:rsidR="000C73E9" w:rsidRPr="00BD1214" w:rsidRDefault="000C73E9" w:rsidP="00080E5C">
            <w:pPr>
              <w:spacing w:after="0" w:line="240" w:lineRule="auto"/>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1A7CDD76" w14:textId="77777777" w:rsidR="000C73E9" w:rsidRPr="00BD1214" w:rsidRDefault="000C73E9" w:rsidP="00080E5C">
            <w:pPr>
              <w:spacing w:after="0" w:line="240" w:lineRule="auto"/>
              <w:jc w:val="right"/>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4348BA7B" w14:textId="77777777" w:rsidR="000C73E9" w:rsidRPr="00BD1214" w:rsidRDefault="000C73E9" w:rsidP="00080E5C">
            <w:pPr>
              <w:spacing w:after="0" w:line="240" w:lineRule="auto"/>
              <w:jc w:val="right"/>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5826C684" w14:textId="77777777" w:rsidR="000C73E9" w:rsidRPr="00BD1214" w:rsidRDefault="000C73E9" w:rsidP="00080E5C">
            <w:pPr>
              <w:spacing w:after="0" w:line="240" w:lineRule="auto"/>
              <w:jc w:val="right"/>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629A9AE1" w14:textId="77777777" w:rsidR="000C73E9" w:rsidRPr="00BD1214" w:rsidRDefault="000C73E9" w:rsidP="00080E5C">
            <w:pPr>
              <w:spacing w:after="0" w:line="240" w:lineRule="auto"/>
              <w:jc w:val="right"/>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60349D47" w14:textId="77777777" w:rsidR="000C73E9" w:rsidRPr="00BD1214" w:rsidRDefault="000C73E9" w:rsidP="00080E5C">
            <w:pPr>
              <w:spacing w:after="0" w:line="240" w:lineRule="auto"/>
              <w:jc w:val="right"/>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D828A14" w14:textId="77777777" w:rsidR="000C73E9" w:rsidRPr="00BD1214" w:rsidRDefault="000C73E9" w:rsidP="00080E5C">
            <w:pPr>
              <w:spacing w:after="0" w:line="240" w:lineRule="auto"/>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3F8009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C3AE30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A24D62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238F9C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5ED4009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626A56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3A3378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796263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5644BC3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25F622B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E9F777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6B5E82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B98836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4F6C34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9AECDC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7219AB6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91D1A3"/>
            <w:noWrap/>
            <w:vAlign w:val="center"/>
            <w:hideMark/>
          </w:tcPr>
          <w:p w14:paraId="5DD17345" w14:textId="77777777" w:rsidR="000C73E9" w:rsidRPr="0002303A" w:rsidRDefault="000C73E9" w:rsidP="00080E5C">
            <w:pPr>
              <w:spacing w:after="0" w:line="240" w:lineRule="auto"/>
              <w:jc w:val="center"/>
              <w:rPr>
                <w:rFonts w:ascii="Verdana" w:eastAsia="Times New Roman" w:hAnsi="Verdana" w:cs="Calibri"/>
                <w:noProof/>
                <w:color w:val="000000"/>
                <w:sz w:val="10"/>
                <w:szCs w:val="10"/>
                <w:lang w:eastAsia="en-GB"/>
              </w:rPr>
            </w:pPr>
            <w:r w:rsidRPr="0002303A">
              <w:rPr>
                <w:rFonts w:ascii="Verdana" w:eastAsia="Times New Roman" w:hAnsi="Verdana" w:cs="Calibri"/>
                <w:noProof/>
                <w:color w:val="000000"/>
                <w:sz w:val="10"/>
                <w:szCs w:val="10"/>
                <w:lang w:eastAsia="en-GB"/>
              </w:rPr>
              <w:t>15</w:t>
            </w:r>
          </w:p>
        </w:tc>
      </w:tr>
      <w:tr w:rsidR="00F5634E" w:rsidRPr="00BD1214" w14:paraId="4D2D0E78"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7EEAB05C"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Documentation of search of premises, seizures, forfeited property or frozen assets</w:t>
            </w:r>
          </w:p>
        </w:tc>
        <w:tc>
          <w:tcPr>
            <w:tcW w:w="122" w:type="pct"/>
            <w:tcBorders>
              <w:top w:val="nil"/>
              <w:left w:val="nil"/>
              <w:bottom w:val="single" w:sz="8" w:space="0" w:color="FFFFFF"/>
              <w:right w:val="single" w:sz="8" w:space="0" w:color="FFFFFF"/>
            </w:tcBorders>
            <w:shd w:val="clear" w:color="000000" w:fill="002060"/>
            <w:noWrap/>
            <w:vAlign w:val="center"/>
          </w:tcPr>
          <w:p w14:paraId="0C7CB67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771464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FA2EBF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8431D1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71C035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5BF2B6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1F1E55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7F908D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7D5C53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EFC0BB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65AA74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ECF236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B8F235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3D4C1F3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C5673F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BACD08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FC7E1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21055D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7B99E2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6F411F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C62BAA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29F64C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7EAAE9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137BCF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58B30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FD9246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8557B5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269FB9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6E4DB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4CB06F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CFEAD8"/>
            <w:noWrap/>
            <w:vAlign w:val="center"/>
            <w:hideMark/>
          </w:tcPr>
          <w:p w14:paraId="6BD7B44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7</w:t>
            </w:r>
          </w:p>
        </w:tc>
      </w:tr>
      <w:tr w:rsidR="00F5634E" w:rsidRPr="00BD1214" w14:paraId="5AD09D8D"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5490EE6E"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Documentation of phone tapping, room bugging, covert and video surveillance operations</w:t>
            </w:r>
          </w:p>
        </w:tc>
        <w:tc>
          <w:tcPr>
            <w:tcW w:w="122" w:type="pct"/>
            <w:tcBorders>
              <w:top w:val="nil"/>
              <w:left w:val="nil"/>
              <w:bottom w:val="single" w:sz="8" w:space="0" w:color="FFFFFF"/>
              <w:right w:val="single" w:sz="8" w:space="0" w:color="FFFFFF"/>
            </w:tcBorders>
            <w:shd w:val="clear" w:color="000000" w:fill="002060"/>
            <w:noWrap/>
            <w:vAlign w:val="center"/>
          </w:tcPr>
          <w:p w14:paraId="5717CDD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73FE5A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795A14E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FDFD41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8D7E31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D301C2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9B42D5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03BB55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DA8FC4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6E2638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610AA9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86DDEB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A04F2B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7AE0E63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0EDD17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5E8955E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5B2A94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214375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1C9C1A2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BA486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1B6093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F8D556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C1348D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ADEE8F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49C9C7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72BF67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C9B46F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BFF393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2943D79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2AB1999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CFEAD8"/>
            <w:noWrap/>
            <w:vAlign w:val="center"/>
            <w:hideMark/>
          </w:tcPr>
          <w:p w14:paraId="7A5CF28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7</w:t>
            </w:r>
          </w:p>
        </w:tc>
      </w:tr>
      <w:tr w:rsidR="00F5634E" w:rsidRPr="00BD1214" w14:paraId="594FA98E"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1038FDC5"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Documented questioning of suspects, witnesses, plaintiffs, experts etc.</w:t>
            </w:r>
          </w:p>
        </w:tc>
        <w:tc>
          <w:tcPr>
            <w:tcW w:w="122" w:type="pct"/>
            <w:tcBorders>
              <w:top w:val="nil"/>
              <w:left w:val="nil"/>
              <w:bottom w:val="single" w:sz="8" w:space="0" w:color="FFFFFF"/>
              <w:right w:val="single" w:sz="8" w:space="0" w:color="FFFFFF"/>
            </w:tcBorders>
            <w:shd w:val="clear" w:color="000000" w:fill="F2F2F2"/>
            <w:noWrap/>
            <w:vAlign w:val="center"/>
          </w:tcPr>
          <w:p w14:paraId="756C365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36DCE9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69C7EF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CBF44A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40B8ED9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17EB10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45A8C8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0CEAE6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40478B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A979DC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58DD0F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C96412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B4DB86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1FA8155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E47A73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6DE69F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371A1A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9533FF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09CA88D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9F0F9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C8E2F3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5B77C7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B2E054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F8DECF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C83D4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6E2E71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9C9311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66CD28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7D5BEC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E05303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DEF0E5"/>
            <w:noWrap/>
            <w:vAlign w:val="center"/>
            <w:hideMark/>
          </w:tcPr>
          <w:p w14:paraId="78185A5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5</w:t>
            </w:r>
          </w:p>
        </w:tc>
      </w:tr>
      <w:tr w:rsidR="00F5634E" w:rsidRPr="00BD1214" w14:paraId="75E01C1B" w14:textId="77777777" w:rsidTr="00080E5C">
        <w:trPr>
          <w:trHeight w:val="288"/>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60288B85"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Passenger and freight lists of transport companies</w:t>
            </w:r>
          </w:p>
        </w:tc>
        <w:tc>
          <w:tcPr>
            <w:tcW w:w="122" w:type="pct"/>
            <w:tcBorders>
              <w:top w:val="nil"/>
              <w:left w:val="nil"/>
              <w:bottom w:val="single" w:sz="8" w:space="0" w:color="FFFFFF"/>
              <w:right w:val="single" w:sz="8" w:space="0" w:color="FFFFFF"/>
            </w:tcBorders>
            <w:shd w:val="clear" w:color="000000" w:fill="F2F2F2"/>
            <w:noWrap/>
            <w:vAlign w:val="center"/>
          </w:tcPr>
          <w:p w14:paraId="0E7D4C7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7EBB20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819518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E591DC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BD8398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124C38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5A6E85E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D1504E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A690A8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AC587E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6FB7ED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93EA4F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34ACEB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7EA78E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92C6DE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58816E7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878B25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95F646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9C0D0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AD7DB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6BBE4B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1420C2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0DD945E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35B93F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B4978C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AA32C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086B75C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D93346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34F3C9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1D39A5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E6F3EC"/>
            <w:noWrap/>
            <w:vAlign w:val="center"/>
            <w:hideMark/>
          </w:tcPr>
          <w:p w14:paraId="2DD595C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4</w:t>
            </w:r>
          </w:p>
        </w:tc>
      </w:tr>
      <w:tr w:rsidR="00F5634E" w:rsidRPr="00BD1214" w14:paraId="7C4DA4DD" w14:textId="77777777" w:rsidTr="00080E5C">
        <w:trPr>
          <w:trHeight w:val="278"/>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31A331B8"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Persons convicted of crime (criminal records)</w:t>
            </w:r>
          </w:p>
        </w:tc>
        <w:tc>
          <w:tcPr>
            <w:tcW w:w="122" w:type="pct"/>
            <w:tcBorders>
              <w:top w:val="nil"/>
              <w:left w:val="nil"/>
              <w:bottom w:val="single" w:sz="8" w:space="0" w:color="FFFFFF"/>
              <w:right w:val="single" w:sz="8" w:space="0" w:color="FFFFFF"/>
            </w:tcBorders>
            <w:shd w:val="clear" w:color="000000" w:fill="F2F2F2"/>
            <w:noWrap/>
            <w:vAlign w:val="center"/>
          </w:tcPr>
          <w:p w14:paraId="5CB727B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97ADF4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9D4C48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283E36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8B8C6F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3B5704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2A24F3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7C65DA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004AE7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EA68F9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76E00ED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0CA7212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02AFD28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E2C341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0D77F9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647CDC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BAD3A9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FAE2FD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86D20C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D8FEA9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52814A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DAD041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0181B8E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89F164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A26DA5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F932F8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C92DB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8EB7F7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D867D2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7B46F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E6F3EC"/>
            <w:noWrap/>
            <w:vAlign w:val="center"/>
            <w:hideMark/>
          </w:tcPr>
          <w:p w14:paraId="735E1B6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4</w:t>
            </w:r>
          </w:p>
        </w:tc>
      </w:tr>
      <w:tr w:rsidR="00F5634E" w:rsidRPr="00BD1214" w14:paraId="304A611A" w14:textId="77777777" w:rsidTr="00080E5C">
        <w:trPr>
          <w:trHeight w:val="254"/>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49BAB4E3"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Reports (complaints) concerning crimes committed</w:t>
            </w:r>
          </w:p>
        </w:tc>
        <w:tc>
          <w:tcPr>
            <w:tcW w:w="122" w:type="pct"/>
            <w:tcBorders>
              <w:top w:val="nil"/>
              <w:left w:val="nil"/>
              <w:bottom w:val="single" w:sz="8" w:space="0" w:color="FFFFFF"/>
              <w:right w:val="single" w:sz="8" w:space="0" w:color="FFFFFF"/>
            </w:tcBorders>
            <w:shd w:val="clear" w:color="000000" w:fill="F2F2F2"/>
            <w:noWrap/>
            <w:vAlign w:val="center"/>
          </w:tcPr>
          <w:p w14:paraId="1ABA330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444166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31BD06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D178DD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5BA9130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04C981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5727C7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41D0B1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93E515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6C4460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2C08F2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040C5F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FF7D67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01EC955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C29DDD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D30FDB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B8145B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95B81B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68B872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1CD5FF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EE7CE1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DDB15A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8D9E5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A4C36F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8E5B93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000174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E89C88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6DE8C5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BA4F9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08BAB2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EDF6F2"/>
            <w:noWrap/>
            <w:vAlign w:val="center"/>
            <w:hideMark/>
          </w:tcPr>
          <w:p w14:paraId="493278A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3</w:t>
            </w:r>
          </w:p>
        </w:tc>
      </w:tr>
      <w:tr w:rsidR="00F5634E" w:rsidRPr="00BD1214" w14:paraId="274F12F0" w14:textId="77777777" w:rsidTr="00080E5C">
        <w:trPr>
          <w:trHeight w:val="271"/>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307BE728"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Documentation of crime scene investigations</w:t>
            </w:r>
          </w:p>
        </w:tc>
        <w:tc>
          <w:tcPr>
            <w:tcW w:w="122" w:type="pct"/>
            <w:tcBorders>
              <w:top w:val="nil"/>
              <w:left w:val="nil"/>
              <w:bottom w:val="single" w:sz="8" w:space="0" w:color="FFFFFF"/>
              <w:right w:val="single" w:sz="8" w:space="0" w:color="FFFFFF"/>
            </w:tcBorders>
            <w:shd w:val="clear" w:color="000000" w:fill="F2F2F2"/>
            <w:noWrap/>
            <w:vAlign w:val="center"/>
          </w:tcPr>
          <w:p w14:paraId="1C5FB2A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E55E20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FCCD7D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081673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0F626CF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DFB4FD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D31EA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EEDE35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7379E4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BBF040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A0B116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5A897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FC260B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4F04EED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B4CC92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BCE162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C35352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045089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367402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B14F3F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DDFC50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C96CB9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00DAA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7628FE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B38446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8A5CE7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BEE359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C89FE6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4F274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4597DD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EDF6F2"/>
            <w:noWrap/>
            <w:vAlign w:val="center"/>
            <w:hideMark/>
          </w:tcPr>
          <w:p w14:paraId="583C95E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3</w:t>
            </w:r>
          </w:p>
        </w:tc>
      </w:tr>
      <w:tr w:rsidR="00F5634E" w:rsidRPr="00BD1214" w14:paraId="74DA2A50" w14:textId="77777777" w:rsidTr="00080E5C">
        <w:trPr>
          <w:trHeight w:val="246"/>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1F964320"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Taxation, income and wealth data</w:t>
            </w:r>
          </w:p>
        </w:tc>
        <w:tc>
          <w:tcPr>
            <w:tcW w:w="122" w:type="pct"/>
            <w:tcBorders>
              <w:top w:val="nil"/>
              <w:left w:val="nil"/>
              <w:bottom w:val="single" w:sz="8" w:space="0" w:color="FFFFFF"/>
              <w:right w:val="single" w:sz="8" w:space="0" w:color="FFFFFF"/>
            </w:tcBorders>
            <w:shd w:val="clear" w:color="000000" w:fill="F2F2F2"/>
            <w:noWrap/>
            <w:vAlign w:val="center"/>
          </w:tcPr>
          <w:p w14:paraId="6299F67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7913D4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9E78A0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2A811B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4BBFF5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B3F2A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15453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B1A522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BCDD72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32C446E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EE164F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7EBF98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2D1868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B2340B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27570A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E6EE8B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FE39E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6A42DBB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1F5282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511F3A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CBD09D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2F2B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B95BF3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AD680E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21C979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DEFEB4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82296F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206E30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D40D7F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BA9F6B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EDF6F2"/>
            <w:noWrap/>
            <w:vAlign w:val="center"/>
            <w:hideMark/>
          </w:tcPr>
          <w:p w14:paraId="4269EDF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3</w:t>
            </w:r>
          </w:p>
        </w:tc>
      </w:tr>
      <w:tr w:rsidR="00F5634E" w:rsidRPr="00BD1214" w14:paraId="4B41F5AB" w14:textId="77777777" w:rsidTr="00080E5C">
        <w:trPr>
          <w:trHeight w:val="280"/>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70963140"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DNA</w:t>
            </w:r>
          </w:p>
        </w:tc>
        <w:tc>
          <w:tcPr>
            <w:tcW w:w="122" w:type="pct"/>
            <w:tcBorders>
              <w:top w:val="nil"/>
              <w:left w:val="nil"/>
              <w:bottom w:val="single" w:sz="8" w:space="0" w:color="FFFFFF"/>
              <w:right w:val="single" w:sz="8" w:space="0" w:color="FFFFFF"/>
            </w:tcBorders>
            <w:shd w:val="clear" w:color="000000" w:fill="F2F2F2"/>
            <w:noWrap/>
            <w:vAlign w:val="center"/>
          </w:tcPr>
          <w:p w14:paraId="4CEC5D8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22CE13C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6D9E1E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FBB691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3BBE7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AB2F05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DBC4C4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BC6D22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578E8F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A8E8B5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983B41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CA08E0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6757AC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3F52FF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03EE01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728A54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D589E0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BB3769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ED8747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0F8C04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1F4ABA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6ABD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53F2D38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5A980F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2C65B6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EAE458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EAF343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2734E2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C8A8AD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9FCE4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25DA858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55B094B1" w14:textId="77777777" w:rsidTr="00080E5C">
        <w:trPr>
          <w:trHeight w:val="242"/>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3C7A8899"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Statements provided by undercover agents</w:t>
            </w:r>
          </w:p>
        </w:tc>
        <w:tc>
          <w:tcPr>
            <w:tcW w:w="122" w:type="pct"/>
            <w:tcBorders>
              <w:top w:val="nil"/>
              <w:left w:val="nil"/>
              <w:bottom w:val="single" w:sz="8" w:space="0" w:color="FFFFFF"/>
              <w:right w:val="single" w:sz="8" w:space="0" w:color="FFFFFF"/>
            </w:tcBorders>
            <w:shd w:val="clear" w:color="000000" w:fill="F2F2F2"/>
            <w:noWrap/>
            <w:vAlign w:val="center"/>
          </w:tcPr>
          <w:p w14:paraId="43D7298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05FFE2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DA4D74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7E4C8B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EF403C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242664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859877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DAF588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AE4BBB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4013E0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EB6873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B6EF53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AC238E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80D4AB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0F6FCD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E4E486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3B724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6F9BDAB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92399C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5CEE0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C752EA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68AB86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2D1CA3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547AF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A12232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4DAEB2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D7B1CA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07914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85D43B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7CFC4F3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7677317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2AEB24EA"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72451FA4"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Questioning or other records of conversations with persons who co-operate with crime-fighting authorities</w:t>
            </w:r>
          </w:p>
        </w:tc>
        <w:tc>
          <w:tcPr>
            <w:tcW w:w="122" w:type="pct"/>
            <w:tcBorders>
              <w:top w:val="nil"/>
              <w:left w:val="nil"/>
              <w:bottom w:val="single" w:sz="8" w:space="0" w:color="FFFFFF"/>
              <w:right w:val="single" w:sz="8" w:space="0" w:color="FFFFFF"/>
            </w:tcBorders>
            <w:shd w:val="clear" w:color="000000" w:fill="F2F2F2"/>
            <w:noWrap/>
            <w:vAlign w:val="center"/>
          </w:tcPr>
          <w:p w14:paraId="60DBD28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C27AFD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99203E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1ABA5E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1078C1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996490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57BF63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FA0AA8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1BB49D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90BE76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8B8A2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E42952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B60131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FCA309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AB761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822935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17BD95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74D72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12CF7E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52E328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854488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46EDF0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C6DBDD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917EB5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5AB6DF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A5CFD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023D07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90118C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A20894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D3FFDE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4AFB6F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0AFF52B2"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19F3E35A"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Compilations that contain appraised or non-appraised information on crime or criminal activities</w:t>
            </w:r>
          </w:p>
        </w:tc>
        <w:tc>
          <w:tcPr>
            <w:tcW w:w="122" w:type="pct"/>
            <w:tcBorders>
              <w:top w:val="nil"/>
              <w:left w:val="nil"/>
              <w:bottom w:val="single" w:sz="8" w:space="0" w:color="FFFFFF"/>
              <w:right w:val="single" w:sz="8" w:space="0" w:color="FFFFFF"/>
            </w:tcBorders>
            <w:shd w:val="clear" w:color="000000" w:fill="F2F2F2"/>
            <w:noWrap/>
            <w:vAlign w:val="center"/>
          </w:tcPr>
          <w:p w14:paraId="3C65ABF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3830C6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757EC36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B1BEC7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94A553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3B4C2C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8A0256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2C8B31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88B7A2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9DA339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2F9E04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71DD50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E81D06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52499A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82718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EE76E4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F7DE1A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B475B7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B8C2E0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BCFC2D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C72F11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09825F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F6804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6A3F90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96A96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DEE0FB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0DEA36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82F3C7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2ECAB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6922AF4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72AA51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7B80FED7" w14:textId="77777777" w:rsidTr="00080E5C">
        <w:trPr>
          <w:trHeight w:val="212"/>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00143349"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Real property/land register</w:t>
            </w:r>
          </w:p>
        </w:tc>
        <w:tc>
          <w:tcPr>
            <w:tcW w:w="122" w:type="pct"/>
            <w:tcBorders>
              <w:top w:val="nil"/>
              <w:left w:val="nil"/>
              <w:bottom w:val="single" w:sz="8" w:space="0" w:color="FFFFFF"/>
              <w:right w:val="single" w:sz="8" w:space="0" w:color="FFFFFF"/>
            </w:tcBorders>
            <w:shd w:val="clear" w:color="000000" w:fill="F2F2F2"/>
            <w:noWrap/>
            <w:vAlign w:val="center"/>
          </w:tcPr>
          <w:p w14:paraId="220028F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B30ADC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58874A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2EF0FD9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E3C93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4E0FD8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66A443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5C7993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54EC04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9326A8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E2ECDD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49B551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61B749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5653E77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E4C08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1BB39F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6AB655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85A8AD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48C958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051EDF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2393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9CC02A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28F9B3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A425AD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EA36CA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E8C233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1312D4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6A2231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5298C6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5FB9A0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705156E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232583CB" w14:textId="77777777" w:rsidTr="00080E5C">
        <w:trPr>
          <w:trHeight w:val="256"/>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1EBD6D3A"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Documentation of medico-legal investigations</w:t>
            </w:r>
          </w:p>
        </w:tc>
        <w:tc>
          <w:tcPr>
            <w:tcW w:w="122" w:type="pct"/>
            <w:tcBorders>
              <w:top w:val="nil"/>
              <w:left w:val="nil"/>
              <w:bottom w:val="single" w:sz="8" w:space="0" w:color="FFFFFF"/>
              <w:right w:val="single" w:sz="8" w:space="0" w:color="FFFFFF"/>
            </w:tcBorders>
            <w:shd w:val="clear" w:color="000000" w:fill="F2F2F2"/>
            <w:noWrap/>
            <w:vAlign w:val="center"/>
          </w:tcPr>
          <w:p w14:paraId="64140BE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01A9CB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FA66C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C46B65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6FCE08B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E31178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C60F8D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F37965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2905F7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7AAADA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9D572B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C9F423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4BBAFA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F4EE06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002B7F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53593B2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13F23A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E46B6E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9E26B9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E4767B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463813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862219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AF26D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57224E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6FDA19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2D974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F11E5D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CAC7CB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03A71F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D33152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0BBE6B4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7B8C216F" w14:textId="77777777" w:rsidTr="00080E5C">
        <w:trPr>
          <w:trHeight w:val="260"/>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713DBACA"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Information on unusual or suspicious (money) transactions</w:t>
            </w:r>
          </w:p>
        </w:tc>
        <w:tc>
          <w:tcPr>
            <w:tcW w:w="122" w:type="pct"/>
            <w:tcBorders>
              <w:top w:val="nil"/>
              <w:left w:val="nil"/>
              <w:bottom w:val="single" w:sz="8" w:space="0" w:color="FFFFFF"/>
              <w:right w:val="single" w:sz="8" w:space="0" w:color="FFFFFF"/>
            </w:tcBorders>
            <w:shd w:val="clear" w:color="000000" w:fill="F2F2F2"/>
            <w:noWrap/>
            <w:vAlign w:val="center"/>
          </w:tcPr>
          <w:p w14:paraId="6833D27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71EF00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8EB4EF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640BDA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CB7C54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117C49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17DE2E4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1A2F81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4148C6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35C3E6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4D2416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1247D7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FEDFEA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84FC80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7BA842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96C6F1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FEE6B3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8932C9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12265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F89FAD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B698A7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AF0B8B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FEB851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95D603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E4082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BCC302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35F588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BD3F42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D4A767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CAF046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2148A91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27A396A7" w14:textId="77777777" w:rsidTr="00080E5C">
        <w:trPr>
          <w:trHeight w:val="264"/>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49EB9B1B"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E-mail accounts/ordinary mail (breach of correspondence secrecy)</w:t>
            </w:r>
          </w:p>
        </w:tc>
        <w:tc>
          <w:tcPr>
            <w:tcW w:w="122" w:type="pct"/>
            <w:tcBorders>
              <w:top w:val="nil"/>
              <w:left w:val="nil"/>
              <w:bottom w:val="single" w:sz="8" w:space="0" w:color="FFFFFF"/>
              <w:right w:val="single" w:sz="8" w:space="0" w:color="FFFFFF"/>
            </w:tcBorders>
            <w:shd w:val="clear" w:color="000000" w:fill="F2F2F2"/>
            <w:noWrap/>
            <w:vAlign w:val="center"/>
          </w:tcPr>
          <w:p w14:paraId="6EAA375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31A115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A17556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C34F9E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763314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366A3B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3A3C0C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C26902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6E74A1B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B6D1EB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440D4C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62EF4B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26FBD9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13CA30D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EC064C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5E7DBE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AEBCEB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365F2E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923AF2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902558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9984CB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2C43AE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D13DC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E02B4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8C106F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03457A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314083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28C49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ADA4E9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40691E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4B1960C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5FCB7DED" w14:textId="77777777" w:rsidTr="00080E5C">
        <w:trPr>
          <w:trHeight w:val="268"/>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49D75A03"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Identification of telecommunications subscribers</w:t>
            </w:r>
          </w:p>
        </w:tc>
        <w:tc>
          <w:tcPr>
            <w:tcW w:w="122" w:type="pct"/>
            <w:tcBorders>
              <w:top w:val="nil"/>
              <w:left w:val="nil"/>
              <w:bottom w:val="single" w:sz="8" w:space="0" w:color="FFFFFF"/>
              <w:right w:val="single" w:sz="8" w:space="0" w:color="FFFFFF"/>
            </w:tcBorders>
            <w:shd w:val="clear" w:color="000000" w:fill="F2F2F2"/>
            <w:noWrap/>
            <w:vAlign w:val="center"/>
          </w:tcPr>
          <w:p w14:paraId="65A4FA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530E98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07AD7F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3BC4AB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98A3CF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751D9A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A1884A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9A7084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7F6BDA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FD597F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032B2D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6403EE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5E52D3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40545D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9552A4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34422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7FC302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0D0AE4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0BA864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EBF0DC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27FF13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155C31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22A29C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691FB7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9687F8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8F08D6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F6E30F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15A421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EA525B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0A4EFB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5F9F9"/>
            <w:noWrap/>
            <w:vAlign w:val="center"/>
            <w:hideMark/>
          </w:tcPr>
          <w:p w14:paraId="428E15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2</w:t>
            </w:r>
          </w:p>
        </w:tc>
      </w:tr>
      <w:tr w:rsidR="00F5634E" w:rsidRPr="00BD1214" w14:paraId="1C5F7014" w14:textId="77777777" w:rsidTr="00080E5C">
        <w:trPr>
          <w:trHeight w:val="237"/>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1CAAC8E3"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Social insurance database</w:t>
            </w:r>
          </w:p>
        </w:tc>
        <w:tc>
          <w:tcPr>
            <w:tcW w:w="122" w:type="pct"/>
            <w:tcBorders>
              <w:top w:val="nil"/>
              <w:left w:val="nil"/>
              <w:bottom w:val="single" w:sz="8" w:space="0" w:color="FFFFFF"/>
              <w:right w:val="single" w:sz="8" w:space="0" w:color="FFFFFF"/>
            </w:tcBorders>
            <w:shd w:val="clear" w:color="000000" w:fill="F2F2F2"/>
            <w:noWrap/>
            <w:vAlign w:val="center"/>
          </w:tcPr>
          <w:p w14:paraId="5EE9737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D00B07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E7EC38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4021283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3112CC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4EEF9B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EEE1F1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02BB81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842BC4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33E9D4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425902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018FC3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98FC8B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C147B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8C3BE7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86E6DD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F77A03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B49A3F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324E41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950507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92C42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205841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8AA340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49A2B0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970D65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8DC006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B07603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5038CD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43F63B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EE1E34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1AD9460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57ED24D7" w14:textId="77777777" w:rsidTr="00080E5C">
        <w:trPr>
          <w:trHeight w:val="211"/>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145B6F55"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Information obtained using coercive measures</w:t>
            </w:r>
          </w:p>
        </w:tc>
        <w:tc>
          <w:tcPr>
            <w:tcW w:w="122" w:type="pct"/>
            <w:tcBorders>
              <w:top w:val="nil"/>
              <w:left w:val="nil"/>
              <w:bottom w:val="single" w:sz="8" w:space="0" w:color="FFFFFF"/>
              <w:right w:val="single" w:sz="8" w:space="0" w:color="FFFFFF"/>
            </w:tcBorders>
            <w:shd w:val="clear" w:color="000000" w:fill="F2F2F2"/>
            <w:noWrap/>
            <w:vAlign w:val="center"/>
          </w:tcPr>
          <w:p w14:paraId="12CACEF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972D7B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5C93B6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3F7B3C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0B9CF3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34E26B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831641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29D8FBF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4468B5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15B8DC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05BB01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8801CA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5D9186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488FA8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601181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3050F0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41E6AF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DFB57E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E67602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EDFA27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46865D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41845F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2420D6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B08B9A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8C70CF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7493C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FA8426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508800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2443C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4488B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2E0A30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02B8146B"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3FAB1E87"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Registers of owners of non-listed fixed telephones, mobile telephones, faxes, TVs</w:t>
            </w:r>
          </w:p>
        </w:tc>
        <w:tc>
          <w:tcPr>
            <w:tcW w:w="122" w:type="pct"/>
            <w:tcBorders>
              <w:top w:val="nil"/>
              <w:left w:val="nil"/>
              <w:bottom w:val="single" w:sz="8" w:space="0" w:color="FFFFFF"/>
              <w:right w:val="single" w:sz="8" w:space="0" w:color="FFFFFF"/>
            </w:tcBorders>
            <w:shd w:val="clear" w:color="000000" w:fill="F2F2F2"/>
            <w:noWrap/>
            <w:vAlign w:val="center"/>
          </w:tcPr>
          <w:p w14:paraId="22BEF36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28C0EB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21D054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E5F5DB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B9BEE4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8120D9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7A018D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3E6F3A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E1D78C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4BAF259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940D2D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6E6420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A80B76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709AE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96936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44A53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7069B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D94BD3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E2BCD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1688BC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2C64A2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166D6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36F5EE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298D25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BCAD25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EF5037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891CEC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B79CF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B0E5BD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0E54CD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37C103B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00C20E17" w14:textId="77777777" w:rsidTr="00080E5C">
        <w:trPr>
          <w:trHeight w:val="291"/>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6AF4024B"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Medical reports (dental record)</w:t>
            </w:r>
          </w:p>
        </w:tc>
        <w:tc>
          <w:tcPr>
            <w:tcW w:w="122" w:type="pct"/>
            <w:tcBorders>
              <w:top w:val="nil"/>
              <w:left w:val="nil"/>
              <w:bottom w:val="single" w:sz="8" w:space="0" w:color="FFFFFF"/>
              <w:right w:val="single" w:sz="8" w:space="0" w:color="FFFFFF"/>
            </w:tcBorders>
            <w:shd w:val="clear" w:color="000000" w:fill="F2F2F2"/>
            <w:noWrap/>
            <w:vAlign w:val="center"/>
          </w:tcPr>
          <w:p w14:paraId="2E08E4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6385FF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BC742C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659AC4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932ED6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1CB029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42FBAE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6219AD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23EE88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526C420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E2D504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B6E39F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EB2A81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6E6B79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1E222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B1012A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A828C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831E05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C7764D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B64354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E5DDEA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233AD6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38FD7C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055D03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721056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8D80D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38497C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0C05B1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E73E72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F77ED4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76D5BD0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57DB72D9"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2FA339BC"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Checking the identity, duration and contact frequency of certain telecommunication addresses</w:t>
            </w:r>
          </w:p>
        </w:tc>
        <w:tc>
          <w:tcPr>
            <w:tcW w:w="122" w:type="pct"/>
            <w:tcBorders>
              <w:top w:val="nil"/>
              <w:left w:val="nil"/>
              <w:bottom w:val="single" w:sz="8" w:space="0" w:color="FFFFFF"/>
              <w:right w:val="single" w:sz="8" w:space="0" w:color="FFFFFF"/>
            </w:tcBorders>
            <w:shd w:val="clear" w:color="000000" w:fill="F2F2F2"/>
            <w:noWrap/>
            <w:vAlign w:val="center"/>
          </w:tcPr>
          <w:p w14:paraId="23EAAFA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D623EA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D0B453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46BCA8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644FAE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F5943C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E8B2D4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C549E9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554B74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E0745D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80FA51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B3D6EF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1ED622F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8082A8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C54843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160FF8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137DE2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75308A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81257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0867AA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1B41C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AB6B66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E812C3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C8B43A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5AF44B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FEB312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CC8E8B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29404E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38CDEA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E4639C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67237F6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065BC8A8" w14:textId="77777777" w:rsidTr="00080E5C">
        <w:trPr>
          <w:trHeight w:val="228"/>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18D1E645"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Unusual or suspicious money transactions</w:t>
            </w:r>
          </w:p>
        </w:tc>
        <w:tc>
          <w:tcPr>
            <w:tcW w:w="122" w:type="pct"/>
            <w:tcBorders>
              <w:top w:val="nil"/>
              <w:left w:val="nil"/>
              <w:bottom w:val="single" w:sz="8" w:space="0" w:color="FFFFFF"/>
              <w:right w:val="single" w:sz="8" w:space="0" w:color="FFFFFF"/>
            </w:tcBorders>
            <w:shd w:val="clear" w:color="000000" w:fill="F2F2F2"/>
            <w:noWrap/>
            <w:vAlign w:val="center"/>
          </w:tcPr>
          <w:p w14:paraId="477BAD1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EAB7AB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390470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102A5F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DA5282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40247F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68ED85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10E82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4A2335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D98F2F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FADBD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749EF2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A69314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093E61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4EE68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91BA6C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4DAD0A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98369C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17D488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E54A2C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0FF5CBE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39BBFC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918CF8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7DDEAD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7865B6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86D1B1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CB6172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0A40B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069DF6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8AD6D7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404DDE7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508C68CC" w14:textId="77777777" w:rsidTr="00080E5C">
        <w:trPr>
          <w:trHeight w:val="260"/>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0A2D9792"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Modus operandi</w:t>
            </w:r>
          </w:p>
        </w:tc>
        <w:tc>
          <w:tcPr>
            <w:tcW w:w="122" w:type="pct"/>
            <w:tcBorders>
              <w:top w:val="nil"/>
              <w:left w:val="nil"/>
              <w:bottom w:val="single" w:sz="8" w:space="0" w:color="FFFFFF"/>
              <w:right w:val="single" w:sz="8" w:space="0" w:color="FFFFFF"/>
            </w:tcBorders>
            <w:shd w:val="clear" w:color="000000" w:fill="F2F2F2"/>
            <w:noWrap/>
            <w:vAlign w:val="center"/>
          </w:tcPr>
          <w:p w14:paraId="121C7AE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9A3D8F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DC76EE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6F627F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C69558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003DC1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F1E237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244257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B5D07E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B0567C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96A86C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6C2A21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3D259E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7D0AAB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B31411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6B9ABB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A11C3F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6986A3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202EDD3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0E9C47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3233DF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A0CBE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5EEDD6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7AFC0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C8868F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8306A2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466505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425B79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6019B8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6B7C12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12793FA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2A992446" w14:textId="77777777" w:rsidTr="00080E5C">
        <w:trPr>
          <w:trHeight w:val="264"/>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359D469B"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Register of the Prosecutor's Offices</w:t>
            </w:r>
          </w:p>
        </w:tc>
        <w:tc>
          <w:tcPr>
            <w:tcW w:w="122" w:type="pct"/>
            <w:tcBorders>
              <w:top w:val="nil"/>
              <w:left w:val="nil"/>
              <w:bottom w:val="single" w:sz="8" w:space="0" w:color="FFFFFF"/>
              <w:right w:val="single" w:sz="8" w:space="0" w:color="FFFFFF"/>
            </w:tcBorders>
            <w:shd w:val="clear" w:color="000000" w:fill="F2F2F2"/>
            <w:noWrap/>
            <w:vAlign w:val="center"/>
          </w:tcPr>
          <w:p w14:paraId="6DAA82B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166BC7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D5819F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7E9B7B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C3968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16911D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6DE4DE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96081B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65D687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87DFB1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4169B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252275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4BCA44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13F7FA7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B4F53B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D4B295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77E89C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C77C16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944464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49810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DE835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05EF30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59F1A2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3BB419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1D09F5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B7CAF4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95C3FB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305D11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132FEE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C69A97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2C96A73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2BDB049D"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5011559D"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Information managed by healthcare and connected institutions (medical and related data)</w:t>
            </w:r>
          </w:p>
        </w:tc>
        <w:tc>
          <w:tcPr>
            <w:tcW w:w="122" w:type="pct"/>
            <w:tcBorders>
              <w:top w:val="nil"/>
              <w:left w:val="nil"/>
              <w:bottom w:val="single" w:sz="8" w:space="0" w:color="FFFFFF"/>
              <w:right w:val="single" w:sz="8" w:space="0" w:color="FFFFFF"/>
            </w:tcBorders>
            <w:shd w:val="clear" w:color="000000" w:fill="F2F2F2"/>
            <w:noWrap/>
            <w:vAlign w:val="center"/>
          </w:tcPr>
          <w:p w14:paraId="440E4D1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3B12C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F0AB15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842837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ABA47D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763EF1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FD8C88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A91EE9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B79C60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9AEF1D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780327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C1C36D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171113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39ADC0C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9CA21D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A80CC6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A2E9E6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6980A3F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71F625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A0CB07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3DAD8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D9DE4E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D6418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41C812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492AAB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9AB7B7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2ABF6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A1FFCF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83837B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FBF4DB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2915293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3B1C54A6" w14:textId="77777777" w:rsidTr="00080E5C">
        <w:trPr>
          <w:trHeight w:val="230"/>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0C4CC884"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Access to data classified as trade secrets</w:t>
            </w:r>
          </w:p>
        </w:tc>
        <w:tc>
          <w:tcPr>
            <w:tcW w:w="122" w:type="pct"/>
            <w:tcBorders>
              <w:top w:val="nil"/>
              <w:left w:val="nil"/>
              <w:bottom w:val="single" w:sz="8" w:space="0" w:color="FFFFFF"/>
              <w:right w:val="single" w:sz="8" w:space="0" w:color="FFFFFF"/>
            </w:tcBorders>
            <w:shd w:val="clear" w:color="000000" w:fill="F2F2F2"/>
            <w:noWrap/>
            <w:vAlign w:val="center"/>
          </w:tcPr>
          <w:p w14:paraId="78B51C6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70ED0C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E6CB28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B0969B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32868F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04FB86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D61234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292290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C3E2A5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7EB629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C31EEA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29C840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982162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0E998C2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3A2528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5445B1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A67194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040D0B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193F13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399CB0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E0EDC0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B1AF3F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40F4B3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9C44A3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A5F77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B7BDFB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A42D6C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136AC5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97F79B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A6CA2E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64B2D18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4B65DA67" w14:textId="77777777" w:rsidTr="00080E5C">
        <w:trPr>
          <w:trHeight w:val="276"/>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48E837C6"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Samples collected for the purpose of personal identification</w:t>
            </w:r>
          </w:p>
        </w:tc>
        <w:tc>
          <w:tcPr>
            <w:tcW w:w="122" w:type="pct"/>
            <w:tcBorders>
              <w:top w:val="nil"/>
              <w:left w:val="nil"/>
              <w:bottom w:val="single" w:sz="8" w:space="0" w:color="FFFFFF"/>
              <w:right w:val="single" w:sz="8" w:space="0" w:color="FFFFFF"/>
            </w:tcBorders>
            <w:shd w:val="clear" w:color="000000" w:fill="F2F2F2"/>
            <w:noWrap/>
            <w:vAlign w:val="center"/>
          </w:tcPr>
          <w:p w14:paraId="0FB08E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348803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F6BB91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2A86B8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232893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7C6D5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1E7436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0120A2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F1B7E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CE0923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E559B6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5376EF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AA914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6393E8F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C5C252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60A9E4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06660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296F19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3BED83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B789B5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EBDA0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F1829C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D071B4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4AE027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2A0F48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3D2D25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9DB220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6B52DA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FA5219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D070B2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1243BAE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2AB9A49C" w14:textId="77777777" w:rsidTr="00080E5C">
        <w:trPr>
          <w:trHeight w:val="266"/>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1D787AE3"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Decisions on persons regarding street bans</w:t>
            </w:r>
          </w:p>
        </w:tc>
        <w:tc>
          <w:tcPr>
            <w:tcW w:w="122" w:type="pct"/>
            <w:tcBorders>
              <w:top w:val="nil"/>
              <w:left w:val="nil"/>
              <w:bottom w:val="single" w:sz="8" w:space="0" w:color="FFFFFF"/>
              <w:right w:val="single" w:sz="8" w:space="0" w:color="FFFFFF"/>
            </w:tcBorders>
            <w:shd w:val="clear" w:color="000000" w:fill="F2F2F2"/>
            <w:noWrap/>
            <w:vAlign w:val="center"/>
          </w:tcPr>
          <w:p w14:paraId="320F054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54AFC3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8BBA2E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16448B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F473A9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A9EF0E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E8D473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CF17BF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72CB58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93CC1F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AE9732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8F44E6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F70A3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noWrap/>
            <w:vAlign w:val="center"/>
          </w:tcPr>
          <w:p w14:paraId="7F2D120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F1A6A1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365E23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6A4C97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5AD2113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EAE7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9BE5F1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7533BF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F31470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07FBE5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FB73DF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3D2204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F2DFA8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1F0A44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7DAD0B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086F5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488A9A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79E03E0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09E20BA6"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2EECC286"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Information obtained as a result of a bodily examination or a molecular genetic examination</w:t>
            </w:r>
          </w:p>
        </w:tc>
        <w:tc>
          <w:tcPr>
            <w:tcW w:w="122" w:type="pct"/>
            <w:tcBorders>
              <w:top w:val="nil"/>
              <w:left w:val="nil"/>
              <w:bottom w:val="single" w:sz="8" w:space="0" w:color="FFFFFF"/>
              <w:right w:val="single" w:sz="8" w:space="0" w:color="FFFFFF"/>
            </w:tcBorders>
            <w:shd w:val="clear" w:color="000000" w:fill="002060"/>
            <w:noWrap/>
            <w:vAlign w:val="center"/>
          </w:tcPr>
          <w:p w14:paraId="4BEF5DF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8F43A3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C6A7BB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C19019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65F874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9D48A7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9D1373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A3F60F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C76C6F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3BC655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D87E85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1E8F42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0EB258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80B901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EA2EF2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7BBEC69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0D5C46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03DCA81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32A54A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9FF392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F4071D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65D56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5D1E19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FC83C0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FB431D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EE8AF4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F998DD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0E3306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6C5655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DCEA19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5B19DA8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7B70DE4C"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3FE58A2A"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Information obtained as a result of an IT-supported comparison of data</w:t>
            </w:r>
          </w:p>
        </w:tc>
        <w:tc>
          <w:tcPr>
            <w:tcW w:w="122" w:type="pct"/>
            <w:tcBorders>
              <w:top w:val="nil"/>
              <w:left w:val="nil"/>
              <w:bottom w:val="single" w:sz="8" w:space="0" w:color="FFFFFF"/>
              <w:right w:val="single" w:sz="8" w:space="0" w:color="FFFFFF"/>
            </w:tcBorders>
            <w:shd w:val="clear" w:color="000000" w:fill="002060"/>
            <w:noWrap/>
            <w:vAlign w:val="center"/>
          </w:tcPr>
          <w:p w14:paraId="63F2433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008E27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FE5523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B8EDC8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2AFA9E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8168C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40641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F1199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138E5A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ECF5B2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3E91AC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0B4EC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7D1A67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0ECE07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A6C84B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02BEC2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010145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3E9754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E45ABB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1D973C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E3B938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E96792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DB2BD5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D1662E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EDE4AB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0E5D4F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C27797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16CC35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48EF3E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B2EC5E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6C6BB7A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61E06912"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340D1401"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Data and results of an investigation that have been obtained in the course of national criminal proceedings without the use of coercive measures</w:t>
            </w:r>
          </w:p>
        </w:tc>
        <w:tc>
          <w:tcPr>
            <w:tcW w:w="122" w:type="pct"/>
            <w:tcBorders>
              <w:top w:val="nil"/>
              <w:left w:val="nil"/>
              <w:bottom w:val="single" w:sz="8" w:space="0" w:color="FFFFFF"/>
              <w:right w:val="single" w:sz="8" w:space="0" w:color="FFFFFF"/>
            </w:tcBorders>
            <w:shd w:val="clear" w:color="000000" w:fill="002060"/>
            <w:noWrap/>
            <w:vAlign w:val="center"/>
          </w:tcPr>
          <w:p w14:paraId="74C530B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BEAF23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F59F24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8B07BA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58400F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426F5E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5B377E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10BB77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98AA60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70F304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CBD062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AA24D5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F7D61B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81A66E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EB437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7886DB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7E51F5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6BF0A9C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AAEB26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AFE00C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D711F2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7C4BF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1F97B7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B02E34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8D6844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89D3B9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304A2C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3E523F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8A2017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A1E1AC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1FF700A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7C694C6B" w14:textId="77777777" w:rsidTr="00080E5C">
        <w:trPr>
          <w:trHeight w:val="23"/>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792BBB0A"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Checks on content of correspondence, communications and deliveries</w:t>
            </w:r>
          </w:p>
        </w:tc>
        <w:tc>
          <w:tcPr>
            <w:tcW w:w="122" w:type="pct"/>
            <w:tcBorders>
              <w:top w:val="nil"/>
              <w:left w:val="nil"/>
              <w:bottom w:val="single" w:sz="8" w:space="0" w:color="FFFFFF"/>
              <w:right w:val="single" w:sz="8" w:space="0" w:color="FFFFFF"/>
            </w:tcBorders>
            <w:shd w:val="clear" w:color="000000" w:fill="F2F2F2"/>
            <w:noWrap/>
            <w:vAlign w:val="center"/>
          </w:tcPr>
          <w:p w14:paraId="1DB3773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8F1CB0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F05C48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B51166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0D46EF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0B0D6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B0F0F5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BCCB68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7824AC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C7C1A5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00C1E0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BE8CDE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D2F1AA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31FA5A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0220D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25724BF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CD8C7C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373F1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1F5894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3A034E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41B0A3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C62C61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455C3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93FEE6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34AAC91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6F1CDC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57105C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F7174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145E2C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119C53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04B0599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1F8B40E6" w14:textId="77777777" w:rsidTr="00080E5C">
        <w:trPr>
          <w:trHeight w:val="276"/>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6EA593EA"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Observations or observation reports</w:t>
            </w:r>
          </w:p>
        </w:tc>
        <w:tc>
          <w:tcPr>
            <w:tcW w:w="122" w:type="pct"/>
            <w:tcBorders>
              <w:top w:val="nil"/>
              <w:left w:val="nil"/>
              <w:bottom w:val="single" w:sz="8" w:space="0" w:color="FFFFFF"/>
              <w:right w:val="single" w:sz="8" w:space="0" w:color="FFFFFF"/>
            </w:tcBorders>
            <w:shd w:val="clear" w:color="000000" w:fill="F2F2F2"/>
            <w:noWrap/>
            <w:vAlign w:val="center"/>
          </w:tcPr>
          <w:p w14:paraId="6128595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3F836A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455423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5D91B0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4EDE0F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4DC10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981A8C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E3527D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845865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E3FBCC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E39095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5D27FE2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24F380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4252E0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164637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3348B5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76DB76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1721242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D741E0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AB06E5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D861F9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D76430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CF69B3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7BAC885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24F7F7EE"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7EF3C74"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FEF039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F68617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270B86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795EFF8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4C7E2CD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4C05DBD3" w14:textId="77777777" w:rsidTr="00080E5C">
        <w:trPr>
          <w:trHeight w:val="266"/>
        </w:trPr>
        <w:tc>
          <w:tcPr>
            <w:tcW w:w="1214" w:type="pct"/>
            <w:tcBorders>
              <w:top w:val="nil"/>
              <w:left w:val="single" w:sz="8" w:space="0" w:color="FFFFFF"/>
              <w:bottom w:val="single" w:sz="8" w:space="0" w:color="FFFFFF"/>
              <w:right w:val="single" w:sz="8" w:space="0" w:color="FFFFFF"/>
            </w:tcBorders>
            <w:shd w:val="clear" w:color="000000" w:fill="F2F2F2"/>
            <w:noWrap/>
            <w:vAlign w:val="center"/>
            <w:hideMark/>
          </w:tcPr>
          <w:p w14:paraId="3C4576A5" w14:textId="77777777" w:rsidR="000C73E9" w:rsidRPr="00BD1214" w:rsidRDefault="000C73E9" w:rsidP="00080E5C">
            <w:pPr>
              <w:spacing w:after="0" w:line="240" w:lineRule="auto"/>
              <w:ind w:right="-102"/>
              <w:rPr>
                <w:rFonts w:ascii="Verdana" w:eastAsia="Times New Roman" w:hAnsi="Verdana" w:cs="Calibri"/>
                <w:b/>
                <w:bCs/>
                <w:noProof/>
                <w:color w:val="000000"/>
                <w:sz w:val="12"/>
                <w:szCs w:val="12"/>
                <w:lang w:eastAsia="en-GB"/>
              </w:rPr>
            </w:pPr>
            <w:r w:rsidRPr="00BD1214">
              <w:rPr>
                <w:rFonts w:ascii="Verdana" w:eastAsia="Times New Roman" w:hAnsi="Verdana" w:cs="Calibri"/>
                <w:b/>
                <w:bCs/>
                <w:noProof/>
                <w:color w:val="000000"/>
                <w:sz w:val="12"/>
                <w:szCs w:val="12"/>
                <w:lang w:eastAsia="en-GB"/>
              </w:rPr>
              <w:t>Film or video recordings</w:t>
            </w:r>
          </w:p>
        </w:tc>
        <w:tc>
          <w:tcPr>
            <w:tcW w:w="122" w:type="pct"/>
            <w:tcBorders>
              <w:top w:val="nil"/>
              <w:left w:val="nil"/>
              <w:bottom w:val="single" w:sz="8" w:space="0" w:color="FFFFFF"/>
              <w:right w:val="single" w:sz="8" w:space="0" w:color="FFFFFF"/>
            </w:tcBorders>
            <w:shd w:val="clear" w:color="000000" w:fill="F2F2F2"/>
            <w:noWrap/>
            <w:vAlign w:val="center"/>
          </w:tcPr>
          <w:p w14:paraId="4FE56F8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FF49B3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5F3222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6B734E6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1946DE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649540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762A000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444F6102"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3449758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12F645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12280C7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2573A619"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60B7E32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noWrap/>
            <w:vAlign w:val="center"/>
          </w:tcPr>
          <w:p w14:paraId="099193F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0E534A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6421DC0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0203184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808080"/>
            <w:vAlign w:val="center"/>
          </w:tcPr>
          <w:p w14:paraId="4BC7B29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71C01CF"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87E4BB3"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02AE247"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83785E0"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1517B22D"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91B2CFB"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29981B6"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4611E581"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79E5D28"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51689275"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F2F2F2"/>
            <w:vAlign w:val="center"/>
          </w:tcPr>
          <w:p w14:paraId="33C784E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2" w:type="pct"/>
            <w:tcBorders>
              <w:top w:val="nil"/>
              <w:left w:val="nil"/>
              <w:bottom w:val="single" w:sz="8" w:space="0" w:color="FFFFFF"/>
              <w:right w:val="single" w:sz="8" w:space="0" w:color="FFFFFF"/>
            </w:tcBorders>
            <w:shd w:val="clear" w:color="000000" w:fill="002060"/>
            <w:vAlign w:val="center"/>
          </w:tcPr>
          <w:p w14:paraId="0843133A"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p>
        </w:tc>
        <w:tc>
          <w:tcPr>
            <w:tcW w:w="126" w:type="pct"/>
            <w:tcBorders>
              <w:top w:val="nil"/>
              <w:left w:val="nil"/>
              <w:bottom w:val="nil"/>
              <w:right w:val="nil"/>
            </w:tcBorders>
            <w:shd w:val="clear" w:color="000000" w:fill="FCFCFF"/>
            <w:noWrap/>
            <w:vAlign w:val="center"/>
            <w:hideMark/>
          </w:tcPr>
          <w:p w14:paraId="1045421C" w14:textId="77777777" w:rsidR="000C73E9" w:rsidRPr="00BD1214" w:rsidRDefault="000C73E9" w:rsidP="00080E5C">
            <w:pPr>
              <w:spacing w:after="0" w:line="240" w:lineRule="auto"/>
              <w:jc w:val="center"/>
              <w:rPr>
                <w:rFonts w:ascii="Verdana" w:eastAsia="Times New Roman" w:hAnsi="Verdana" w:cs="Calibri"/>
                <w:noProof/>
                <w:color w:val="000000"/>
                <w:sz w:val="12"/>
                <w:szCs w:val="12"/>
                <w:lang w:eastAsia="en-GB"/>
              </w:rPr>
            </w:pPr>
            <w:r w:rsidRPr="00BD1214">
              <w:rPr>
                <w:rFonts w:ascii="Verdana" w:eastAsia="Times New Roman" w:hAnsi="Verdana" w:cs="Calibri"/>
                <w:noProof/>
                <w:color w:val="000000"/>
                <w:sz w:val="12"/>
                <w:szCs w:val="12"/>
                <w:lang w:eastAsia="en-GB"/>
              </w:rPr>
              <w:t>1</w:t>
            </w:r>
          </w:p>
        </w:tc>
      </w:tr>
      <w:tr w:rsidR="00F5634E" w:rsidRPr="00BD1214" w14:paraId="175FA254" w14:textId="77777777" w:rsidTr="00080E5C">
        <w:trPr>
          <w:trHeight w:val="384"/>
        </w:trPr>
        <w:tc>
          <w:tcPr>
            <w:tcW w:w="1214" w:type="pct"/>
            <w:tcBorders>
              <w:top w:val="nil"/>
              <w:left w:val="single" w:sz="8" w:space="0" w:color="FFFFFF"/>
              <w:bottom w:val="single" w:sz="8" w:space="0" w:color="FFFFFF"/>
              <w:right w:val="single" w:sz="8" w:space="0" w:color="FFFFFF"/>
            </w:tcBorders>
            <w:shd w:val="clear" w:color="000000" w:fill="000000"/>
            <w:noWrap/>
            <w:vAlign w:val="center"/>
            <w:hideMark/>
          </w:tcPr>
          <w:p w14:paraId="17CF1B93" w14:textId="77777777" w:rsidR="000C73E9" w:rsidRPr="00BD1214" w:rsidRDefault="000C73E9" w:rsidP="00080E5C">
            <w:pPr>
              <w:spacing w:after="0" w:line="240" w:lineRule="auto"/>
              <w:ind w:right="-102"/>
              <w:rPr>
                <w:rFonts w:ascii="Verdana" w:eastAsia="Times New Roman" w:hAnsi="Verdana" w:cs="Calibri"/>
                <w:b/>
                <w:bCs/>
                <w:noProof/>
                <w:color w:val="FFFFFF"/>
                <w:sz w:val="12"/>
                <w:szCs w:val="12"/>
                <w:lang w:eastAsia="en-GB"/>
              </w:rPr>
            </w:pPr>
            <w:r w:rsidRPr="00BD1214">
              <w:rPr>
                <w:rFonts w:ascii="Verdana" w:eastAsia="Times New Roman" w:hAnsi="Verdana" w:cs="Calibri"/>
                <w:b/>
                <w:bCs/>
                <w:noProof/>
                <w:color w:val="FFFFFF"/>
                <w:sz w:val="12"/>
                <w:szCs w:val="12"/>
                <w:lang w:eastAsia="en-GB"/>
              </w:rPr>
              <w:t>Total</w:t>
            </w:r>
          </w:p>
        </w:tc>
        <w:tc>
          <w:tcPr>
            <w:tcW w:w="122" w:type="pct"/>
            <w:tcBorders>
              <w:top w:val="nil"/>
              <w:left w:val="nil"/>
              <w:bottom w:val="nil"/>
              <w:right w:val="nil"/>
            </w:tcBorders>
            <w:shd w:val="clear" w:color="000000" w:fill="B6E0C3"/>
            <w:noWrap/>
            <w:vAlign w:val="center"/>
            <w:hideMark/>
          </w:tcPr>
          <w:p w14:paraId="7F619BC8"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6</w:t>
            </w:r>
          </w:p>
        </w:tc>
        <w:tc>
          <w:tcPr>
            <w:tcW w:w="122" w:type="pct"/>
            <w:tcBorders>
              <w:top w:val="nil"/>
              <w:left w:val="nil"/>
              <w:bottom w:val="nil"/>
              <w:right w:val="nil"/>
            </w:tcBorders>
            <w:shd w:val="clear" w:color="000000" w:fill="D9EEE1"/>
            <w:noWrap/>
            <w:vAlign w:val="center"/>
            <w:hideMark/>
          </w:tcPr>
          <w:p w14:paraId="5EA24F80"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3</w:t>
            </w:r>
          </w:p>
        </w:tc>
        <w:tc>
          <w:tcPr>
            <w:tcW w:w="122" w:type="pct"/>
            <w:tcBorders>
              <w:top w:val="nil"/>
              <w:left w:val="nil"/>
              <w:bottom w:val="nil"/>
              <w:right w:val="nil"/>
            </w:tcBorders>
            <w:shd w:val="clear" w:color="000000" w:fill="9ED6AE"/>
            <w:noWrap/>
            <w:vAlign w:val="center"/>
            <w:hideMark/>
          </w:tcPr>
          <w:p w14:paraId="13D0C77B"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8</w:t>
            </w:r>
          </w:p>
        </w:tc>
        <w:tc>
          <w:tcPr>
            <w:tcW w:w="122" w:type="pct"/>
            <w:tcBorders>
              <w:top w:val="nil"/>
              <w:left w:val="nil"/>
              <w:bottom w:val="nil"/>
              <w:right w:val="nil"/>
            </w:tcBorders>
            <w:shd w:val="clear" w:color="000000" w:fill="C2E5CD"/>
            <w:noWrap/>
            <w:vAlign w:val="center"/>
            <w:hideMark/>
          </w:tcPr>
          <w:p w14:paraId="4B817553"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5</w:t>
            </w:r>
          </w:p>
        </w:tc>
        <w:tc>
          <w:tcPr>
            <w:tcW w:w="122" w:type="pct"/>
            <w:tcBorders>
              <w:top w:val="nil"/>
              <w:left w:val="nil"/>
              <w:bottom w:val="nil"/>
              <w:right w:val="nil"/>
            </w:tcBorders>
            <w:shd w:val="clear" w:color="000000" w:fill="C2E5CD"/>
            <w:noWrap/>
            <w:vAlign w:val="center"/>
            <w:hideMark/>
          </w:tcPr>
          <w:p w14:paraId="407EE178"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5</w:t>
            </w:r>
          </w:p>
        </w:tc>
        <w:tc>
          <w:tcPr>
            <w:tcW w:w="122" w:type="pct"/>
            <w:tcBorders>
              <w:top w:val="nil"/>
              <w:left w:val="nil"/>
              <w:bottom w:val="nil"/>
              <w:right w:val="nil"/>
            </w:tcBorders>
            <w:shd w:val="clear" w:color="000000" w:fill="FCFCFF"/>
            <w:noWrap/>
            <w:vAlign w:val="center"/>
            <w:hideMark/>
          </w:tcPr>
          <w:p w14:paraId="5E9C9D25"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0</w:t>
            </w:r>
          </w:p>
        </w:tc>
        <w:tc>
          <w:tcPr>
            <w:tcW w:w="122" w:type="pct"/>
            <w:tcBorders>
              <w:top w:val="nil"/>
              <w:left w:val="nil"/>
              <w:bottom w:val="nil"/>
              <w:right w:val="nil"/>
            </w:tcBorders>
            <w:shd w:val="clear" w:color="000000" w:fill="CDE9D7"/>
            <w:noWrap/>
            <w:vAlign w:val="center"/>
            <w:hideMark/>
          </w:tcPr>
          <w:p w14:paraId="39458B81"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4</w:t>
            </w:r>
          </w:p>
        </w:tc>
        <w:tc>
          <w:tcPr>
            <w:tcW w:w="122" w:type="pct"/>
            <w:tcBorders>
              <w:top w:val="nil"/>
              <w:left w:val="nil"/>
              <w:bottom w:val="nil"/>
              <w:right w:val="nil"/>
            </w:tcBorders>
            <w:shd w:val="clear" w:color="000000" w:fill="E5F3EB"/>
            <w:noWrap/>
            <w:vAlign w:val="center"/>
            <w:hideMark/>
          </w:tcPr>
          <w:p w14:paraId="3C059F64"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2</w:t>
            </w:r>
          </w:p>
        </w:tc>
        <w:tc>
          <w:tcPr>
            <w:tcW w:w="122" w:type="pct"/>
            <w:tcBorders>
              <w:top w:val="nil"/>
              <w:left w:val="nil"/>
              <w:bottom w:val="nil"/>
              <w:right w:val="nil"/>
            </w:tcBorders>
            <w:shd w:val="clear" w:color="000000" w:fill="D9EEE1"/>
            <w:noWrap/>
            <w:vAlign w:val="center"/>
            <w:hideMark/>
          </w:tcPr>
          <w:p w14:paraId="3EC09CC4"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3</w:t>
            </w:r>
          </w:p>
        </w:tc>
        <w:tc>
          <w:tcPr>
            <w:tcW w:w="122" w:type="pct"/>
            <w:tcBorders>
              <w:top w:val="nil"/>
              <w:left w:val="nil"/>
              <w:bottom w:val="nil"/>
              <w:right w:val="nil"/>
            </w:tcBorders>
            <w:shd w:val="clear" w:color="000000" w:fill="C2E5CD"/>
            <w:noWrap/>
            <w:vAlign w:val="center"/>
            <w:hideMark/>
          </w:tcPr>
          <w:p w14:paraId="7E4AD215"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5</w:t>
            </w:r>
          </w:p>
        </w:tc>
        <w:tc>
          <w:tcPr>
            <w:tcW w:w="122" w:type="pct"/>
            <w:tcBorders>
              <w:top w:val="nil"/>
              <w:left w:val="nil"/>
              <w:bottom w:val="nil"/>
              <w:right w:val="nil"/>
            </w:tcBorders>
            <w:shd w:val="clear" w:color="000000" w:fill="E5F3EB"/>
            <w:noWrap/>
            <w:vAlign w:val="center"/>
            <w:hideMark/>
          </w:tcPr>
          <w:p w14:paraId="176A6964"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2</w:t>
            </w:r>
          </w:p>
        </w:tc>
        <w:tc>
          <w:tcPr>
            <w:tcW w:w="122" w:type="pct"/>
            <w:tcBorders>
              <w:top w:val="nil"/>
              <w:left w:val="nil"/>
              <w:bottom w:val="nil"/>
              <w:right w:val="nil"/>
            </w:tcBorders>
            <w:shd w:val="clear" w:color="000000" w:fill="CDE9D7"/>
            <w:noWrap/>
            <w:vAlign w:val="center"/>
            <w:hideMark/>
          </w:tcPr>
          <w:p w14:paraId="6859DB3F"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4</w:t>
            </w:r>
          </w:p>
        </w:tc>
        <w:tc>
          <w:tcPr>
            <w:tcW w:w="122" w:type="pct"/>
            <w:tcBorders>
              <w:top w:val="nil"/>
              <w:left w:val="nil"/>
              <w:bottom w:val="nil"/>
              <w:right w:val="nil"/>
            </w:tcBorders>
            <w:shd w:val="clear" w:color="000000" w:fill="D9EEE1"/>
            <w:noWrap/>
            <w:vAlign w:val="center"/>
            <w:hideMark/>
          </w:tcPr>
          <w:p w14:paraId="5A3CE962"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3</w:t>
            </w:r>
          </w:p>
        </w:tc>
        <w:tc>
          <w:tcPr>
            <w:tcW w:w="122" w:type="pct"/>
            <w:tcBorders>
              <w:top w:val="nil"/>
              <w:left w:val="nil"/>
              <w:bottom w:val="nil"/>
              <w:right w:val="nil"/>
            </w:tcBorders>
            <w:shd w:val="clear" w:color="000000" w:fill="63BE7B"/>
            <w:noWrap/>
            <w:vAlign w:val="center"/>
            <w:hideMark/>
          </w:tcPr>
          <w:p w14:paraId="6DD24B36" w14:textId="77777777" w:rsidR="000C73E9" w:rsidRPr="0025106C" w:rsidRDefault="000C73E9" w:rsidP="00080E5C">
            <w:pPr>
              <w:spacing w:after="0" w:line="240" w:lineRule="auto"/>
              <w:jc w:val="center"/>
              <w:rPr>
                <w:rFonts w:ascii="Verdana" w:eastAsia="Times New Roman" w:hAnsi="Verdana" w:cs="Calibri"/>
                <w:noProof/>
                <w:color w:val="000000"/>
                <w:sz w:val="9"/>
                <w:szCs w:val="9"/>
                <w:lang w:eastAsia="en-GB"/>
              </w:rPr>
            </w:pPr>
            <w:r w:rsidRPr="0025106C">
              <w:rPr>
                <w:rFonts w:ascii="Verdana" w:eastAsia="Times New Roman" w:hAnsi="Verdana" w:cs="Calibri"/>
                <w:noProof/>
                <w:color w:val="000000"/>
                <w:sz w:val="9"/>
                <w:szCs w:val="9"/>
                <w:lang w:eastAsia="en-GB"/>
              </w:rPr>
              <w:t>13</w:t>
            </w:r>
          </w:p>
        </w:tc>
        <w:tc>
          <w:tcPr>
            <w:tcW w:w="122" w:type="pct"/>
            <w:tcBorders>
              <w:top w:val="nil"/>
              <w:left w:val="nil"/>
              <w:bottom w:val="nil"/>
              <w:right w:val="nil"/>
            </w:tcBorders>
            <w:shd w:val="clear" w:color="000000" w:fill="F1F8F5"/>
            <w:noWrap/>
            <w:vAlign w:val="center"/>
            <w:hideMark/>
          </w:tcPr>
          <w:p w14:paraId="379C4510"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1</w:t>
            </w:r>
          </w:p>
        </w:tc>
        <w:tc>
          <w:tcPr>
            <w:tcW w:w="122" w:type="pct"/>
            <w:tcBorders>
              <w:top w:val="nil"/>
              <w:left w:val="nil"/>
              <w:bottom w:val="nil"/>
              <w:right w:val="nil"/>
            </w:tcBorders>
            <w:shd w:val="clear" w:color="000000" w:fill="FCFCFF"/>
            <w:noWrap/>
            <w:vAlign w:val="center"/>
            <w:hideMark/>
          </w:tcPr>
          <w:p w14:paraId="011246C4"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0</w:t>
            </w:r>
          </w:p>
        </w:tc>
        <w:tc>
          <w:tcPr>
            <w:tcW w:w="122" w:type="pct"/>
            <w:tcBorders>
              <w:top w:val="nil"/>
              <w:left w:val="nil"/>
              <w:bottom w:val="nil"/>
              <w:right w:val="nil"/>
            </w:tcBorders>
            <w:shd w:val="clear" w:color="000000" w:fill="F1F8F5"/>
            <w:noWrap/>
            <w:vAlign w:val="center"/>
            <w:hideMark/>
          </w:tcPr>
          <w:p w14:paraId="35317969"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1</w:t>
            </w:r>
          </w:p>
        </w:tc>
        <w:tc>
          <w:tcPr>
            <w:tcW w:w="122" w:type="pct"/>
            <w:tcBorders>
              <w:top w:val="nil"/>
              <w:left w:val="nil"/>
              <w:bottom w:val="nil"/>
              <w:right w:val="nil"/>
            </w:tcBorders>
            <w:shd w:val="clear" w:color="000000" w:fill="FCFCFF"/>
            <w:noWrap/>
            <w:vAlign w:val="center"/>
            <w:hideMark/>
          </w:tcPr>
          <w:p w14:paraId="460B916E"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0</w:t>
            </w:r>
          </w:p>
        </w:tc>
        <w:tc>
          <w:tcPr>
            <w:tcW w:w="122" w:type="pct"/>
            <w:tcBorders>
              <w:top w:val="nil"/>
              <w:left w:val="nil"/>
              <w:bottom w:val="nil"/>
              <w:right w:val="nil"/>
            </w:tcBorders>
            <w:shd w:val="clear" w:color="000000" w:fill="9ED6AE"/>
            <w:noWrap/>
            <w:vAlign w:val="center"/>
            <w:hideMark/>
          </w:tcPr>
          <w:p w14:paraId="44D6F799"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8</w:t>
            </w:r>
          </w:p>
        </w:tc>
        <w:tc>
          <w:tcPr>
            <w:tcW w:w="122" w:type="pct"/>
            <w:tcBorders>
              <w:top w:val="nil"/>
              <w:left w:val="nil"/>
              <w:bottom w:val="nil"/>
              <w:right w:val="nil"/>
            </w:tcBorders>
            <w:shd w:val="clear" w:color="000000" w:fill="FCFCFF"/>
            <w:noWrap/>
            <w:vAlign w:val="center"/>
            <w:hideMark/>
          </w:tcPr>
          <w:p w14:paraId="05E58772"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0</w:t>
            </w:r>
          </w:p>
        </w:tc>
        <w:tc>
          <w:tcPr>
            <w:tcW w:w="122" w:type="pct"/>
            <w:tcBorders>
              <w:top w:val="nil"/>
              <w:left w:val="nil"/>
              <w:bottom w:val="nil"/>
              <w:right w:val="nil"/>
            </w:tcBorders>
            <w:shd w:val="clear" w:color="000000" w:fill="C2E5CD"/>
            <w:noWrap/>
            <w:vAlign w:val="center"/>
            <w:hideMark/>
          </w:tcPr>
          <w:p w14:paraId="5189D23E"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5</w:t>
            </w:r>
          </w:p>
        </w:tc>
        <w:tc>
          <w:tcPr>
            <w:tcW w:w="122" w:type="pct"/>
            <w:tcBorders>
              <w:top w:val="nil"/>
              <w:left w:val="nil"/>
              <w:bottom w:val="nil"/>
              <w:right w:val="nil"/>
            </w:tcBorders>
            <w:shd w:val="clear" w:color="000000" w:fill="F1F8F5"/>
            <w:noWrap/>
            <w:vAlign w:val="center"/>
            <w:hideMark/>
          </w:tcPr>
          <w:p w14:paraId="2F536659"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1</w:t>
            </w:r>
          </w:p>
        </w:tc>
        <w:tc>
          <w:tcPr>
            <w:tcW w:w="122" w:type="pct"/>
            <w:tcBorders>
              <w:top w:val="nil"/>
              <w:left w:val="nil"/>
              <w:bottom w:val="nil"/>
              <w:right w:val="nil"/>
            </w:tcBorders>
            <w:shd w:val="clear" w:color="000000" w:fill="C2E5CD"/>
            <w:noWrap/>
            <w:vAlign w:val="center"/>
            <w:hideMark/>
          </w:tcPr>
          <w:p w14:paraId="2D8A254C"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5</w:t>
            </w:r>
          </w:p>
        </w:tc>
        <w:tc>
          <w:tcPr>
            <w:tcW w:w="122" w:type="pct"/>
            <w:tcBorders>
              <w:top w:val="nil"/>
              <w:left w:val="nil"/>
              <w:bottom w:val="nil"/>
              <w:right w:val="nil"/>
            </w:tcBorders>
            <w:shd w:val="clear" w:color="000000" w:fill="D9EEE1"/>
            <w:noWrap/>
            <w:vAlign w:val="center"/>
            <w:hideMark/>
          </w:tcPr>
          <w:p w14:paraId="27C59A98"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3</w:t>
            </w:r>
          </w:p>
        </w:tc>
        <w:tc>
          <w:tcPr>
            <w:tcW w:w="122" w:type="pct"/>
            <w:tcBorders>
              <w:top w:val="nil"/>
              <w:left w:val="nil"/>
              <w:bottom w:val="nil"/>
              <w:right w:val="nil"/>
            </w:tcBorders>
            <w:shd w:val="clear" w:color="000000" w:fill="E5F3EB"/>
            <w:noWrap/>
            <w:vAlign w:val="center"/>
            <w:hideMark/>
          </w:tcPr>
          <w:p w14:paraId="62C885B8"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2</w:t>
            </w:r>
          </w:p>
        </w:tc>
        <w:tc>
          <w:tcPr>
            <w:tcW w:w="122" w:type="pct"/>
            <w:tcBorders>
              <w:top w:val="nil"/>
              <w:left w:val="nil"/>
              <w:bottom w:val="nil"/>
              <w:right w:val="nil"/>
            </w:tcBorders>
            <w:shd w:val="clear" w:color="000000" w:fill="F1F8F5"/>
            <w:noWrap/>
            <w:vAlign w:val="center"/>
            <w:hideMark/>
          </w:tcPr>
          <w:p w14:paraId="41BECF24"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1</w:t>
            </w:r>
          </w:p>
        </w:tc>
        <w:tc>
          <w:tcPr>
            <w:tcW w:w="122" w:type="pct"/>
            <w:tcBorders>
              <w:top w:val="nil"/>
              <w:left w:val="nil"/>
              <w:bottom w:val="nil"/>
              <w:right w:val="nil"/>
            </w:tcBorders>
            <w:shd w:val="clear" w:color="000000" w:fill="D9EEE1"/>
            <w:noWrap/>
            <w:vAlign w:val="center"/>
            <w:hideMark/>
          </w:tcPr>
          <w:p w14:paraId="501D761D"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3</w:t>
            </w:r>
          </w:p>
        </w:tc>
        <w:tc>
          <w:tcPr>
            <w:tcW w:w="122" w:type="pct"/>
            <w:tcBorders>
              <w:top w:val="nil"/>
              <w:left w:val="nil"/>
              <w:bottom w:val="nil"/>
              <w:right w:val="nil"/>
            </w:tcBorders>
            <w:shd w:val="clear" w:color="000000" w:fill="FCFCFF"/>
            <w:noWrap/>
            <w:vAlign w:val="center"/>
            <w:hideMark/>
          </w:tcPr>
          <w:p w14:paraId="15490ECE"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0</w:t>
            </w:r>
          </w:p>
        </w:tc>
        <w:tc>
          <w:tcPr>
            <w:tcW w:w="122" w:type="pct"/>
            <w:tcBorders>
              <w:top w:val="nil"/>
              <w:left w:val="nil"/>
              <w:bottom w:val="nil"/>
              <w:right w:val="nil"/>
            </w:tcBorders>
            <w:shd w:val="clear" w:color="000000" w:fill="C2E5CD"/>
            <w:noWrap/>
            <w:vAlign w:val="center"/>
            <w:hideMark/>
          </w:tcPr>
          <w:p w14:paraId="2EC9A744" w14:textId="77777777" w:rsidR="000C73E9" w:rsidRPr="0025106C" w:rsidRDefault="000C73E9" w:rsidP="00080E5C">
            <w:pPr>
              <w:spacing w:after="0" w:line="240" w:lineRule="auto"/>
              <w:jc w:val="center"/>
              <w:rPr>
                <w:rFonts w:ascii="Verdana" w:eastAsia="Times New Roman" w:hAnsi="Verdana" w:cs="Calibri"/>
                <w:noProof/>
                <w:color w:val="000000"/>
                <w:sz w:val="10"/>
                <w:szCs w:val="10"/>
                <w:lang w:eastAsia="en-GB"/>
              </w:rPr>
            </w:pPr>
            <w:r w:rsidRPr="0025106C">
              <w:rPr>
                <w:rFonts w:ascii="Verdana" w:eastAsia="Times New Roman" w:hAnsi="Verdana" w:cs="Calibri"/>
                <w:noProof/>
                <w:color w:val="000000"/>
                <w:sz w:val="10"/>
                <w:szCs w:val="10"/>
                <w:lang w:eastAsia="en-GB"/>
              </w:rPr>
              <w:t>5</w:t>
            </w:r>
          </w:p>
        </w:tc>
        <w:tc>
          <w:tcPr>
            <w:tcW w:w="122" w:type="pct"/>
            <w:tcBorders>
              <w:top w:val="nil"/>
              <w:left w:val="nil"/>
              <w:bottom w:val="nil"/>
              <w:right w:val="nil"/>
            </w:tcBorders>
            <w:shd w:val="clear" w:color="000000" w:fill="87CD9A"/>
            <w:noWrap/>
            <w:vAlign w:val="center"/>
            <w:hideMark/>
          </w:tcPr>
          <w:p w14:paraId="0922988C" w14:textId="77777777" w:rsidR="000C73E9" w:rsidRPr="0025106C" w:rsidRDefault="000C73E9" w:rsidP="00080E5C">
            <w:pPr>
              <w:spacing w:after="0" w:line="240" w:lineRule="auto"/>
              <w:jc w:val="center"/>
              <w:rPr>
                <w:rFonts w:ascii="Verdana" w:eastAsia="Times New Roman" w:hAnsi="Verdana" w:cs="Calibri"/>
                <w:noProof/>
                <w:color w:val="000000"/>
                <w:sz w:val="9"/>
                <w:szCs w:val="9"/>
                <w:lang w:eastAsia="en-GB"/>
              </w:rPr>
            </w:pPr>
            <w:r w:rsidRPr="0025106C">
              <w:rPr>
                <w:rFonts w:ascii="Verdana" w:eastAsia="Times New Roman" w:hAnsi="Verdana" w:cs="Calibri"/>
                <w:noProof/>
                <w:color w:val="000000"/>
                <w:sz w:val="9"/>
                <w:szCs w:val="9"/>
                <w:lang w:eastAsia="en-GB"/>
              </w:rPr>
              <w:t>10</w:t>
            </w:r>
          </w:p>
        </w:tc>
        <w:tc>
          <w:tcPr>
            <w:tcW w:w="126" w:type="pct"/>
            <w:tcBorders>
              <w:top w:val="nil"/>
              <w:left w:val="nil"/>
              <w:bottom w:val="nil"/>
              <w:right w:val="nil"/>
            </w:tcBorders>
            <w:shd w:val="clear" w:color="auto" w:fill="auto"/>
            <w:noWrap/>
            <w:vAlign w:val="bottom"/>
            <w:hideMark/>
          </w:tcPr>
          <w:p w14:paraId="0F42F938" w14:textId="77777777" w:rsidR="000C73E9" w:rsidRPr="00BD1214" w:rsidRDefault="000C73E9" w:rsidP="00080E5C">
            <w:pPr>
              <w:spacing w:after="0" w:line="240" w:lineRule="auto"/>
              <w:jc w:val="right"/>
              <w:rPr>
                <w:rFonts w:ascii="Verdana" w:eastAsia="Times New Roman" w:hAnsi="Verdana" w:cs="Calibri"/>
                <w:noProof/>
                <w:color w:val="000000"/>
                <w:sz w:val="12"/>
                <w:szCs w:val="12"/>
                <w:lang w:eastAsia="en-GB"/>
              </w:rPr>
            </w:pPr>
          </w:p>
        </w:tc>
      </w:tr>
    </w:tbl>
    <w:p w14:paraId="4AE320D8" w14:textId="77777777" w:rsidR="00237337" w:rsidRPr="00E64F00" w:rsidRDefault="000C73E9" w:rsidP="00E64F00">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Pr>
          <w:i/>
          <w:noProof/>
          <w:color w:val="7F7F7F" w:themeColor="text1" w:themeTint="80"/>
          <w:sz w:val="18"/>
          <w:szCs w:val="18"/>
        </w:rPr>
        <w:t xml:space="preserve">Elaboration by the Study </w:t>
      </w:r>
      <w:r w:rsidRPr="009C0147">
        <w:rPr>
          <w:i/>
          <w:noProof/>
          <w:color w:val="7F7F7F" w:themeColor="text1" w:themeTint="80"/>
          <w:sz w:val="18"/>
          <w:szCs w:val="18"/>
        </w:rPr>
        <w:t>to support the preparation of an impact assessment on EU policy initiatives facilitating cross-border law enforcement cooperation</w:t>
      </w:r>
      <w:r>
        <w:rPr>
          <w:i/>
          <w:noProof/>
          <w:color w:val="7F7F7F" w:themeColor="text1" w:themeTint="80"/>
          <w:sz w:val="18"/>
          <w:szCs w:val="18"/>
        </w:rPr>
        <w:t xml:space="preserve"> based on National Fact Sheets from the Manual on Law Enforcement Information Exchan</w:t>
      </w:r>
      <w:r w:rsidR="005D4136">
        <w:rPr>
          <w:i/>
          <w:noProof/>
          <w:color w:val="7F7F7F" w:themeColor="text1" w:themeTint="80"/>
          <w:sz w:val="18"/>
          <w:szCs w:val="18"/>
        </w:rPr>
        <w:t>ge</w:t>
      </w:r>
    </w:p>
    <w:p w14:paraId="066FDE61" w14:textId="77777777" w:rsidR="00237337" w:rsidRDefault="00237337" w:rsidP="00237337">
      <w:pPr>
        <w:pStyle w:val="AnnexTitle"/>
        <w:rPr>
          <w:rFonts w:ascii="Verdana" w:hAnsi="Verdana"/>
          <w:b w:val="0"/>
          <w:noProof/>
          <w:sz w:val="20"/>
        </w:rPr>
      </w:pPr>
    </w:p>
    <w:p w14:paraId="0CB2F5E6" w14:textId="77777777" w:rsidR="00141DCF" w:rsidRDefault="00141DCF">
      <w:pPr>
        <w:spacing w:after="160" w:line="259" w:lineRule="auto"/>
        <w:rPr>
          <w:noProof/>
        </w:rPr>
      </w:pPr>
      <w:r>
        <w:rPr>
          <w:noProof/>
        </w:rPr>
        <w:br w:type="page"/>
      </w:r>
    </w:p>
    <w:p w14:paraId="4890370B" w14:textId="77777777" w:rsidR="00BC02CC" w:rsidRPr="00DC22BE" w:rsidRDefault="00BC02CC" w:rsidP="00AE777C">
      <w:pPr>
        <w:pStyle w:val="AnnexHeading1"/>
        <w:rPr>
          <w:noProof/>
        </w:rPr>
      </w:pPr>
      <w:bookmarkStart w:id="210" w:name="_Toc83801057"/>
      <w:r w:rsidRPr="00DC22BE">
        <w:rPr>
          <w:noProof/>
        </w:rPr>
        <w:t xml:space="preserve">Annex </w:t>
      </w:r>
      <w:r w:rsidR="00CA5EE7">
        <w:rPr>
          <w:noProof/>
        </w:rPr>
        <w:t>6</w:t>
      </w:r>
      <w:r w:rsidRPr="00DC22BE">
        <w:rPr>
          <w:noProof/>
        </w:rPr>
        <w:t>: Questionnaire for consultations</w:t>
      </w:r>
      <w:bookmarkEnd w:id="210"/>
    </w:p>
    <w:p w14:paraId="5F9C8D91" w14:textId="77777777" w:rsidR="00545238" w:rsidRPr="00245FF0" w:rsidRDefault="00545238" w:rsidP="00237337">
      <w:pPr>
        <w:keepNext/>
        <w:spacing w:after="0" w:line="240" w:lineRule="auto"/>
        <w:jc w:val="center"/>
        <w:rPr>
          <w:rFonts w:ascii="Times New Roman" w:hAnsi="Times New Roman" w:cs="Times New Roman"/>
          <w:b/>
          <w:bCs/>
          <w:noProof/>
          <w:sz w:val="24"/>
          <w:szCs w:val="24"/>
        </w:rPr>
      </w:pPr>
      <w:r w:rsidRPr="00245FF0">
        <w:rPr>
          <w:rFonts w:ascii="Times New Roman" w:hAnsi="Times New Roman" w:cs="Times New Roman"/>
          <w:b/>
          <w:bCs/>
          <w:noProof/>
          <w:sz w:val="24"/>
          <w:szCs w:val="24"/>
        </w:rPr>
        <w:t>Survey questionnaire for Law Enforcement Authorities</w:t>
      </w:r>
    </w:p>
    <w:p w14:paraId="13EFD516" w14:textId="77777777" w:rsidR="00545238" w:rsidRDefault="00545238" w:rsidP="00080E5C">
      <w:pPr>
        <w:spacing w:before="40" w:after="40"/>
        <w:rPr>
          <w:rFonts w:ascii="Verdana" w:hAnsi="Verdana"/>
          <w:b/>
          <w:bCs/>
          <w:noProof/>
          <w:color w:val="FFFFFF" w:themeColor="background1"/>
          <w:sz w:val="16"/>
          <w:szCs w:val="16"/>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44"/>
        <w:gridCol w:w="1643"/>
        <w:gridCol w:w="1498"/>
        <w:gridCol w:w="1946"/>
        <w:gridCol w:w="2094"/>
        <w:gridCol w:w="861"/>
        <w:gridCol w:w="861"/>
        <w:gridCol w:w="861"/>
        <w:gridCol w:w="864"/>
        <w:gridCol w:w="861"/>
        <w:gridCol w:w="861"/>
        <w:gridCol w:w="861"/>
        <w:gridCol w:w="831"/>
      </w:tblGrid>
      <w:tr w:rsidR="00545238" w:rsidRPr="001D5EAD" w14:paraId="7233ACFB" w14:textId="77777777" w:rsidTr="00237337">
        <w:trPr>
          <w:cantSplit/>
          <w:trHeight w:val="2404"/>
          <w:tblHeader/>
        </w:trPr>
        <w:tc>
          <w:tcPr>
            <w:tcW w:w="252" w:type="pct"/>
            <w:shd w:val="clear" w:color="auto" w:fill="00AEF0"/>
            <w:vAlign w:val="center"/>
            <w:hideMark/>
          </w:tcPr>
          <w:p w14:paraId="72CE658F" w14:textId="77777777" w:rsidR="00545238" w:rsidRPr="001D5EAD" w:rsidRDefault="00545238" w:rsidP="00080E5C">
            <w:pPr>
              <w:spacing w:before="40" w:after="40"/>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N</w:t>
            </w:r>
          </w:p>
        </w:tc>
        <w:tc>
          <w:tcPr>
            <w:tcW w:w="556" w:type="pct"/>
            <w:shd w:val="clear" w:color="auto" w:fill="00AEF0"/>
            <w:vAlign w:val="center"/>
            <w:hideMark/>
          </w:tcPr>
          <w:p w14:paraId="731B2478" w14:textId="77777777" w:rsidR="00545238" w:rsidRPr="001D5EAD" w:rsidRDefault="00545238" w:rsidP="00080E5C">
            <w:pPr>
              <w:spacing w:before="40" w:after="40"/>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Section</w:t>
            </w:r>
          </w:p>
        </w:tc>
        <w:tc>
          <w:tcPr>
            <w:tcW w:w="507" w:type="pct"/>
            <w:shd w:val="clear" w:color="auto" w:fill="00AEF0"/>
            <w:vAlign w:val="center"/>
            <w:hideMark/>
          </w:tcPr>
          <w:p w14:paraId="735303CE" w14:textId="77777777" w:rsidR="00545238" w:rsidRPr="001D5EAD" w:rsidRDefault="00545238" w:rsidP="00080E5C">
            <w:pPr>
              <w:spacing w:before="40" w:after="40"/>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Sub-section</w:t>
            </w:r>
          </w:p>
        </w:tc>
        <w:tc>
          <w:tcPr>
            <w:tcW w:w="658" w:type="pct"/>
            <w:shd w:val="clear" w:color="auto" w:fill="00AEF0"/>
            <w:noWrap/>
            <w:vAlign w:val="center"/>
            <w:hideMark/>
          </w:tcPr>
          <w:p w14:paraId="52C5EB8C" w14:textId="77777777" w:rsidR="00545238" w:rsidRPr="001D5EAD" w:rsidRDefault="00545238" w:rsidP="00080E5C">
            <w:pPr>
              <w:spacing w:before="40" w:after="40"/>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Question</w:t>
            </w:r>
          </w:p>
        </w:tc>
        <w:tc>
          <w:tcPr>
            <w:tcW w:w="708" w:type="pct"/>
            <w:shd w:val="clear" w:color="auto" w:fill="00AEF0"/>
            <w:noWrap/>
            <w:vAlign w:val="center"/>
            <w:hideMark/>
          </w:tcPr>
          <w:p w14:paraId="0DEA417D" w14:textId="77777777" w:rsidR="00545238" w:rsidRPr="001D5EAD" w:rsidRDefault="00545238" w:rsidP="00080E5C">
            <w:pPr>
              <w:spacing w:before="40" w:after="40"/>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Response options</w:t>
            </w:r>
          </w:p>
        </w:tc>
        <w:tc>
          <w:tcPr>
            <w:tcW w:w="291" w:type="pct"/>
            <w:shd w:val="clear" w:color="auto" w:fill="00AEF0"/>
            <w:noWrap/>
            <w:textDirection w:val="btLr"/>
            <w:vAlign w:val="center"/>
            <w:hideMark/>
          </w:tcPr>
          <w:p w14:paraId="6EDF13E7" w14:textId="77777777" w:rsidR="00545238" w:rsidRPr="001D5EAD" w:rsidRDefault="00545238" w:rsidP="00080E5C">
            <w:pPr>
              <w:spacing w:before="40" w:after="40"/>
              <w:ind w:left="113" w:right="113"/>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SPOCs</w:t>
            </w:r>
          </w:p>
        </w:tc>
        <w:tc>
          <w:tcPr>
            <w:tcW w:w="291" w:type="pct"/>
            <w:shd w:val="clear" w:color="auto" w:fill="00AEF0"/>
            <w:textDirection w:val="btLr"/>
            <w:vAlign w:val="center"/>
            <w:hideMark/>
          </w:tcPr>
          <w:p w14:paraId="7F0B674C" w14:textId="77777777" w:rsidR="00545238" w:rsidRPr="001D5EAD" w:rsidRDefault="00545238" w:rsidP="00080E5C">
            <w:pPr>
              <w:spacing w:before="40" w:after="40"/>
              <w:ind w:left="113" w:right="113"/>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PCCCs</w:t>
            </w:r>
          </w:p>
        </w:tc>
        <w:tc>
          <w:tcPr>
            <w:tcW w:w="291" w:type="pct"/>
            <w:shd w:val="clear" w:color="auto" w:fill="00AEF0"/>
            <w:textDirection w:val="btLr"/>
            <w:vAlign w:val="center"/>
            <w:hideMark/>
          </w:tcPr>
          <w:p w14:paraId="7386BB7A" w14:textId="77777777" w:rsidR="00545238" w:rsidRPr="001D5EAD" w:rsidRDefault="00545238" w:rsidP="00080E5C">
            <w:pPr>
              <w:spacing w:before="40" w:after="40"/>
              <w:ind w:left="113" w:right="113"/>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Specialised investigation units</w:t>
            </w:r>
          </w:p>
        </w:tc>
        <w:tc>
          <w:tcPr>
            <w:tcW w:w="292" w:type="pct"/>
            <w:shd w:val="clear" w:color="auto" w:fill="00AEF0"/>
            <w:textDirection w:val="btLr"/>
            <w:vAlign w:val="center"/>
            <w:hideMark/>
          </w:tcPr>
          <w:p w14:paraId="12D334AE" w14:textId="77777777" w:rsidR="00545238" w:rsidRPr="001D5EAD" w:rsidRDefault="00545238" w:rsidP="00080E5C">
            <w:pPr>
              <w:spacing w:before="40" w:after="40"/>
              <w:ind w:left="113" w:right="113"/>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Specialised analytical departments</w:t>
            </w:r>
          </w:p>
        </w:tc>
        <w:tc>
          <w:tcPr>
            <w:tcW w:w="291" w:type="pct"/>
            <w:shd w:val="clear" w:color="auto" w:fill="00AEF0"/>
            <w:textDirection w:val="btLr"/>
            <w:vAlign w:val="center"/>
            <w:hideMark/>
          </w:tcPr>
          <w:p w14:paraId="4B98A657" w14:textId="77777777" w:rsidR="00545238" w:rsidRPr="001D5EAD" w:rsidRDefault="00545238" w:rsidP="00080E5C">
            <w:pPr>
              <w:spacing w:before="40" w:after="40"/>
              <w:ind w:left="113" w:right="113"/>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Public safety/ order specialists and Football Points of contact</w:t>
            </w:r>
          </w:p>
        </w:tc>
        <w:tc>
          <w:tcPr>
            <w:tcW w:w="291" w:type="pct"/>
            <w:shd w:val="clear" w:color="auto" w:fill="00AEF0"/>
            <w:textDirection w:val="btLr"/>
            <w:vAlign w:val="center"/>
            <w:hideMark/>
          </w:tcPr>
          <w:p w14:paraId="3A323B1C" w14:textId="77777777" w:rsidR="00545238" w:rsidRPr="001D5EAD" w:rsidRDefault="00545238" w:rsidP="00080E5C">
            <w:pPr>
              <w:spacing w:before="40" w:after="40"/>
              <w:ind w:left="113" w:right="113"/>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Customs</w:t>
            </w:r>
          </w:p>
        </w:tc>
        <w:tc>
          <w:tcPr>
            <w:tcW w:w="291" w:type="pct"/>
            <w:shd w:val="clear" w:color="auto" w:fill="00AEF0"/>
            <w:textDirection w:val="btLr"/>
            <w:vAlign w:val="center"/>
            <w:hideMark/>
          </w:tcPr>
          <w:p w14:paraId="34128367" w14:textId="77777777" w:rsidR="00545238" w:rsidRPr="001D5EAD" w:rsidRDefault="00545238" w:rsidP="00080E5C">
            <w:pPr>
              <w:spacing w:before="40" w:after="40"/>
              <w:ind w:left="113" w:right="113"/>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Other National LEAs</w:t>
            </w:r>
          </w:p>
        </w:tc>
        <w:tc>
          <w:tcPr>
            <w:tcW w:w="281" w:type="pct"/>
            <w:shd w:val="clear" w:color="auto" w:fill="00AEF0"/>
            <w:textDirection w:val="btLr"/>
            <w:vAlign w:val="center"/>
            <w:hideMark/>
          </w:tcPr>
          <w:p w14:paraId="4547E547" w14:textId="77777777" w:rsidR="00545238" w:rsidRPr="001D5EAD" w:rsidRDefault="00545238" w:rsidP="00080E5C">
            <w:pPr>
              <w:spacing w:before="40" w:after="40"/>
              <w:ind w:left="113" w:right="113"/>
              <w:rPr>
                <w:rFonts w:ascii="Verdana" w:hAnsi="Verdana"/>
                <w:b/>
                <w:bCs/>
                <w:noProof/>
                <w:color w:val="FFFFFF" w:themeColor="background1"/>
                <w:sz w:val="16"/>
                <w:szCs w:val="16"/>
              </w:rPr>
            </w:pPr>
            <w:r w:rsidRPr="001D5EAD">
              <w:rPr>
                <w:rFonts w:ascii="Verdana" w:hAnsi="Verdana"/>
                <w:b/>
                <w:bCs/>
                <w:noProof/>
                <w:color w:val="FFFFFF" w:themeColor="background1"/>
                <w:sz w:val="16"/>
                <w:szCs w:val="16"/>
              </w:rPr>
              <w:t>NEC</w:t>
            </w:r>
          </w:p>
        </w:tc>
      </w:tr>
      <w:tr w:rsidR="00545238" w:rsidRPr="001D5EAD" w14:paraId="66CB9E1B" w14:textId="77777777" w:rsidTr="00237337">
        <w:trPr>
          <w:trHeight w:val="20"/>
        </w:trPr>
        <w:tc>
          <w:tcPr>
            <w:tcW w:w="252" w:type="pct"/>
            <w:shd w:val="clear" w:color="auto" w:fill="F2F2F2"/>
            <w:vAlign w:val="center"/>
            <w:hideMark/>
          </w:tcPr>
          <w:p w14:paraId="4380115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w:t>
            </w:r>
          </w:p>
        </w:tc>
        <w:tc>
          <w:tcPr>
            <w:tcW w:w="556" w:type="pct"/>
            <w:shd w:val="clear" w:color="auto" w:fill="F2F2F2"/>
            <w:vAlign w:val="center"/>
            <w:hideMark/>
          </w:tcPr>
          <w:p w14:paraId="23272A7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PERSONAL INFORMATION</w:t>
            </w:r>
          </w:p>
        </w:tc>
        <w:tc>
          <w:tcPr>
            <w:tcW w:w="507" w:type="pct"/>
            <w:shd w:val="clear" w:color="auto" w:fill="F2F2F2"/>
            <w:vAlign w:val="center"/>
            <w:hideMark/>
          </w:tcPr>
          <w:p w14:paraId="3095504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658" w:type="pct"/>
            <w:shd w:val="clear" w:color="auto" w:fill="F2F2F2"/>
            <w:vAlign w:val="center"/>
            <w:hideMark/>
          </w:tcPr>
          <w:p w14:paraId="6B368CD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Your first name*</w:t>
            </w:r>
          </w:p>
        </w:tc>
        <w:tc>
          <w:tcPr>
            <w:tcW w:w="708" w:type="pct"/>
            <w:shd w:val="clear" w:color="auto" w:fill="F2F2F2"/>
            <w:vAlign w:val="center"/>
            <w:hideMark/>
          </w:tcPr>
          <w:p w14:paraId="26C5D90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0F2432A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AB8A26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83A88C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89D376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262EB0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7DEE3A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CD13AE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1CDFF6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803D5E5" w14:textId="77777777" w:rsidTr="00237337">
        <w:trPr>
          <w:trHeight w:val="20"/>
        </w:trPr>
        <w:tc>
          <w:tcPr>
            <w:tcW w:w="252" w:type="pct"/>
            <w:shd w:val="clear" w:color="auto" w:fill="F2F2F2"/>
            <w:vAlign w:val="center"/>
            <w:hideMark/>
          </w:tcPr>
          <w:p w14:paraId="2C7D588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w:t>
            </w:r>
          </w:p>
        </w:tc>
        <w:tc>
          <w:tcPr>
            <w:tcW w:w="556" w:type="pct"/>
            <w:shd w:val="clear" w:color="auto" w:fill="F2F2F2"/>
            <w:vAlign w:val="center"/>
            <w:hideMark/>
          </w:tcPr>
          <w:p w14:paraId="5FBA5AB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PERSONAL INFORMATION</w:t>
            </w:r>
          </w:p>
        </w:tc>
        <w:tc>
          <w:tcPr>
            <w:tcW w:w="507" w:type="pct"/>
            <w:shd w:val="clear" w:color="auto" w:fill="F2F2F2"/>
            <w:vAlign w:val="center"/>
            <w:hideMark/>
          </w:tcPr>
          <w:p w14:paraId="0B37A56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658" w:type="pct"/>
            <w:shd w:val="clear" w:color="auto" w:fill="F2F2F2"/>
            <w:vAlign w:val="center"/>
            <w:hideMark/>
          </w:tcPr>
          <w:p w14:paraId="70D148B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Your last name*</w:t>
            </w:r>
          </w:p>
        </w:tc>
        <w:tc>
          <w:tcPr>
            <w:tcW w:w="708" w:type="pct"/>
            <w:shd w:val="clear" w:color="auto" w:fill="F2F2F2"/>
            <w:vAlign w:val="center"/>
            <w:hideMark/>
          </w:tcPr>
          <w:p w14:paraId="27DF8EB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4671D9A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8B845E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05E34A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9181D4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D270DD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E4BF3E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2D8171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6F9CB9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C17C87A" w14:textId="77777777" w:rsidTr="00237337">
        <w:trPr>
          <w:trHeight w:val="20"/>
        </w:trPr>
        <w:tc>
          <w:tcPr>
            <w:tcW w:w="252" w:type="pct"/>
            <w:shd w:val="clear" w:color="auto" w:fill="F2F2F2"/>
            <w:vAlign w:val="center"/>
            <w:hideMark/>
          </w:tcPr>
          <w:p w14:paraId="3631769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w:t>
            </w:r>
          </w:p>
        </w:tc>
        <w:tc>
          <w:tcPr>
            <w:tcW w:w="556" w:type="pct"/>
            <w:shd w:val="clear" w:color="auto" w:fill="F2F2F2"/>
            <w:vAlign w:val="center"/>
            <w:hideMark/>
          </w:tcPr>
          <w:p w14:paraId="229FC59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PERSONAL INFORMATION</w:t>
            </w:r>
          </w:p>
        </w:tc>
        <w:tc>
          <w:tcPr>
            <w:tcW w:w="507" w:type="pct"/>
            <w:shd w:val="clear" w:color="auto" w:fill="F2F2F2"/>
            <w:vAlign w:val="center"/>
            <w:hideMark/>
          </w:tcPr>
          <w:p w14:paraId="666B1A6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658" w:type="pct"/>
            <w:shd w:val="clear" w:color="auto" w:fill="F2F2F2"/>
            <w:vAlign w:val="center"/>
            <w:hideMark/>
          </w:tcPr>
          <w:p w14:paraId="35E19DC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Name of the organisation you belong to*</w:t>
            </w:r>
          </w:p>
        </w:tc>
        <w:tc>
          <w:tcPr>
            <w:tcW w:w="708" w:type="pct"/>
            <w:shd w:val="clear" w:color="auto" w:fill="F2F2F2"/>
            <w:vAlign w:val="center"/>
            <w:hideMark/>
          </w:tcPr>
          <w:p w14:paraId="2B6E3DB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3F41B92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76988D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6B3F20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059DB4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23E049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043E25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74FCFC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BE2851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22955E5" w14:textId="77777777" w:rsidTr="00237337">
        <w:trPr>
          <w:trHeight w:val="20"/>
        </w:trPr>
        <w:tc>
          <w:tcPr>
            <w:tcW w:w="252" w:type="pct"/>
            <w:shd w:val="clear" w:color="auto" w:fill="F2F2F2"/>
            <w:vAlign w:val="center"/>
            <w:hideMark/>
          </w:tcPr>
          <w:p w14:paraId="0772A7F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w:t>
            </w:r>
          </w:p>
        </w:tc>
        <w:tc>
          <w:tcPr>
            <w:tcW w:w="556" w:type="pct"/>
            <w:shd w:val="clear" w:color="auto" w:fill="F2F2F2"/>
            <w:vAlign w:val="center"/>
            <w:hideMark/>
          </w:tcPr>
          <w:p w14:paraId="54A3938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PERSONAL INFORMATION</w:t>
            </w:r>
          </w:p>
        </w:tc>
        <w:tc>
          <w:tcPr>
            <w:tcW w:w="507" w:type="pct"/>
            <w:shd w:val="clear" w:color="auto" w:fill="F2F2F2"/>
            <w:vAlign w:val="center"/>
            <w:hideMark/>
          </w:tcPr>
          <w:p w14:paraId="225FEDE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658" w:type="pct"/>
            <w:shd w:val="clear" w:color="auto" w:fill="F2F2F2"/>
            <w:vAlign w:val="center"/>
            <w:hideMark/>
          </w:tcPr>
          <w:p w14:paraId="553759F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Your role*</w:t>
            </w:r>
          </w:p>
        </w:tc>
        <w:tc>
          <w:tcPr>
            <w:tcW w:w="708" w:type="pct"/>
            <w:shd w:val="clear" w:color="auto" w:fill="F2F2F2"/>
            <w:vAlign w:val="center"/>
            <w:hideMark/>
          </w:tcPr>
          <w:p w14:paraId="478238E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69CE0B9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20A0CFD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45164D5"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51962C6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93229E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47E95D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747AD9A"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43DBCBE1" w14:textId="77777777" w:rsidR="00545238" w:rsidRPr="001D5EAD" w:rsidRDefault="00545238" w:rsidP="00080E5C">
            <w:pPr>
              <w:spacing w:before="40" w:after="40"/>
              <w:jc w:val="center"/>
              <w:rPr>
                <w:rFonts w:ascii="Verdana" w:hAnsi="Verdana"/>
                <w:noProof/>
                <w:sz w:val="16"/>
                <w:szCs w:val="16"/>
              </w:rPr>
            </w:pPr>
          </w:p>
        </w:tc>
      </w:tr>
      <w:tr w:rsidR="00545238" w:rsidRPr="001D5EAD" w14:paraId="4F0467BD" w14:textId="77777777" w:rsidTr="00237337">
        <w:trPr>
          <w:trHeight w:val="20"/>
        </w:trPr>
        <w:tc>
          <w:tcPr>
            <w:tcW w:w="252" w:type="pct"/>
            <w:shd w:val="clear" w:color="auto" w:fill="F2F2F2"/>
            <w:vAlign w:val="center"/>
            <w:hideMark/>
          </w:tcPr>
          <w:p w14:paraId="66D1264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w:t>
            </w:r>
          </w:p>
        </w:tc>
        <w:tc>
          <w:tcPr>
            <w:tcW w:w="556" w:type="pct"/>
            <w:shd w:val="clear" w:color="auto" w:fill="F2F2F2"/>
            <w:vAlign w:val="center"/>
            <w:hideMark/>
          </w:tcPr>
          <w:p w14:paraId="00B5735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PERSONAL INFORMATION</w:t>
            </w:r>
          </w:p>
        </w:tc>
        <w:tc>
          <w:tcPr>
            <w:tcW w:w="507" w:type="pct"/>
            <w:shd w:val="clear" w:color="auto" w:fill="F2F2F2"/>
            <w:vAlign w:val="center"/>
            <w:hideMark/>
          </w:tcPr>
          <w:p w14:paraId="4C15ACE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658" w:type="pct"/>
            <w:shd w:val="clear" w:color="auto" w:fill="F2F2F2"/>
            <w:vAlign w:val="center"/>
            <w:hideMark/>
          </w:tcPr>
          <w:p w14:paraId="76965EB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Your email address*</w:t>
            </w:r>
          </w:p>
        </w:tc>
        <w:tc>
          <w:tcPr>
            <w:tcW w:w="708" w:type="pct"/>
            <w:shd w:val="clear" w:color="auto" w:fill="F2F2F2"/>
            <w:vAlign w:val="center"/>
            <w:hideMark/>
          </w:tcPr>
          <w:p w14:paraId="01BCD7D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44B13E0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EA5741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C63E6F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FA012D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B002AD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0780E1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8C2353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6D7F7DA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6A247E8" w14:textId="77777777" w:rsidTr="00237337">
        <w:trPr>
          <w:trHeight w:val="20"/>
        </w:trPr>
        <w:tc>
          <w:tcPr>
            <w:tcW w:w="252" w:type="pct"/>
            <w:shd w:val="clear" w:color="auto" w:fill="F2F2F2"/>
            <w:vAlign w:val="center"/>
            <w:hideMark/>
          </w:tcPr>
          <w:p w14:paraId="770CADD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w:t>
            </w:r>
          </w:p>
        </w:tc>
        <w:tc>
          <w:tcPr>
            <w:tcW w:w="556" w:type="pct"/>
            <w:shd w:val="clear" w:color="auto" w:fill="F2F2F2"/>
            <w:vAlign w:val="center"/>
            <w:hideMark/>
          </w:tcPr>
          <w:p w14:paraId="3C7574A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PERSONAL INFORMATION</w:t>
            </w:r>
          </w:p>
        </w:tc>
        <w:tc>
          <w:tcPr>
            <w:tcW w:w="507" w:type="pct"/>
            <w:shd w:val="clear" w:color="auto" w:fill="F2F2F2"/>
            <w:vAlign w:val="center"/>
            <w:hideMark/>
          </w:tcPr>
          <w:p w14:paraId="010843C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658" w:type="pct"/>
            <w:shd w:val="clear" w:color="auto" w:fill="F2F2F2"/>
            <w:vAlign w:val="center"/>
            <w:hideMark/>
          </w:tcPr>
          <w:p w14:paraId="351D8D8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Your country*</w:t>
            </w:r>
          </w:p>
        </w:tc>
        <w:tc>
          <w:tcPr>
            <w:tcW w:w="708" w:type="pct"/>
            <w:shd w:val="clear" w:color="auto" w:fill="F2F2F2"/>
            <w:vAlign w:val="center"/>
            <w:hideMark/>
          </w:tcPr>
          <w:p w14:paraId="49CB322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Drop down list of 27 + Schengen</w:t>
            </w:r>
          </w:p>
        </w:tc>
        <w:tc>
          <w:tcPr>
            <w:tcW w:w="291" w:type="pct"/>
            <w:shd w:val="clear" w:color="auto" w:fill="F2F2F2"/>
            <w:noWrap/>
            <w:vAlign w:val="center"/>
            <w:hideMark/>
          </w:tcPr>
          <w:p w14:paraId="1350242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486BDE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02F744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78C6DD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15F4EE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0623CB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3BF578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E8D87E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969DC34" w14:textId="77777777" w:rsidTr="00237337">
        <w:trPr>
          <w:trHeight w:val="20"/>
        </w:trPr>
        <w:tc>
          <w:tcPr>
            <w:tcW w:w="252" w:type="pct"/>
            <w:shd w:val="clear" w:color="auto" w:fill="F2F2F2"/>
            <w:vAlign w:val="center"/>
            <w:hideMark/>
          </w:tcPr>
          <w:p w14:paraId="7AAD7D9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w:t>
            </w:r>
          </w:p>
        </w:tc>
        <w:tc>
          <w:tcPr>
            <w:tcW w:w="556" w:type="pct"/>
            <w:shd w:val="clear" w:color="auto" w:fill="F2F2F2"/>
            <w:vAlign w:val="center"/>
            <w:hideMark/>
          </w:tcPr>
          <w:p w14:paraId="6CB758A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50CFE57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SOC</w:t>
            </w:r>
          </w:p>
        </w:tc>
        <w:tc>
          <w:tcPr>
            <w:tcW w:w="658" w:type="pct"/>
            <w:shd w:val="clear" w:color="auto" w:fill="F2F2F2"/>
            <w:vAlign w:val="center"/>
            <w:hideMark/>
          </w:tcPr>
          <w:p w14:paraId="52A1E88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has the number of crimes evolved in the past 5-10 years in the following areas in your country?*</w:t>
            </w:r>
          </w:p>
        </w:tc>
        <w:tc>
          <w:tcPr>
            <w:tcW w:w="708" w:type="pct"/>
            <w:shd w:val="clear" w:color="auto" w:fill="F2F2F2"/>
            <w:vAlign w:val="center"/>
            <w:hideMark/>
          </w:tcPr>
          <w:p w14:paraId="28618F8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*Drugs </w:t>
            </w:r>
            <w:r w:rsidRPr="001D5EAD">
              <w:rPr>
                <w:rFonts w:ascii="Verdana" w:hAnsi="Verdana"/>
                <w:noProof/>
                <w:sz w:val="16"/>
                <w:szCs w:val="16"/>
              </w:rPr>
              <w:br/>
              <w:t>*Illicit tobacco trade</w:t>
            </w:r>
            <w:r w:rsidRPr="001D5EAD">
              <w:rPr>
                <w:rFonts w:ascii="Verdana" w:hAnsi="Verdana"/>
                <w:noProof/>
                <w:sz w:val="16"/>
                <w:szCs w:val="16"/>
              </w:rPr>
              <w:br/>
              <w:t>*Trafficking in human beings</w:t>
            </w:r>
            <w:r w:rsidRPr="001D5EAD">
              <w:rPr>
                <w:rFonts w:ascii="Verdana" w:hAnsi="Verdana"/>
                <w:noProof/>
                <w:sz w:val="16"/>
                <w:szCs w:val="16"/>
              </w:rPr>
              <w:br/>
              <w:t>*Financial crimes</w:t>
            </w:r>
            <w:r w:rsidRPr="001D5EAD">
              <w:rPr>
                <w:rFonts w:ascii="Verdana" w:hAnsi="Verdana"/>
                <w:noProof/>
                <w:sz w:val="16"/>
                <w:szCs w:val="16"/>
              </w:rPr>
              <w:br/>
              <w:t>*Cybercrime</w:t>
            </w:r>
            <w:r w:rsidRPr="001D5EAD">
              <w:rPr>
                <w:rFonts w:ascii="Verdana" w:hAnsi="Verdana"/>
                <w:noProof/>
                <w:sz w:val="16"/>
                <w:szCs w:val="16"/>
              </w:rPr>
              <w:br/>
              <w:t>*Organised property crime</w:t>
            </w:r>
            <w:r w:rsidRPr="001D5EAD">
              <w:rPr>
                <w:rFonts w:ascii="Verdana" w:hAnsi="Verdana"/>
                <w:noProof/>
                <w:sz w:val="16"/>
                <w:szCs w:val="16"/>
              </w:rPr>
              <w:br/>
              <w:t>*Environmental crime</w:t>
            </w:r>
            <w:r w:rsidRPr="001D5EAD">
              <w:rPr>
                <w:rFonts w:ascii="Verdana" w:hAnsi="Verdana"/>
                <w:noProof/>
                <w:sz w:val="16"/>
                <w:szCs w:val="16"/>
              </w:rPr>
              <w:br/>
              <w:t>*Trafficking of firearms</w:t>
            </w:r>
            <w:r w:rsidRPr="001D5EAD">
              <w:rPr>
                <w:rFonts w:ascii="Verdana" w:hAnsi="Verdana"/>
                <w:noProof/>
                <w:sz w:val="16"/>
                <w:szCs w:val="16"/>
              </w:rPr>
              <w:br/>
              <w:t>*Illegal immigration</w:t>
            </w:r>
            <w:r w:rsidRPr="001D5EAD">
              <w:rPr>
                <w:rFonts w:ascii="Verdana" w:hAnsi="Verdana"/>
                <w:noProof/>
                <w:sz w:val="16"/>
                <w:szCs w:val="16"/>
              </w:rPr>
              <w:br/>
              <w:t>*Terrorism</w:t>
            </w:r>
            <w:r w:rsidRPr="001D5EAD">
              <w:rPr>
                <w:rFonts w:ascii="Verdana" w:hAnsi="Verdana"/>
                <w:noProof/>
                <w:sz w:val="16"/>
                <w:szCs w:val="16"/>
              </w:rPr>
              <w:br/>
              <w:t>*Other (please specify)</w:t>
            </w:r>
          </w:p>
        </w:tc>
        <w:tc>
          <w:tcPr>
            <w:tcW w:w="291" w:type="pct"/>
            <w:shd w:val="clear" w:color="auto" w:fill="F2F2F2"/>
            <w:noWrap/>
            <w:vAlign w:val="center"/>
            <w:hideMark/>
          </w:tcPr>
          <w:p w14:paraId="41CB1E4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8548E0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ED8E03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11F1AC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1538BAD"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D22530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8D7EB9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E75D49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E28AF04" w14:textId="77777777" w:rsidTr="00237337">
        <w:trPr>
          <w:trHeight w:val="20"/>
        </w:trPr>
        <w:tc>
          <w:tcPr>
            <w:tcW w:w="252" w:type="pct"/>
            <w:shd w:val="clear" w:color="auto" w:fill="F2F2F2"/>
            <w:vAlign w:val="center"/>
            <w:hideMark/>
          </w:tcPr>
          <w:p w14:paraId="4D31A2F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w:t>
            </w:r>
          </w:p>
        </w:tc>
        <w:tc>
          <w:tcPr>
            <w:tcW w:w="556" w:type="pct"/>
            <w:shd w:val="clear" w:color="auto" w:fill="F2F2F2"/>
            <w:vAlign w:val="center"/>
            <w:hideMark/>
          </w:tcPr>
          <w:p w14:paraId="0444A82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58F4C22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SOC</w:t>
            </w:r>
          </w:p>
        </w:tc>
        <w:tc>
          <w:tcPr>
            <w:tcW w:w="658" w:type="pct"/>
            <w:shd w:val="clear" w:color="auto" w:fill="F2F2F2"/>
            <w:vAlign w:val="center"/>
            <w:hideMark/>
          </w:tcPr>
          <w:p w14:paraId="40C8488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Can you please provide some figures related to crimes occurred over the past 5-10 years or indicate where we could find them?</w:t>
            </w:r>
          </w:p>
        </w:tc>
        <w:tc>
          <w:tcPr>
            <w:tcW w:w="708" w:type="pct"/>
            <w:shd w:val="clear" w:color="auto" w:fill="F2F2F2"/>
            <w:vAlign w:val="center"/>
            <w:hideMark/>
          </w:tcPr>
          <w:p w14:paraId="5E93230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4DB3C86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51B800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B0BE61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285B2E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E2D1F8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41EA50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6ADDF7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7630E4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9A597C8" w14:textId="77777777" w:rsidTr="00237337">
        <w:trPr>
          <w:trHeight w:val="20"/>
        </w:trPr>
        <w:tc>
          <w:tcPr>
            <w:tcW w:w="252" w:type="pct"/>
            <w:shd w:val="clear" w:color="auto" w:fill="F2F2F2"/>
            <w:vAlign w:val="center"/>
            <w:hideMark/>
          </w:tcPr>
          <w:p w14:paraId="49CED66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w:t>
            </w:r>
          </w:p>
        </w:tc>
        <w:tc>
          <w:tcPr>
            <w:tcW w:w="556" w:type="pct"/>
            <w:shd w:val="clear" w:color="auto" w:fill="F2F2F2"/>
            <w:vAlign w:val="center"/>
            <w:hideMark/>
          </w:tcPr>
          <w:p w14:paraId="1F046F8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08388CA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SOC</w:t>
            </w:r>
          </w:p>
        </w:tc>
        <w:tc>
          <w:tcPr>
            <w:tcW w:w="658" w:type="pct"/>
            <w:shd w:val="clear" w:color="auto" w:fill="F2F2F2"/>
            <w:vAlign w:val="center"/>
            <w:hideMark/>
          </w:tcPr>
          <w:p w14:paraId="7C77C17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 your view, to what extent do the following crime areas have a cross border dimension (i.e. require the EU-wide cooperation of law enforcement authorities to be properly addressed)?*</w:t>
            </w:r>
          </w:p>
        </w:tc>
        <w:tc>
          <w:tcPr>
            <w:tcW w:w="708" w:type="pct"/>
            <w:shd w:val="clear" w:color="auto" w:fill="F2F2F2"/>
            <w:vAlign w:val="center"/>
            <w:hideMark/>
          </w:tcPr>
          <w:p w14:paraId="19470A2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*Drugs </w:t>
            </w:r>
            <w:r w:rsidRPr="001D5EAD">
              <w:rPr>
                <w:rFonts w:ascii="Verdana" w:hAnsi="Verdana"/>
                <w:noProof/>
                <w:sz w:val="16"/>
                <w:szCs w:val="16"/>
              </w:rPr>
              <w:br/>
              <w:t>*Illicit tobacco trade</w:t>
            </w:r>
            <w:r w:rsidRPr="001D5EAD">
              <w:rPr>
                <w:rFonts w:ascii="Verdana" w:hAnsi="Verdana"/>
                <w:noProof/>
                <w:sz w:val="16"/>
                <w:szCs w:val="16"/>
              </w:rPr>
              <w:br/>
              <w:t>*Trafficking in human beings</w:t>
            </w:r>
            <w:r w:rsidRPr="001D5EAD">
              <w:rPr>
                <w:rFonts w:ascii="Verdana" w:hAnsi="Verdana"/>
                <w:noProof/>
                <w:sz w:val="16"/>
                <w:szCs w:val="16"/>
              </w:rPr>
              <w:br/>
              <w:t>*Financial crimes</w:t>
            </w:r>
            <w:r w:rsidRPr="001D5EAD">
              <w:rPr>
                <w:rFonts w:ascii="Verdana" w:hAnsi="Verdana"/>
                <w:noProof/>
                <w:sz w:val="16"/>
                <w:szCs w:val="16"/>
              </w:rPr>
              <w:br/>
              <w:t>*Cybercrime</w:t>
            </w:r>
            <w:r w:rsidRPr="001D5EAD">
              <w:rPr>
                <w:rFonts w:ascii="Verdana" w:hAnsi="Verdana"/>
                <w:noProof/>
                <w:sz w:val="16"/>
                <w:szCs w:val="16"/>
              </w:rPr>
              <w:br/>
              <w:t>*Organised property crime</w:t>
            </w:r>
            <w:r w:rsidRPr="001D5EAD">
              <w:rPr>
                <w:rFonts w:ascii="Verdana" w:hAnsi="Verdana"/>
                <w:noProof/>
                <w:sz w:val="16"/>
                <w:szCs w:val="16"/>
              </w:rPr>
              <w:br/>
              <w:t>*Environmental crime</w:t>
            </w:r>
            <w:r w:rsidRPr="001D5EAD">
              <w:rPr>
                <w:rFonts w:ascii="Verdana" w:hAnsi="Verdana"/>
                <w:noProof/>
                <w:sz w:val="16"/>
                <w:szCs w:val="16"/>
              </w:rPr>
              <w:br/>
              <w:t>*Trafficking of firearms</w:t>
            </w:r>
            <w:r w:rsidRPr="001D5EAD">
              <w:rPr>
                <w:rFonts w:ascii="Verdana" w:hAnsi="Verdana"/>
                <w:noProof/>
                <w:sz w:val="16"/>
                <w:szCs w:val="16"/>
              </w:rPr>
              <w:br/>
              <w:t>*Illegal immigration</w:t>
            </w:r>
            <w:r w:rsidRPr="001D5EAD">
              <w:rPr>
                <w:rFonts w:ascii="Verdana" w:hAnsi="Verdana"/>
                <w:noProof/>
                <w:sz w:val="16"/>
                <w:szCs w:val="16"/>
              </w:rPr>
              <w:br/>
              <w:t>*Terrorism</w:t>
            </w:r>
          </w:p>
        </w:tc>
        <w:tc>
          <w:tcPr>
            <w:tcW w:w="291" w:type="pct"/>
            <w:shd w:val="clear" w:color="auto" w:fill="F2F2F2"/>
            <w:noWrap/>
            <w:vAlign w:val="center"/>
            <w:hideMark/>
          </w:tcPr>
          <w:p w14:paraId="555CDB3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652F2D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73C34B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BBE68C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2C68B8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5E2E5C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C94C35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216396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FCFB73E" w14:textId="77777777" w:rsidTr="00237337">
        <w:trPr>
          <w:trHeight w:val="20"/>
        </w:trPr>
        <w:tc>
          <w:tcPr>
            <w:tcW w:w="252" w:type="pct"/>
            <w:shd w:val="clear" w:color="auto" w:fill="F2F2F2"/>
            <w:vAlign w:val="center"/>
            <w:hideMark/>
          </w:tcPr>
          <w:p w14:paraId="10BCD2AA" w14:textId="77777777" w:rsidR="00545238" w:rsidRPr="009B7807" w:rsidRDefault="00545238" w:rsidP="00080E5C">
            <w:pPr>
              <w:spacing w:before="40" w:after="40"/>
              <w:rPr>
                <w:rFonts w:ascii="Verdana" w:hAnsi="Verdana"/>
                <w:noProof/>
                <w:sz w:val="16"/>
                <w:szCs w:val="16"/>
              </w:rPr>
            </w:pPr>
            <w:r w:rsidRPr="009B7807">
              <w:rPr>
                <w:rFonts w:ascii="Verdana" w:hAnsi="Verdana"/>
                <w:noProof/>
                <w:sz w:val="16"/>
                <w:szCs w:val="16"/>
              </w:rPr>
              <w:t>9.A</w:t>
            </w:r>
          </w:p>
        </w:tc>
        <w:tc>
          <w:tcPr>
            <w:tcW w:w="556" w:type="pct"/>
            <w:shd w:val="clear" w:color="auto" w:fill="F2F2F2"/>
            <w:vAlign w:val="center"/>
            <w:hideMark/>
          </w:tcPr>
          <w:p w14:paraId="36EA72A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5B3DB25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SOC</w:t>
            </w:r>
          </w:p>
        </w:tc>
        <w:tc>
          <w:tcPr>
            <w:tcW w:w="658" w:type="pct"/>
            <w:shd w:val="clear" w:color="auto" w:fill="F2F2F2"/>
            <w:vAlign w:val="center"/>
            <w:hideMark/>
          </w:tcPr>
          <w:p w14:paraId="68F03BA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Could you please specify any other relevant crime area which you think it has a cross border dimension?</w:t>
            </w:r>
          </w:p>
        </w:tc>
        <w:tc>
          <w:tcPr>
            <w:tcW w:w="708" w:type="pct"/>
            <w:shd w:val="clear" w:color="auto" w:fill="F2F2F2"/>
            <w:vAlign w:val="center"/>
            <w:hideMark/>
          </w:tcPr>
          <w:p w14:paraId="632D536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5CE5792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A66764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7D3A3A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D3B450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5D39F9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29D53D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8A65AF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60FC72D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B094933" w14:textId="77777777" w:rsidTr="00237337">
        <w:trPr>
          <w:trHeight w:val="20"/>
        </w:trPr>
        <w:tc>
          <w:tcPr>
            <w:tcW w:w="252" w:type="pct"/>
            <w:shd w:val="clear" w:color="auto" w:fill="F2F2F2"/>
            <w:vAlign w:val="center"/>
            <w:hideMark/>
          </w:tcPr>
          <w:p w14:paraId="6EB5A46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10</w:t>
            </w:r>
          </w:p>
        </w:tc>
        <w:tc>
          <w:tcPr>
            <w:tcW w:w="556" w:type="pct"/>
            <w:shd w:val="clear" w:color="auto" w:fill="F2F2F2"/>
            <w:vAlign w:val="center"/>
            <w:hideMark/>
          </w:tcPr>
          <w:p w14:paraId="49701BC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6CE70CA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SOC</w:t>
            </w:r>
          </w:p>
        </w:tc>
        <w:tc>
          <w:tcPr>
            <w:tcW w:w="658" w:type="pct"/>
            <w:shd w:val="clear" w:color="auto" w:fill="F2F2F2"/>
            <w:vAlign w:val="center"/>
            <w:hideMark/>
          </w:tcPr>
          <w:p w14:paraId="76DCDDD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do you think the crime areas listed below will evolve over the next 5-10 years in your country?*</w:t>
            </w:r>
          </w:p>
        </w:tc>
        <w:tc>
          <w:tcPr>
            <w:tcW w:w="708" w:type="pct"/>
            <w:shd w:val="clear" w:color="auto" w:fill="F2F2F2"/>
            <w:vAlign w:val="center"/>
            <w:hideMark/>
          </w:tcPr>
          <w:p w14:paraId="12389C3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*Drugs </w:t>
            </w:r>
            <w:r w:rsidRPr="001D5EAD">
              <w:rPr>
                <w:rFonts w:ascii="Verdana" w:hAnsi="Verdana"/>
                <w:noProof/>
                <w:sz w:val="16"/>
                <w:szCs w:val="16"/>
              </w:rPr>
              <w:br/>
              <w:t>*Illicit tobacco trade</w:t>
            </w:r>
            <w:r w:rsidRPr="001D5EAD">
              <w:rPr>
                <w:rFonts w:ascii="Verdana" w:hAnsi="Verdana"/>
                <w:noProof/>
                <w:sz w:val="16"/>
                <w:szCs w:val="16"/>
              </w:rPr>
              <w:br/>
              <w:t>*Trafficking in human beings</w:t>
            </w:r>
            <w:r w:rsidRPr="001D5EAD">
              <w:rPr>
                <w:rFonts w:ascii="Verdana" w:hAnsi="Verdana"/>
                <w:noProof/>
                <w:sz w:val="16"/>
                <w:szCs w:val="16"/>
              </w:rPr>
              <w:br/>
              <w:t>*Financial crimes</w:t>
            </w:r>
            <w:r w:rsidRPr="001D5EAD">
              <w:rPr>
                <w:rFonts w:ascii="Verdana" w:hAnsi="Verdana"/>
                <w:noProof/>
                <w:sz w:val="16"/>
                <w:szCs w:val="16"/>
              </w:rPr>
              <w:br/>
              <w:t>*Cybercrime</w:t>
            </w:r>
            <w:r w:rsidRPr="001D5EAD">
              <w:rPr>
                <w:rFonts w:ascii="Verdana" w:hAnsi="Verdana"/>
                <w:noProof/>
                <w:sz w:val="16"/>
                <w:szCs w:val="16"/>
              </w:rPr>
              <w:br/>
              <w:t>*Organised property crime</w:t>
            </w:r>
            <w:r w:rsidRPr="001D5EAD">
              <w:rPr>
                <w:rFonts w:ascii="Verdana" w:hAnsi="Verdana"/>
                <w:noProof/>
                <w:sz w:val="16"/>
                <w:szCs w:val="16"/>
              </w:rPr>
              <w:br/>
              <w:t>*Environmental crime</w:t>
            </w:r>
            <w:r w:rsidRPr="001D5EAD">
              <w:rPr>
                <w:rFonts w:ascii="Verdana" w:hAnsi="Verdana"/>
                <w:noProof/>
                <w:sz w:val="16"/>
                <w:szCs w:val="16"/>
              </w:rPr>
              <w:br/>
              <w:t>*Trafficking of firearms</w:t>
            </w:r>
            <w:r w:rsidRPr="001D5EAD">
              <w:rPr>
                <w:rFonts w:ascii="Verdana" w:hAnsi="Verdana"/>
                <w:noProof/>
                <w:sz w:val="16"/>
                <w:szCs w:val="16"/>
              </w:rPr>
              <w:br/>
              <w:t>*Illegal immigration</w:t>
            </w:r>
            <w:r w:rsidRPr="001D5EAD">
              <w:rPr>
                <w:rFonts w:ascii="Verdana" w:hAnsi="Verdana"/>
                <w:noProof/>
                <w:sz w:val="16"/>
                <w:szCs w:val="16"/>
              </w:rPr>
              <w:br/>
              <w:t>*Terrorism</w:t>
            </w:r>
            <w:r w:rsidRPr="001D5EAD">
              <w:rPr>
                <w:rFonts w:ascii="Verdana" w:hAnsi="Verdana"/>
                <w:noProof/>
                <w:sz w:val="16"/>
                <w:szCs w:val="16"/>
              </w:rPr>
              <w:br/>
              <w:t>*Other (please specify)</w:t>
            </w:r>
          </w:p>
        </w:tc>
        <w:tc>
          <w:tcPr>
            <w:tcW w:w="291" w:type="pct"/>
            <w:shd w:val="clear" w:color="auto" w:fill="F2F2F2"/>
            <w:noWrap/>
            <w:vAlign w:val="center"/>
            <w:hideMark/>
          </w:tcPr>
          <w:p w14:paraId="20CE9D1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16E29E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A4AE1A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5C0AAB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B62653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8D2631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A3087A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62D1F0A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F43697B" w14:textId="77777777" w:rsidTr="00237337">
        <w:trPr>
          <w:trHeight w:val="20"/>
        </w:trPr>
        <w:tc>
          <w:tcPr>
            <w:tcW w:w="252" w:type="pct"/>
            <w:shd w:val="clear" w:color="auto" w:fill="F2F2F2"/>
            <w:vAlign w:val="center"/>
            <w:hideMark/>
          </w:tcPr>
          <w:p w14:paraId="1E49F4E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11</w:t>
            </w:r>
          </w:p>
        </w:tc>
        <w:tc>
          <w:tcPr>
            <w:tcW w:w="556" w:type="pct"/>
            <w:shd w:val="clear" w:color="auto" w:fill="F2F2F2"/>
            <w:vAlign w:val="center"/>
            <w:hideMark/>
          </w:tcPr>
          <w:p w14:paraId="164537C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7879C2C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the security of EU citizens moving across the EU</w:t>
            </w:r>
          </w:p>
        </w:tc>
        <w:tc>
          <w:tcPr>
            <w:tcW w:w="658" w:type="pct"/>
            <w:shd w:val="clear" w:color="auto" w:fill="F2F2F2"/>
            <w:vAlign w:val="center"/>
            <w:hideMark/>
          </w:tcPr>
          <w:p w14:paraId="7232454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 your view, how has the number of accidents linked to public order and safety evolved over the past 5-10 years in your country in the following areas?*</w:t>
            </w:r>
          </w:p>
        </w:tc>
        <w:tc>
          <w:tcPr>
            <w:tcW w:w="708" w:type="pct"/>
            <w:shd w:val="clear" w:color="auto" w:fill="F2F2F2"/>
            <w:vAlign w:val="center"/>
            <w:hideMark/>
          </w:tcPr>
          <w:p w14:paraId="0D99824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*International sport/music/cultural events </w:t>
            </w:r>
            <w:r w:rsidRPr="001D5EAD">
              <w:rPr>
                <w:rFonts w:ascii="Verdana" w:hAnsi="Verdana"/>
                <w:noProof/>
                <w:sz w:val="16"/>
                <w:szCs w:val="16"/>
              </w:rPr>
              <w:br/>
              <w:t>*Flows of people moving for tourism</w:t>
            </w:r>
            <w:r w:rsidRPr="001D5EAD">
              <w:rPr>
                <w:rFonts w:ascii="Verdana" w:hAnsi="Verdana"/>
                <w:noProof/>
                <w:sz w:val="16"/>
                <w:szCs w:val="16"/>
              </w:rPr>
              <w:br/>
              <w:t>*Flows of people moving for work</w:t>
            </w:r>
          </w:p>
        </w:tc>
        <w:tc>
          <w:tcPr>
            <w:tcW w:w="291" w:type="pct"/>
            <w:shd w:val="clear" w:color="auto" w:fill="F2F2F2"/>
            <w:noWrap/>
            <w:vAlign w:val="center"/>
            <w:hideMark/>
          </w:tcPr>
          <w:p w14:paraId="55288A0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F44286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4CDD20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7001B2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A1DBC1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1C5CF4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CAD48C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2ECDFBD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084E48F" w14:textId="77777777" w:rsidTr="00237337">
        <w:trPr>
          <w:trHeight w:val="20"/>
        </w:trPr>
        <w:tc>
          <w:tcPr>
            <w:tcW w:w="252" w:type="pct"/>
            <w:shd w:val="clear" w:color="auto" w:fill="F2F2F2"/>
            <w:vAlign w:val="center"/>
            <w:hideMark/>
          </w:tcPr>
          <w:p w14:paraId="48326F9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12</w:t>
            </w:r>
          </w:p>
        </w:tc>
        <w:tc>
          <w:tcPr>
            <w:tcW w:w="556" w:type="pct"/>
            <w:shd w:val="clear" w:color="auto" w:fill="F2F2F2"/>
            <w:vAlign w:val="center"/>
            <w:hideMark/>
          </w:tcPr>
          <w:p w14:paraId="51F0FBB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24F60E0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the security of EU citizens moving across the EU</w:t>
            </w:r>
          </w:p>
        </w:tc>
        <w:tc>
          <w:tcPr>
            <w:tcW w:w="658" w:type="pct"/>
            <w:shd w:val="clear" w:color="auto" w:fill="F2F2F2"/>
            <w:vAlign w:val="center"/>
            <w:hideMark/>
          </w:tcPr>
          <w:p w14:paraId="0E84D4E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Can you please provide some figures related to accidents occurred over the past 5-10 years or indicate where we could find them?</w:t>
            </w:r>
          </w:p>
        </w:tc>
        <w:tc>
          <w:tcPr>
            <w:tcW w:w="708" w:type="pct"/>
            <w:shd w:val="clear" w:color="auto" w:fill="F2F2F2"/>
            <w:vAlign w:val="center"/>
            <w:hideMark/>
          </w:tcPr>
          <w:p w14:paraId="18E8316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1EBD137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69F9EA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4966D3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9E9D80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B11BC6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27624F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9751EA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D26B1E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E4C60F6" w14:textId="77777777" w:rsidTr="00237337">
        <w:trPr>
          <w:trHeight w:val="20"/>
        </w:trPr>
        <w:tc>
          <w:tcPr>
            <w:tcW w:w="252" w:type="pct"/>
            <w:shd w:val="clear" w:color="auto" w:fill="F2F2F2"/>
            <w:vAlign w:val="center"/>
            <w:hideMark/>
          </w:tcPr>
          <w:p w14:paraId="7541076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13</w:t>
            </w:r>
          </w:p>
        </w:tc>
        <w:tc>
          <w:tcPr>
            <w:tcW w:w="556" w:type="pct"/>
            <w:shd w:val="clear" w:color="auto" w:fill="F2F2F2"/>
            <w:vAlign w:val="center"/>
            <w:hideMark/>
          </w:tcPr>
          <w:p w14:paraId="5AC6093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7A5CFE5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the security of EU citizens moving across the EU</w:t>
            </w:r>
          </w:p>
        </w:tc>
        <w:tc>
          <w:tcPr>
            <w:tcW w:w="658" w:type="pct"/>
            <w:shd w:val="clear" w:color="auto" w:fill="F2F2F2"/>
            <w:vAlign w:val="center"/>
            <w:hideMark/>
          </w:tcPr>
          <w:p w14:paraId="5C971F2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 your view, to what extent do the following areas require cross-border law enforcement cooperation (i.e. require the EU-wide cooperation of law enforcement authorities to be properly managed)?*</w:t>
            </w:r>
          </w:p>
        </w:tc>
        <w:tc>
          <w:tcPr>
            <w:tcW w:w="708" w:type="pct"/>
            <w:shd w:val="clear" w:color="auto" w:fill="F2F2F2"/>
            <w:vAlign w:val="center"/>
            <w:hideMark/>
          </w:tcPr>
          <w:p w14:paraId="2C92442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*International sport/music/cultural events </w:t>
            </w:r>
            <w:r w:rsidRPr="001D5EAD">
              <w:rPr>
                <w:rFonts w:ascii="Verdana" w:hAnsi="Verdana"/>
                <w:noProof/>
                <w:sz w:val="16"/>
                <w:szCs w:val="16"/>
              </w:rPr>
              <w:br/>
              <w:t>*Flows of people moving for tourism</w:t>
            </w:r>
            <w:r w:rsidRPr="001D5EAD">
              <w:rPr>
                <w:rFonts w:ascii="Verdana" w:hAnsi="Verdana"/>
                <w:noProof/>
                <w:sz w:val="16"/>
                <w:szCs w:val="16"/>
              </w:rPr>
              <w:br/>
              <w:t>*Flows of people moving for work</w:t>
            </w:r>
          </w:p>
        </w:tc>
        <w:tc>
          <w:tcPr>
            <w:tcW w:w="291" w:type="pct"/>
            <w:shd w:val="clear" w:color="auto" w:fill="F2F2F2"/>
            <w:noWrap/>
            <w:vAlign w:val="center"/>
            <w:hideMark/>
          </w:tcPr>
          <w:p w14:paraId="024E509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177377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598361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B60CB8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B6BECF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66E255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A9BF04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B5E5E1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E7732C5" w14:textId="77777777" w:rsidTr="00237337">
        <w:trPr>
          <w:trHeight w:val="20"/>
        </w:trPr>
        <w:tc>
          <w:tcPr>
            <w:tcW w:w="252" w:type="pct"/>
            <w:shd w:val="clear" w:color="auto" w:fill="F2F2F2"/>
            <w:vAlign w:val="center"/>
            <w:hideMark/>
          </w:tcPr>
          <w:p w14:paraId="4330979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13.A</w:t>
            </w:r>
          </w:p>
        </w:tc>
        <w:tc>
          <w:tcPr>
            <w:tcW w:w="556" w:type="pct"/>
            <w:shd w:val="clear" w:color="auto" w:fill="F2F2F2"/>
            <w:vAlign w:val="center"/>
            <w:hideMark/>
          </w:tcPr>
          <w:p w14:paraId="3A33FD4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THREAT LANDASCAPE</w:t>
            </w:r>
          </w:p>
        </w:tc>
        <w:tc>
          <w:tcPr>
            <w:tcW w:w="507" w:type="pct"/>
            <w:shd w:val="clear" w:color="auto" w:fill="F2F2F2"/>
            <w:vAlign w:val="center"/>
            <w:hideMark/>
          </w:tcPr>
          <w:p w14:paraId="778877F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Challenges related to the security of EU citizens moving across the EU</w:t>
            </w:r>
          </w:p>
        </w:tc>
        <w:tc>
          <w:tcPr>
            <w:tcW w:w="658" w:type="pct"/>
            <w:shd w:val="clear" w:color="auto" w:fill="F2F2F2"/>
            <w:vAlign w:val="center"/>
            <w:hideMark/>
          </w:tcPr>
          <w:p w14:paraId="496E28A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Can you please specify any other type of event or activity which requires cross-border law enforcement cooperation in the area of public safety and/or public order?</w:t>
            </w:r>
          </w:p>
        </w:tc>
        <w:tc>
          <w:tcPr>
            <w:tcW w:w="708" w:type="pct"/>
            <w:shd w:val="clear" w:color="auto" w:fill="F2F2F2"/>
            <w:vAlign w:val="center"/>
            <w:hideMark/>
          </w:tcPr>
          <w:p w14:paraId="221A48E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656B0B7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6A4071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DB0A09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C0CE91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657E2E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4A8FBA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1CA3A6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62FAFC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E98290B" w14:textId="77777777" w:rsidTr="00237337">
        <w:trPr>
          <w:trHeight w:val="20"/>
        </w:trPr>
        <w:tc>
          <w:tcPr>
            <w:tcW w:w="252" w:type="pct"/>
            <w:shd w:val="clear" w:color="auto" w:fill="F2F2F2"/>
            <w:vAlign w:val="center"/>
            <w:hideMark/>
          </w:tcPr>
          <w:p w14:paraId="7DE3825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14</w:t>
            </w:r>
          </w:p>
        </w:tc>
        <w:tc>
          <w:tcPr>
            <w:tcW w:w="556" w:type="pct"/>
            <w:shd w:val="clear" w:color="auto" w:fill="F2F2F2"/>
            <w:vAlign w:val="center"/>
            <w:hideMark/>
          </w:tcPr>
          <w:p w14:paraId="1C0CF89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38AA55C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SOC </w:t>
            </w:r>
          </w:p>
        </w:tc>
        <w:tc>
          <w:tcPr>
            <w:tcW w:w="658" w:type="pct"/>
            <w:shd w:val="clear" w:color="auto" w:fill="F2F2F2"/>
            <w:vAlign w:val="center"/>
            <w:hideMark/>
          </w:tcPr>
          <w:p w14:paraId="79AAB79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often do law enforcement authorities in your country undertake operational cooperation with law enforcement authorities in other countries in relation to the following crimes?*</w:t>
            </w:r>
          </w:p>
        </w:tc>
        <w:tc>
          <w:tcPr>
            <w:tcW w:w="708" w:type="pct"/>
            <w:shd w:val="clear" w:color="auto" w:fill="F2F2F2"/>
            <w:vAlign w:val="center"/>
            <w:hideMark/>
          </w:tcPr>
          <w:p w14:paraId="25513FE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*Drugs </w:t>
            </w:r>
            <w:r w:rsidRPr="001D5EAD">
              <w:rPr>
                <w:rFonts w:ascii="Verdana" w:hAnsi="Verdana"/>
                <w:noProof/>
                <w:sz w:val="16"/>
                <w:szCs w:val="16"/>
              </w:rPr>
              <w:br/>
              <w:t>*Illicit tobacco trade</w:t>
            </w:r>
            <w:r w:rsidRPr="001D5EAD">
              <w:rPr>
                <w:rFonts w:ascii="Verdana" w:hAnsi="Verdana"/>
                <w:noProof/>
                <w:sz w:val="16"/>
                <w:szCs w:val="16"/>
              </w:rPr>
              <w:br/>
              <w:t>*Trafficking in human beings</w:t>
            </w:r>
            <w:r w:rsidRPr="001D5EAD">
              <w:rPr>
                <w:rFonts w:ascii="Verdana" w:hAnsi="Verdana"/>
                <w:noProof/>
                <w:sz w:val="16"/>
                <w:szCs w:val="16"/>
              </w:rPr>
              <w:br/>
              <w:t>*Financial crimes</w:t>
            </w:r>
            <w:r w:rsidRPr="001D5EAD">
              <w:rPr>
                <w:rFonts w:ascii="Verdana" w:hAnsi="Verdana"/>
                <w:noProof/>
                <w:sz w:val="16"/>
                <w:szCs w:val="16"/>
              </w:rPr>
              <w:br/>
              <w:t>*Cybercrime</w:t>
            </w:r>
            <w:r w:rsidRPr="001D5EAD">
              <w:rPr>
                <w:rFonts w:ascii="Verdana" w:hAnsi="Verdana"/>
                <w:noProof/>
                <w:sz w:val="16"/>
                <w:szCs w:val="16"/>
              </w:rPr>
              <w:br/>
              <w:t>*Organised property crime</w:t>
            </w:r>
            <w:r w:rsidRPr="001D5EAD">
              <w:rPr>
                <w:rFonts w:ascii="Verdana" w:hAnsi="Verdana"/>
                <w:noProof/>
                <w:sz w:val="16"/>
                <w:szCs w:val="16"/>
              </w:rPr>
              <w:br/>
              <w:t>*Environmental crime</w:t>
            </w:r>
            <w:r w:rsidRPr="001D5EAD">
              <w:rPr>
                <w:rFonts w:ascii="Verdana" w:hAnsi="Verdana"/>
                <w:noProof/>
                <w:sz w:val="16"/>
                <w:szCs w:val="16"/>
              </w:rPr>
              <w:br/>
              <w:t>*Trafficking of firearms</w:t>
            </w:r>
            <w:r w:rsidRPr="001D5EAD">
              <w:rPr>
                <w:rFonts w:ascii="Verdana" w:hAnsi="Verdana"/>
                <w:noProof/>
                <w:sz w:val="16"/>
                <w:szCs w:val="16"/>
              </w:rPr>
              <w:br/>
              <w:t xml:space="preserve">*Illegal immigration </w:t>
            </w:r>
            <w:r w:rsidRPr="001D5EAD">
              <w:rPr>
                <w:rFonts w:ascii="Verdana" w:hAnsi="Verdana"/>
                <w:noProof/>
                <w:sz w:val="16"/>
                <w:szCs w:val="16"/>
              </w:rPr>
              <w:br/>
              <w:t>*Terrorism</w:t>
            </w:r>
          </w:p>
        </w:tc>
        <w:tc>
          <w:tcPr>
            <w:tcW w:w="291" w:type="pct"/>
            <w:shd w:val="clear" w:color="auto" w:fill="F2F2F2"/>
            <w:noWrap/>
            <w:vAlign w:val="center"/>
            <w:hideMark/>
          </w:tcPr>
          <w:p w14:paraId="390DF92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81C44C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F86760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46BDE0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931EF2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BAFF2D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8034BB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17C74C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395528B" w14:textId="77777777" w:rsidTr="00237337">
        <w:trPr>
          <w:trHeight w:val="20"/>
        </w:trPr>
        <w:tc>
          <w:tcPr>
            <w:tcW w:w="252" w:type="pct"/>
            <w:shd w:val="clear" w:color="auto" w:fill="F2F2F2"/>
            <w:vAlign w:val="center"/>
            <w:hideMark/>
          </w:tcPr>
          <w:p w14:paraId="3E6B5A7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15</w:t>
            </w:r>
          </w:p>
        </w:tc>
        <w:tc>
          <w:tcPr>
            <w:tcW w:w="556" w:type="pct"/>
            <w:shd w:val="clear" w:color="auto" w:fill="F2F2F2"/>
            <w:vAlign w:val="center"/>
            <w:hideMark/>
          </w:tcPr>
          <w:p w14:paraId="377B894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194DA1F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SOC </w:t>
            </w:r>
          </w:p>
        </w:tc>
        <w:tc>
          <w:tcPr>
            <w:tcW w:w="658" w:type="pct"/>
            <w:shd w:val="clear" w:color="auto" w:fill="F2F2F2"/>
            <w:vAlign w:val="center"/>
            <w:hideMark/>
          </w:tcPr>
          <w:p w14:paraId="524C27C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Out of all cases where your country undertook operational cooperation with other countries in relation to serious and organised crimes, what was the share of problematic cases?*</w:t>
            </w:r>
          </w:p>
        </w:tc>
        <w:tc>
          <w:tcPr>
            <w:tcW w:w="708" w:type="pct"/>
            <w:shd w:val="clear" w:color="auto" w:fill="F2F2F2"/>
            <w:vAlign w:val="center"/>
            <w:hideMark/>
          </w:tcPr>
          <w:p w14:paraId="4E9FA27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*Never had problematic cases</w:t>
            </w:r>
            <w:r w:rsidRPr="001D5EAD">
              <w:rPr>
                <w:rFonts w:ascii="Verdana" w:hAnsi="Verdana"/>
                <w:noProof/>
                <w:sz w:val="16"/>
                <w:szCs w:val="16"/>
              </w:rPr>
              <w:br/>
              <w:t>*0-20%</w:t>
            </w:r>
            <w:r w:rsidRPr="001D5EAD">
              <w:rPr>
                <w:rFonts w:ascii="Verdana" w:hAnsi="Verdana"/>
                <w:noProof/>
                <w:sz w:val="16"/>
                <w:szCs w:val="16"/>
              </w:rPr>
              <w:br/>
              <w:t>*20-40%</w:t>
            </w:r>
            <w:r w:rsidRPr="001D5EAD">
              <w:rPr>
                <w:rFonts w:ascii="Verdana" w:hAnsi="Verdana"/>
                <w:noProof/>
                <w:sz w:val="16"/>
                <w:szCs w:val="16"/>
              </w:rPr>
              <w:br/>
              <w:t>*40-60%</w:t>
            </w:r>
            <w:r w:rsidRPr="001D5EAD">
              <w:rPr>
                <w:rFonts w:ascii="Verdana" w:hAnsi="Verdana"/>
                <w:noProof/>
                <w:sz w:val="16"/>
                <w:szCs w:val="16"/>
              </w:rPr>
              <w:br/>
              <w:t>*60-80%</w:t>
            </w:r>
            <w:r w:rsidRPr="001D5EAD">
              <w:rPr>
                <w:rFonts w:ascii="Verdana" w:hAnsi="Verdana"/>
                <w:noProof/>
                <w:sz w:val="16"/>
                <w:szCs w:val="16"/>
              </w:rPr>
              <w:br/>
              <w:t>*80-100%</w:t>
            </w:r>
            <w:r w:rsidRPr="001D5EAD">
              <w:rPr>
                <w:rFonts w:ascii="Verdana" w:hAnsi="Verdana"/>
                <w:noProof/>
                <w:sz w:val="16"/>
                <w:szCs w:val="16"/>
              </w:rPr>
              <w:br/>
              <w:t>*All cases were problematic</w:t>
            </w:r>
          </w:p>
        </w:tc>
        <w:tc>
          <w:tcPr>
            <w:tcW w:w="291" w:type="pct"/>
            <w:shd w:val="clear" w:color="auto" w:fill="F2F2F2"/>
            <w:noWrap/>
            <w:vAlign w:val="center"/>
            <w:hideMark/>
          </w:tcPr>
          <w:p w14:paraId="5D29660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83C2BD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76A459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2FBDEE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3A3679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EC8CDC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88A928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722F81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67FF854" w14:textId="77777777" w:rsidTr="00237337">
        <w:trPr>
          <w:trHeight w:val="20"/>
        </w:trPr>
        <w:tc>
          <w:tcPr>
            <w:tcW w:w="252" w:type="pct"/>
            <w:shd w:val="clear" w:color="auto" w:fill="F2F2F2"/>
            <w:vAlign w:val="center"/>
            <w:hideMark/>
          </w:tcPr>
          <w:p w14:paraId="028C687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16</w:t>
            </w:r>
          </w:p>
        </w:tc>
        <w:tc>
          <w:tcPr>
            <w:tcW w:w="556" w:type="pct"/>
            <w:shd w:val="clear" w:color="auto" w:fill="F2F2F2"/>
            <w:vAlign w:val="center"/>
            <w:hideMark/>
          </w:tcPr>
          <w:p w14:paraId="5F8FE85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2ED0D59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SOC </w:t>
            </w:r>
          </w:p>
        </w:tc>
        <w:tc>
          <w:tcPr>
            <w:tcW w:w="658" w:type="pct"/>
            <w:shd w:val="clear" w:color="auto" w:fill="F2F2F2"/>
            <w:vAlign w:val="center"/>
            <w:hideMark/>
          </w:tcPr>
          <w:p w14:paraId="1C9E714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were the main reasons for the difficulties encountered?</w:t>
            </w:r>
          </w:p>
        </w:tc>
        <w:tc>
          <w:tcPr>
            <w:tcW w:w="708" w:type="pct"/>
            <w:shd w:val="clear" w:color="auto" w:fill="F2F2F2"/>
            <w:vAlign w:val="center"/>
            <w:hideMark/>
          </w:tcPr>
          <w:p w14:paraId="056D44F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*lack of clarity on the rules to be followed</w:t>
            </w:r>
            <w:r w:rsidRPr="001D5EAD">
              <w:rPr>
                <w:rFonts w:ascii="Verdana" w:hAnsi="Verdana"/>
                <w:noProof/>
                <w:sz w:val="16"/>
                <w:szCs w:val="16"/>
              </w:rPr>
              <w:br/>
              <w:t xml:space="preserve">*missing or unclear points of contact </w:t>
            </w:r>
            <w:r w:rsidRPr="001D5EAD">
              <w:rPr>
                <w:rFonts w:ascii="Verdana" w:hAnsi="Verdana"/>
                <w:noProof/>
                <w:sz w:val="16"/>
                <w:szCs w:val="16"/>
              </w:rPr>
              <w:br/>
              <w:t>*time delays</w:t>
            </w:r>
            <w:r w:rsidRPr="001D5EAD">
              <w:rPr>
                <w:rFonts w:ascii="Verdana" w:hAnsi="Verdana"/>
                <w:noProof/>
                <w:sz w:val="16"/>
                <w:szCs w:val="16"/>
              </w:rPr>
              <w:br/>
              <w:t>*language barriers</w:t>
            </w:r>
            <w:r w:rsidRPr="001D5EAD">
              <w:rPr>
                <w:rFonts w:ascii="Verdana" w:hAnsi="Verdana"/>
                <w:noProof/>
                <w:sz w:val="16"/>
                <w:szCs w:val="16"/>
              </w:rPr>
              <w:br/>
              <w:t>*different rules applicable to the same criminal act and investigative tools in the other country</w:t>
            </w:r>
            <w:r w:rsidRPr="001D5EAD">
              <w:rPr>
                <w:rFonts w:ascii="Verdana" w:hAnsi="Verdana"/>
                <w:noProof/>
                <w:sz w:val="16"/>
                <w:szCs w:val="16"/>
              </w:rPr>
              <w:br/>
              <w:t>*high number of administrative requirements to comply with</w:t>
            </w:r>
            <w:r w:rsidRPr="001D5EAD">
              <w:rPr>
                <w:rFonts w:ascii="Verdana" w:hAnsi="Verdana"/>
                <w:noProof/>
                <w:sz w:val="16"/>
                <w:szCs w:val="16"/>
              </w:rPr>
              <w:br/>
              <w:t>*lack of trust</w:t>
            </w:r>
            <w:r w:rsidRPr="001D5EAD">
              <w:rPr>
                <w:rFonts w:ascii="Verdana" w:hAnsi="Verdana"/>
                <w:noProof/>
                <w:sz w:val="16"/>
                <w:szCs w:val="16"/>
              </w:rPr>
              <w:br/>
              <w:t>*other (please specify)</w:t>
            </w:r>
          </w:p>
        </w:tc>
        <w:tc>
          <w:tcPr>
            <w:tcW w:w="291" w:type="pct"/>
            <w:shd w:val="clear" w:color="auto" w:fill="F2F2F2"/>
            <w:noWrap/>
            <w:vAlign w:val="center"/>
            <w:hideMark/>
          </w:tcPr>
          <w:p w14:paraId="4BFC18E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153B62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37FA90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384F1A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E37414C"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8D0F24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2EB565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95B816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657E92B" w14:textId="77777777" w:rsidTr="00237337">
        <w:trPr>
          <w:trHeight w:val="20"/>
        </w:trPr>
        <w:tc>
          <w:tcPr>
            <w:tcW w:w="252" w:type="pct"/>
            <w:shd w:val="clear" w:color="auto" w:fill="F2F2F2"/>
            <w:vAlign w:val="center"/>
            <w:hideMark/>
          </w:tcPr>
          <w:p w14:paraId="166672E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17</w:t>
            </w:r>
          </w:p>
        </w:tc>
        <w:tc>
          <w:tcPr>
            <w:tcW w:w="556" w:type="pct"/>
            <w:shd w:val="clear" w:color="auto" w:fill="F2F2F2"/>
            <w:vAlign w:val="center"/>
            <w:hideMark/>
          </w:tcPr>
          <w:p w14:paraId="7353C1B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6F3B7E9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SOC </w:t>
            </w:r>
          </w:p>
        </w:tc>
        <w:tc>
          <w:tcPr>
            <w:tcW w:w="658" w:type="pct"/>
            <w:shd w:val="clear" w:color="auto" w:fill="F2F2F2"/>
            <w:vAlign w:val="center"/>
            <w:hideMark/>
          </w:tcPr>
          <w:p w14:paraId="5874637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What were the main consequences of the difficulties encountered? </w:t>
            </w:r>
          </w:p>
        </w:tc>
        <w:tc>
          <w:tcPr>
            <w:tcW w:w="708" w:type="pct"/>
            <w:shd w:val="clear" w:color="auto" w:fill="F2F2F2"/>
            <w:vAlign w:val="center"/>
            <w:hideMark/>
          </w:tcPr>
          <w:p w14:paraId="0418826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*Increase of time needed for the investigations</w:t>
            </w:r>
            <w:r w:rsidRPr="001D5EAD">
              <w:rPr>
                <w:rFonts w:ascii="Verdana" w:hAnsi="Verdana"/>
                <w:noProof/>
                <w:sz w:val="16"/>
                <w:szCs w:val="16"/>
              </w:rPr>
              <w:br/>
              <w:t>*Costs for complying with unexpected requirements</w:t>
            </w:r>
            <w:r w:rsidRPr="001D5EAD">
              <w:rPr>
                <w:rFonts w:ascii="Verdana" w:hAnsi="Verdana"/>
                <w:noProof/>
                <w:sz w:val="16"/>
                <w:szCs w:val="16"/>
              </w:rPr>
              <w:br/>
              <w:t>*Impossibility to continue the investigation/case</w:t>
            </w:r>
            <w:r w:rsidRPr="001D5EAD">
              <w:rPr>
                <w:rFonts w:ascii="Verdana" w:hAnsi="Verdana"/>
                <w:noProof/>
                <w:sz w:val="16"/>
                <w:szCs w:val="16"/>
              </w:rPr>
              <w:br/>
              <w:t>*Other (please specify)</w:t>
            </w:r>
          </w:p>
        </w:tc>
        <w:tc>
          <w:tcPr>
            <w:tcW w:w="291" w:type="pct"/>
            <w:shd w:val="clear" w:color="auto" w:fill="F2F2F2"/>
            <w:noWrap/>
            <w:vAlign w:val="center"/>
            <w:hideMark/>
          </w:tcPr>
          <w:p w14:paraId="3B4F8FC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64B570C"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357696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B74ADC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63A843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DEE967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50FD37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6B311DF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C72F944" w14:textId="77777777" w:rsidTr="00237337">
        <w:trPr>
          <w:trHeight w:val="20"/>
        </w:trPr>
        <w:tc>
          <w:tcPr>
            <w:tcW w:w="252" w:type="pct"/>
            <w:shd w:val="clear" w:color="auto" w:fill="F2F2F2"/>
            <w:vAlign w:val="center"/>
            <w:hideMark/>
          </w:tcPr>
          <w:p w14:paraId="0598FF7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18</w:t>
            </w:r>
          </w:p>
        </w:tc>
        <w:tc>
          <w:tcPr>
            <w:tcW w:w="556" w:type="pct"/>
            <w:shd w:val="clear" w:color="auto" w:fill="F2F2F2"/>
            <w:vAlign w:val="center"/>
            <w:hideMark/>
          </w:tcPr>
          <w:p w14:paraId="598C96A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017D31A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SOC </w:t>
            </w:r>
          </w:p>
        </w:tc>
        <w:tc>
          <w:tcPr>
            <w:tcW w:w="658" w:type="pct"/>
            <w:shd w:val="clear" w:color="auto" w:fill="F2F2F2"/>
            <w:vAlign w:val="center"/>
            <w:hideMark/>
          </w:tcPr>
          <w:p w14:paraId="3AE6C67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difficulties encountered brought to time delays, can you please estimate these delays?</w:t>
            </w:r>
          </w:p>
        </w:tc>
        <w:tc>
          <w:tcPr>
            <w:tcW w:w="708" w:type="pct"/>
            <w:shd w:val="clear" w:color="auto" w:fill="F2F2F2"/>
            <w:vAlign w:val="center"/>
            <w:hideMark/>
          </w:tcPr>
          <w:p w14:paraId="42585AD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1-7 days</w:t>
            </w:r>
            <w:r w:rsidRPr="001D5EAD">
              <w:rPr>
                <w:rFonts w:ascii="Verdana" w:hAnsi="Verdana"/>
                <w:noProof/>
                <w:sz w:val="16"/>
                <w:szCs w:val="16"/>
              </w:rPr>
              <w:br/>
              <w:t>* 2-4 weeks</w:t>
            </w:r>
            <w:r w:rsidRPr="001D5EAD">
              <w:rPr>
                <w:rFonts w:ascii="Verdana" w:hAnsi="Verdana"/>
                <w:noProof/>
                <w:sz w:val="16"/>
                <w:szCs w:val="16"/>
              </w:rPr>
              <w:br/>
              <w:t>*2-3 months</w:t>
            </w:r>
            <w:r w:rsidRPr="001D5EAD">
              <w:rPr>
                <w:rFonts w:ascii="Verdana" w:hAnsi="Verdana"/>
                <w:noProof/>
                <w:sz w:val="16"/>
                <w:szCs w:val="16"/>
              </w:rPr>
              <w:br/>
              <w:t>*More than 3 months</w:t>
            </w:r>
            <w:r w:rsidRPr="001D5EAD">
              <w:rPr>
                <w:rFonts w:ascii="Verdana" w:hAnsi="Verdana"/>
                <w:noProof/>
                <w:sz w:val="16"/>
                <w:szCs w:val="16"/>
              </w:rPr>
              <w:br/>
              <w:t>*Don't know</w:t>
            </w:r>
          </w:p>
        </w:tc>
        <w:tc>
          <w:tcPr>
            <w:tcW w:w="291" w:type="pct"/>
            <w:shd w:val="clear" w:color="auto" w:fill="F2F2F2"/>
            <w:noWrap/>
            <w:vAlign w:val="center"/>
            <w:hideMark/>
          </w:tcPr>
          <w:p w14:paraId="52A18B0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A5E4EE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F04B2F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253053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5FC44D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9E9732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BF3557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12390B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C08DA69" w14:textId="77777777" w:rsidTr="00237337">
        <w:trPr>
          <w:trHeight w:val="20"/>
        </w:trPr>
        <w:tc>
          <w:tcPr>
            <w:tcW w:w="252" w:type="pct"/>
            <w:shd w:val="clear" w:color="auto" w:fill="F2F2F2"/>
            <w:vAlign w:val="center"/>
            <w:hideMark/>
          </w:tcPr>
          <w:p w14:paraId="61D1A89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19</w:t>
            </w:r>
          </w:p>
        </w:tc>
        <w:tc>
          <w:tcPr>
            <w:tcW w:w="556" w:type="pct"/>
            <w:shd w:val="clear" w:color="auto" w:fill="F2F2F2"/>
            <w:vAlign w:val="center"/>
            <w:hideMark/>
          </w:tcPr>
          <w:p w14:paraId="433E025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3CEDDBF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SOC </w:t>
            </w:r>
          </w:p>
        </w:tc>
        <w:tc>
          <w:tcPr>
            <w:tcW w:w="658" w:type="pct"/>
            <w:shd w:val="clear" w:color="auto" w:fill="F2F2F2"/>
            <w:vAlign w:val="center"/>
            <w:hideMark/>
          </w:tcPr>
          <w:p w14:paraId="0C1C6A5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difficulties encountered brought to additional costs, can you please indicate the type of costs?</w:t>
            </w:r>
          </w:p>
        </w:tc>
        <w:tc>
          <w:tcPr>
            <w:tcW w:w="708" w:type="pct"/>
            <w:shd w:val="clear" w:color="auto" w:fill="F2F2F2"/>
            <w:vAlign w:val="center"/>
            <w:hideMark/>
          </w:tcPr>
          <w:p w14:paraId="3927B29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*Costs related to additional staff needed</w:t>
            </w:r>
            <w:r w:rsidRPr="001D5EAD">
              <w:rPr>
                <w:rFonts w:ascii="Verdana" w:hAnsi="Verdana"/>
                <w:noProof/>
                <w:sz w:val="16"/>
                <w:szCs w:val="16"/>
              </w:rPr>
              <w:br/>
              <w:t>*Costs related to the compliance with unexpected requirements of the other country</w:t>
            </w:r>
            <w:r w:rsidRPr="001D5EAD">
              <w:rPr>
                <w:rFonts w:ascii="Verdana" w:hAnsi="Verdana"/>
                <w:noProof/>
                <w:sz w:val="16"/>
                <w:szCs w:val="16"/>
              </w:rPr>
              <w:br/>
              <w:t>*Costs related to the purchase of new equipment</w:t>
            </w:r>
            <w:r w:rsidRPr="001D5EAD">
              <w:rPr>
                <w:rFonts w:ascii="Verdana" w:hAnsi="Verdana"/>
                <w:noProof/>
                <w:sz w:val="16"/>
                <w:szCs w:val="16"/>
              </w:rPr>
              <w:br/>
              <w:t>*Other costs (please specify)</w:t>
            </w:r>
          </w:p>
        </w:tc>
        <w:tc>
          <w:tcPr>
            <w:tcW w:w="291" w:type="pct"/>
            <w:shd w:val="clear" w:color="auto" w:fill="F2F2F2"/>
            <w:noWrap/>
            <w:vAlign w:val="center"/>
            <w:hideMark/>
          </w:tcPr>
          <w:p w14:paraId="42FB2CC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8F2045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79E72D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4A7D8F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63BBDD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CEFDFB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9654E5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E7A11C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7CABEF5" w14:textId="77777777" w:rsidTr="00237337">
        <w:trPr>
          <w:trHeight w:val="20"/>
        </w:trPr>
        <w:tc>
          <w:tcPr>
            <w:tcW w:w="252" w:type="pct"/>
            <w:shd w:val="clear" w:color="auto" w:fill="F2F2F2"/>
            <w:vAlign w:val="center"/>
            <w:hideMark/>
          </w:tcPr>
          <w:p w14:paraId="4AAF9CD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20</w:t>
            </w:r>
          </w:p>
        </w:tc>
        <w:tc>
          <w:tcPr>
            <w:tcW w:w="556" w:type="pct"/>
            <w:shd w:val="clear" w:color="auto" w:fill="F2F2F2"/>
            <w:vAlign w:val="center"/>
            <w:hideMark/>
          </w:tcPr>
          <w:p w14:paraId="4E202AB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3135CB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Public Order </w:t>
            </w:r>
          </w:p>
        </w:tc>
        <w:tc>
          <w:tcPr>
            <w:tcW w:w="658" w:type="pct"/>
            <w:shd w:val="clear" w:color="auto" w:fill="F2F2F2"/>
            <w:vAlign w:val="center"/>
            <w:hideMark/>
          </w:tcPr>
          <w:p w14:paraId="58D88EB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often do law enforcement authorities in your country undertake operational cooperation with law enforcement authorities in other countries to ensure public order and safety?*</w:t>
            </w:r>
          </w:p>
        </w:tc>
        <w:tc>
          <w:tcPr>
            <w:tcW w:w="708" w:type="pct"/>
            <w:shd w:val="clear" w:color="auto" w:fill="F2F2F2"/>
            <w:vAlign w:val="center"/>
            <w:hideMark/>
          </w:tcPr>
          <w:p w14:paraId="06E862E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*Crises and disasters</w:t>
            </w:r>
            <w:r w:rsidRPr="001D5EAD">
              <w:rPr>
                <w:rFonts w:ascii="Verdana" w:hAnsi="Verdana"/>
                <w:noProof/>
                <w:sz w:val="16"/>
                <w:szCs w:val="16"/>
              </w:rPr>
              <w:br/>
              <w:t xml:space="preserve">*International sport/music/cultural events </w:t>
            </w:r>
            <w:r w:rsidRPr="001D5EAD">
              <w:rPr>
                <w:rFonts w:ascii="Verdana" w:hAnsi="Verdana"/>
                <w:noProof/>
                <w:sz w:val="16"/>
                <w:szCs w:val="16"/>
              </w:rPr>
              <w:br/>
              <w:t>*Flows of people moving for tourism</w:t>
            </w:r>
            <w:r w:rsidRPr="001D5EAD">
              <w:rPr>
                <w:rFonts w:ascii="Verdana" w:hAnsi="Verdana"/>
                <w:noProof/>
                <w:sz w:val="16"/>
                <w:szCs w:val="16"/>
              </w:rPr>
              <w:br/>
              <w:t>*Flows of people moving for work</w:t>
            </w:r>
            <w:r w:rsidRPr="001D5EAD">
              <w:rPr>
                <w:rFonts w:ascii="Verdana" w:hAnsi="Verdana"/>
                <w:noProof/>
                <w:sz w:val="16"/>
                <w:szCs w:val="16"/>
              </w:rPr>
              <w:br/>
              <w:t xml:space="preserve">*Protection of public figures </w:t>
            </w:r>
          </w:p>
        </w:tc>
        <w:tc>
          <w:tcPr>
            <w:tcW w:w="291" w:type="pct"/>
            <w:shd w:val="clear" w:color="auto" w:fill="F2F2F2"/>
            <w:noWrap/>
            <w:vAlign w:val="center"/>
            <w:hideMark/>
          </w:tcPr>
          <w:p w14:paraId="1C269F3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0B5F6E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FCD455F"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70EB1E5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6F888E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7A841D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CF177C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68C84A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0B36F0C" w14:textId="77777777" w:rsidTr="00237337">
        <w:trPr>
          <w:trHeight w:val="20"/>
        </w:trPr>
        <w:tc>
          <w:tcPr>
            <w:tcW w:w="252" w:type="pct"/>
            <w:shd w:val="clear" w:color="auto" w:fill="F2F2F2"/>
            <w:vAlign w:val="center"/>
            <w:hideMark/>
          </w:tcPr>
          <w:p w14:paraId="480C9C3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20.A</w:t>
            </w:r>
          </w:p>
        </w:tc>
        <w:tc>
          <w:tcPr>
            <w:tcW w:w="556" w:type="pct"/>
            <w:shd w:val="clear" w:color="auto" w:fill="F2F2F2"/>
            <w:vAlign w:val="center"/>
            <w:hideMark/>
          </w:tcPr>
          <w:p w14:paraId="26D2A4D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A0A3C9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Public Order </w:t>
            </w:r>
          </w:p>
        </w:tc>
        <w:tc>
          <w:tcPr>
            <w:tcW w:w="658" w:type="pct"/>
            <w:shd w:val="clear" w:color="auto" w:fill="F2F2F2"/>
            <w:vAlign w:val="center"/>
            <w:hideMark/>
          </w:tcPr>
          <w:p w14:paraId="75C37C6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Do you have any other relevant example of events or activities for which your country undertake operational cooperation with law enforcement authorities in other countries to ensure public order and safety?</w:t>
            </w:r>
          </w:p>
        </w:tc>
        <w:tc>
          <w:tcPr>
            <w:tcW w:w="708" w:type="pct"/>
            <w:shd w:val="clear" w:color="auto" w:fill="F2F2F2"/>
            <w:vAlign w:val="center"/>
            <w:hideMark/>
          </w:tcPr>
          <w:p w14:paraId="6788EF9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0B5D0C5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BAE2E5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434417B"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53C0D3E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78E95B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4137CC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AA6C79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B42E76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1833F98" w14:textId="77777777" w:rsidTr="00237337">
        <w:trPr>
          <w:trHeight w:val="20"/>
        </w:trPr>
        <w:tc>
          <w:tcPr>
            <w:tcW w:w="252" w:type="pct"/>
            <w:shd w:val="clear" w:color="auto" w:fill="F2F2F2"/>
            <w:vAlign w:val="center"/>
            <w:hideMark/>
          </w:tcPr>
          <w:p w14:paraId="1EB7EE0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21</w:t>
            </w:r>
          </w:p>
        </w:tc>
        <w:tc>
          <w:tcPr>
            <w:tcW w:w="556" w:type="pct"/>
            <w:shd w:val="clear" w:color="auto" w:fill="F2F2F2"/>
            <w:vAlign w:val="center"/>
            <w:hideMark/>
          </w:tcPr>
          <w:p w14:paraId="11339E7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04533B3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Public Order </w:t>
            </w:r>
          </w:p>
        </w:tc>
        <w:tc>
          <w:tcPr>
            <w:tcW w:w="658" w:type="pct"/>
            <w:shd w:val="clear" w:color="auto" w:fill="F2F2F2"/>
            <w:vAlign w:val="center"/>
            <w:hideMark/>
          </w:tcPr>
          <w:p w14:paraId="0813436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Out of all cases where your country undertook operational cooperation with other countries to ensure public order and safety, what was the share of problematic cases?*</w:t>
            </w:r>
          </w:p>
        </w:tc>
        <w:tc>
          <w:tcPr>
            <w:tcW w:w="708" w:type="pct"/>
            <w:shd w:val="clear" w:color="auto" w:fill="F2F2F2"/>
            <w:vAlign w:val="center"/>
            <w:hideMark/>
          </w:tcPr>
          <w:p w14:paraId="660CEC5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*Never had problematic cases</w:t>
            </w:r>
            <w:r w:rsidRPr="001D5EAD">
              <w:rPr>
                <w:rFonts w:ascii="Verdana" w:hAnsi="Verdana"/>
                <w:noProof/>
                <w:sz w:val="16"/>
                <w:szCs w:val="16"/>
              </w:rPr>
              <w:br/>
              <w:t>*0-20%</w:t>
            </w:r>
            <w:r w:rsidRPr="001D5EAD">
              <w:rPr>
                <w:rFonts w:ascii="Verdana" w:hAnsi="Verdana"/>
                <w:noProof/>
                <w:sz w:val="16"/>
                <w:szCs w:val="16"/>
              </w:rPr>
              <w:br/>
              <w:t>*20-40%</w:t>
            </w:r>
            <w:r w:rsidRPr="001D5EAD">
              <w:rPr>
                <w:rFonts w:ascii="Verdana" w:hAnsi="Verdana"/>
                <w:noProof/>
                <w:sz w:val="16"/>
                <w:szCs w:val="16"/>
              </w:rPr>
              <w:br/>
              <w:t>*40-60%</w:t>
            </w:r>
            <w:r w:rsidRPr="001D5EAD">
              <w:rPr>
                <w:rFonts w:ascii="Verdana" w:hAnsi="Verdana"/>
                <w:noProof/>
                <w:sz w:val="16"/>
                <w:szCs w:val="16"/>
              </w:rPr>
              <w:br/>
              <w:t>*70-80%</w:t>
            </w:r>
            <w:r w:rsidRPr="001D5EAD">
              <w:rPr>
                <w:rFonts w:ascii="Verdana" w:hAnsi="Verdana"/>
                <w:noProof/>
                <w:sz w:val="16"/>
                <w:szCs w:val="16"/>
              </w:rPr>
              <w:br/>
              <w:t>*80-100%</w:t>
            </w:r>
            <w:r w:rsidRPr="001D5EAD">
              <w:rPr>
                <w:rFonts w:ascii="Verdana" w:hAnsi="Verdana"/>
                <w:noProof/>
                <w:sz w:val="16"/>
                <w:szCs w:val="16"/>
              </w:rPr>
              <w:br/>
              <w:t>*All cases were problematic</w:t>
            </w:r>
          </w:p>
        </w:tc>
        <w:tc>
          <w:tcPr>
            <w:tcW w:w="291" w:type="pct"/>
            <w:shd w:val="clear" w:color="auto" w:fill="F2F2F2"/>
            <w:noWrap/>
            <w:vAlign w:val="center"/>
            <w:hideMark/>
          </w:tcPr>
          <w:p w14:paraId="18D42C2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EAEF73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94EB60C"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1BAAC5A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16C47B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2091BD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27DDC7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17F08D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30DEEC8" w14:textId="77777777" w:rsidTr="00237337">
        <w:trPr>
          <w:trHeight w:val="20"/>
        </w:trPr>
        <w:tc>
          <w:tcPr>
            <w:tcW w:w="252" w:type="pct"/>
            <w:shd w:val="clear" w:color="auto" w:fill="F2F2F2"/>
            <w:vAlign w:val="center"/>
            <w:hideMark/>
          </w:tcPr>
          <w:p w14:paraId="732B626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22</w:t>
            </w:r>
          </w:p>
        </w:tc>
        <w:tc>
          <w:tcPr>
            <w:tcW w:w="556" w:type="pct"/>
            <w:shd w:val="clear" w:color="auto" w:fill="F2F2F2"/>
            <w:vAlign w:val="center"/>
            <w:hideMark/>
          </w:tcPr>
          <w:p w14:paraId="626B5F3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C2F96D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Public Order </w:t>
            </w:r>
          </w:p>
        </w:tc>
        <w:tc>
          <w:tcPr>
            <w:tcW w:w="658" w:type="pct"/>
            <w:shd w:val="clear" w:color="auto" w:fill="F2F2F2"/>
            <w:vAlign w:val="center"/>
            <w:hideMark/>
          </w:tcPr>
          <w:p w14:paraId="58B9BCB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were the main reasons for the difficulties encountered?</w:t>
            </w:r>
          </w:p>
        </w:tc>
        <w:tc>
          <w:tcPr>
            <w:tcW w:w="708" w:type="pct"/>
            <w:shd w:val="clear" w:color="auto" w:fill="F2F2F2"/>
            <w:vAlign w:val="center"/>
            <w:hideMark/>
          </w:tcPr>
          <w:p w14:paraId="6889D52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*Lack of clarity on the rules to be followed</w:t>
            </w:r>
            <w:r w:rsidRPr="001D5EAD">
              <w:rPr>
                <w:rFonts w:ascii="Verdana" w:hAnsi="Verdana"/>
                <w:noProof/>
                <w:sz w:val="16"/>
                <w:szCs w:val="16"/>
              </w:rPr>
              <w:br/>
              <w:t xml:space="preserve">*Missing or unclear points of contact </w:t>
            </w:r>
            <w:r w:rsidRPr="001D5EAD">
              <w:rPr>
                <w:rFonts w:ascii="Verdana" w:hAnsi="Verdana"/>
                <w:noProof/>
                <w:sz w:val="16"/>
                <w:szCs w:val="16"/>
              </w:rPr>
              <w:br/>
              <w:t>*Time delays</w:t>
            </w:r>
            <w:r w:rsidRPr="001D5EAD">
              <w:rPr>
                <w:rFonts w:ascii="Verdana" w:hAnsi="Verdana"/>
                <w:noProof/>
                <w:sz w:val="16"/>
                <w:szCs w:val="16"/>
              </w:rPr>
              <w:br/>
              <w:t>*Language barriers</w:t>
            </w:r>
            <w:r w:rsidRPr="001D5EAD">
              <w:rPr>
                <w:rFonts w:ascii="Verdana" w:hAnsi="Verdana"/>
                <w:noProof/>
                <w:sz w:val="16"/>
                <w:szCs w:val="16"/>
              </w:rPr>
              <w:br/>
              <w:t>*Different rules applicable to the same criminal act and investigative tools in the other country</w:t>
            </w:r>
            <w:r w:rsidRPr="001D5EAD">
              <w:rPr>
                <w:rFonts w:ascii="Verdana" w:hAnsi="Verdana"/>
                <w:noProof/>
                <w:sz w:val="16"/>
                <w:szCs w:val="16"/>
              </w:rPr>
              <w:br/>
              <w:t>*High number of administrative requirements to comply with</w:t>
            </w:r>
            <w:r w:rsidRPr="001D5EAD">
              <w:rPr>
                <w:rFonts w:ascii="Verdana" w:hAnsi="Verdana"/>
                <w:noProof/>
                <w:sz w:val="16"/>
                <w:szCs w:val="16"/>
              </w:rPr>
              <w:br/>
              <w:t>*Lack of trust</w:t>
            </w:r>
            <w:r w:rsidRPr="001D5EAD">
              <w:rPr>
                <w:rFonts w:ascii="Verdana" w:hAnsi="Verdana"/>
                <w:noProof/>
                <w:sz w:val="16"/>
                <w:szCs w:val="16"/>
              </w:rPr>
              <w:br/>
              <w:t>*Other (please specify;</w:t>
            </w:r>
          </w:p>
        </w:tc>
        <w:tc>
          <w:tcPr>
            <w:tcW w:w="291" w:type="pct"/>
            <w:shd w:val="clear" w:color="auto" w:fill="F2F2F2"/>
            <w:noWrap/>
            <w:vAlign w:val="center"/>
            <w:hideMark/>
          </w:tcPr>
          <w:p w14:paraId="0AC3321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D65EFB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AAA9C12"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0E322EC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639C37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10C7C0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6FF038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037ADA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423C14E" w14:textId="77777777" w:rsidTr="00237337">
        <w:trPr>
          <w:trHeight w:val="20"/>
        </w:trPr>
        <w:tc>
          <w:tcPr>
            <w:tcW w:w="252" w:type="pct"/>
            <w:shd w:val="clear" w:color="auto" w:fill="F2F2F2"/>
            <w:vAlign w:val="center"/>
            <w:hideMark/>
          </w:tcPr>
          <w:p w14:paraId="688E461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23</w:t>
            </w:r>
          </w:p>
        </w:tc>
        <w:tc>
          <w:tcPr>
            <w:tcW w:w="556" w:type="pct"/>
            <w:shd w:val="clear" w:color="auto" w:fill="F2F2F2"/>
            <w:vAlign w:val="center"/>
            <w:hideMark/>
          </w:tcPr>
          <w:p w14:paraId="352405F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204FF1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Public Order </w:t>
            </w:r>
          </w:p>
        </w:tc>
        <w:tc>
          <w:tcPr>
            <w:tcW w:w="658" w:type="pct"/>
            <w:shd w:val="clear" w:color="auto" w:fill="F2F2F2"/>
            <w:vAlign w:val="center"/>
            <w:hideMark/>
          </w:tcPr>
          <w:p w14:paraId="54BAD79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What were the main consequences of the difficulties encountered? </w:t>
            </w:r>
          </w:p>
        </w:tc>
        <w:tc>
          <w:tcPr>
            <w:tcW w:w="708" w:type="pct"/>
            <w:shd w:val="clear" w:color="auto" w:fill="F2F2F2"/>
            <w:vAlign w:val="center"/>
            <w:hideMark/>
          </w:tcPr>
          <w:p w14:paraId="1EEDAB9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*Increase of time needed for the operation</w:t>
            </w:r>
            <w:r w:rsidRPr="001D5EAD">
              <w:rPr>
                <w:rFonts w:ascii="Verdana" w:hAnsi="Verdana"/>
                <w:noProof/>
                <w:sz w:val="16"/>
                <w:szCs w:val="16"/>
              </w:rPr>
              <w:br/>
              <w:t>*Costs for complying with unexpected requirements</w:t>
            </w:r>
            <w:r w:rsidRPr="001D5EAD">
              <w:rPr>
                <w:rFonts w:ascii="Verdana" w:hAnsi="Verdana"/>
                <w:noProof/>
                <w:sz w:val="16"/>
                <w:szCs w:val="16"/>
              </w:rPr>
              <w:br/>
              <w:t>*Impossibility to continue the operation</w:t>
            </w:r>
            <w:r w:rsidRPr="001D5EAD">
              <w:rPr>
                <w:rFonts w:ascii="Verdana" w:hAnsi="Verdana"/>
                <w:noProof/>
                <w:sz w:val="16"/>
                <w:szCs w:val="16"/>
              </w:rPr>
              <w:br/>
              <w:t>*Other (please specify)</w:t>
            </w:r>
          </w:p>
        </w:tc>
        <w:tc>
          <w:tcPr>
            <w:tcW w:w="291" w:type="pct"/>
            <w:shd w:val="clear" w:color="auto" w:fill="F2F2F2"/>
            <w:noWrap/>
            <w:vAlign w:val="center"/>
            <w:hideMark/>
          </w:tcPr>
          <w:p w14:paraId="1EDBF99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80247B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A85B34A"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463BCAC4"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EDE937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BCC73B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D80A0A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A9F163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363C9DC" w14:textId="77777777" w:rsidTr="00237337">
        <w:trPr>
          <w:trHeight w:val="20"/>
        </w:trPr>
        <w:tc>
          <w:tcPr>
            <w:tcW w:w="252" w:type="pct"/>
            <w:shd w:val="clear" w:color="auto" w:fill="F2F2F2"/>
            <w:vAlign w:val="center"/>
            <w:hideMark/>
          </w:tcPr>
          <w:p w14:paraId="6ABB7CD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24</w:t>
            </w:r>
          </w:p>
        </w:tc>
        <w:tc>
          <w:tcPr>
            <w:tcW w:w="556" w:type="pct"/>
            <w:shd w:val="clear" w:color="auto" w:fill="F2F2F2"/>
            <w:vAlign w:val="center"/>
            <w:hideMark/>
          </w:tcPr>
          <w:p w14:paraId="35B1241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67C253F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Public Order </w:t>
            </w:r>
          </w:p>
        </w:tc>
        <w:tc>
          <w:tcPr>
            <w:tcW w:w="658" w:type="pct"/>
            <w:shd w:val="clear" w:color="auto" w:fill="F2F2F2"/>
            <w:vAlign w:val="center"/>
            <w:hideMark/>
          </w:tcPr>
          <w:p w14:paraId="251CA4E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difficulties encountered brought to time delays, can you please estimate these delays?</w:t>
            </w:r>
          </w:p>
        </w:tc>
        <w:tc>
          <w:tcPr>
            <w:tcW w:w="708" w:type="pct"/>
            <w:shd w:val="clear" w:color="auto" w:fill="F2F2F2"/>
            <w:vAlign w:val="center"/>
            <w:hideMark/>
          </w:tcPr>
          <w:p w14:paraId="56EF91F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1-7 days</w:t>
            </w:r>
            <w:r w:rsidRPr="001D5EAD">
              <w:rPr>
                <w:rFonts w:ascii="Verdana" w:hAnsi="Verdana"/>
                <w:noProof/>
                <w:sz w:val="16"/>
                <w:szCs w:val="16"/>
              </w:rPr>
              <w:br/>
              <w:t>* 2-4 weeks</w:t>
            </w:r>
            <w:r w:rsidRPr="001D5EAD">
              <w:rPr>
                <w:rFonts w:ascii="Verdana" w:hAnsi="Verdana"/>
                <w:noProof/>
                <w:sz w:val="16"/>
                <w:szCs w:val="16"/>
              </w:rPr>
              <w:br/>
              <w:t>*2-3 months</w:t>
            </w:r>
            <w:r w:rsidRPr="001D5EAD">
              <w:rPr>
                <w:rFonts w:ascii="Verdana" w:hAnsi="Verdana"/>
                <w:noProof/>
                <w:sz w:val="16"/>
                <w:szCs w:val="16"/>
              </w:rPr>
              <w:br/>
              <w:t>*More than 3 months</w:t>
            </w:r>
            <w:r w:rsidRPr="001D5EAD">
              <w:rPr>
                <w:rFonts w:ascii="Verdana" w:hAnsi="Verdana"/>
                <w:noProof/>
                <w:sz w:val="16"/>
                <w:szCs w:val="16"/>
              </w:rPr>
              <w:br/>
              <w:t>*Don't know</w:t>
            </w:r>
          </w:p>
        </w:tc>
        <w:tc>
          <w:tcPr>
            <w:tcW w:w="291" w:type="pct"/>
            <w:shd w:val="clear" w:color="auto" w:fill="F2F2F2"/>
            <w:noWrap/>
            <w:vAlign w:val="center"/>
            <w:hideMark/>
          </w:tcPr>
          <w:p w14:paraId="3FBF1B8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18FD46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5D3218C"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2FBAB3F4"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896650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CAF22D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5D7CB9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2AA895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3B2D9BC" w14:textId="77777777" w:rsidTr="00237337">
        <w:trPr>
          <w:trHeight w:val="20"/>
        </w:trPr>
        <w:tc>
          <w:tcPr>
            <w:tcW w:w="252" w:type="pct"/>
            <w:shd w:val="clear" w:color="auto" w:fill="F2F2F2"/>
            <w:vAlign w:val="center"/>
            <w:hideMark/>
          </w:tcPr>
          <w:p w14:paraId="5643F56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25</w:t>
            </w:r>
          </w:p>
        </w:tc>
        <w:tc>
          <w:tcPr>
            <w:tcW w:w="556" w:type="pct"/>
            <w:shd w:val="clear" w:color="auto" w:fill="F2F2F2"/>
            <w:vAlign w:val="center"/>
            <w:hideMark/>
          </w:tcPr>
          <w:p w14:paraId="082A739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FA2504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Public Order </w:t>
            </w:r>
          </w:p>
        </w:tc>
        <w:tc>
          <w:tcPr>
            <w:tcW w:w="658" w:type="pct"/>
            <w:shd w:val="clear" w:color="auto" w:fill="F2F2F2"/>
            <w:vAlign w:val="center"/>
            <w:hideMark/>
          </w:tcPr>
          <w:p w14:paraId="70EDE85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difficulties encountered brought to additional costs, can you please indicate the type of costs?</w:t>
            </w:r>
          </w:p>
        </w:tc>
        <w:tc>
          <w:tcPr>
            <w:tcW w:w="708" w:type="pct"/>
            <w:shd w:val="clear" w:color="auto" w:fill="F2F2F2"/>
            <w:vAlign w:val="center"/>
            <w:hideMark/>
          </w:tcPr>
          <w:p w14:paraId="71F72ED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*Costs related to additional staff needed</w:t>
            </w:r>
            <w:r w:rsidRPr="001D5EAD">
              <w:rPr>
                <w:rFonts w:ascii="Verdana" w:hAnsi="Verdana"/>
                <w:noProof/>
                <w:sz w:val="16"/>
                <w:szCs w:val="16"/>
              </w:rPr>
              <w:br/>
              <w:t>*Costs related to the compliance with unexpected requirements of the other country</w:t>
            </w:r>
            <w:r w:rsidRPr="001D5EAD">
              <w:rPr>
                <w:rFonts w:ascii="Verdana" w:hAnsi="Verdana"/>
                <w:noProof/>
                <w:sz w:val="16"/>
                <w:szCs w:val="16"/>
              </w:rPr>
              <w:br/>
              <w:t>*Costs related to the purchase of new equipment</w:t>
            </w:r>
            <w:r w:rsidRPr="001D5EAD">
              <w:rPr>
                <w:rFonts w:ascii="Verdana" w:hAnsi="Verdana"/>
                <w:noProof/>
                <w:sz w:val="16"/>
                <w:szCs w:val="16"/>
              </w:rPr>
              <w:br/>
              <w:t>*Other costs (please specify)</w:t>
            </w:r>
          </w:p>
        </w:tc>
        <w:tc>
          <w:tcPr>
            <w:tcW w:w="291" w:type="pct"/>
            <w:shd w:val="clear" w:color="auto" w:fill="F2F2F2"/>
            <w:noWrap/>
            <w:vAlign w:val="center"/>
            <w:hideMark/>
          </w:tcPr>
          <w:p w14:paraId="32CBE04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267708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5551DD2"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0D65EA44"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9D8F88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3C384B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EC6943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3306C2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FE9A7ED" w14:textId="77777777" w:rsidTr="00237337">
        <w:trPr>
          <w:trHeight w:val="20"/>
        </w:trPr>
        <w:tc>
          <w:tcPr>
            <w:tcW w:w="252" w:type="pct"/>
            <w:shd w:val="clear" w:color="auto" w:fill="F2F2F2"/>
            <w:vAlign w:val="center"/>
            <w:hideMark/>
          </w:tcPr>
          <w:p w14:paraId="7F57BD8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26</w:t>
            </w:r>
          </w:p>
        </w:tc>
        <w:tc>
          <w:tcPr>
            <w:tcW w:w="556" w:type="pct"/>
            <w:shd w:val="clear" w:color="auto" w:fill="F2F2F2"/>
            <w:vAlign w:val="center"/>
            <w:hideMark/>
          </w:tcPr>
          <w:p w14:paraId="640F327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36100F9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Operational cooperation - structures</w:t>
            </w:r>
          </w:p>
        </w:tc>
        <w:tc>
          <w:tcPr>
            <w:tcW w:w="658" w:type="pct"/>
            <w:shd w:val="clear" w:color="auto" w:fill="F2F2F2"/>
            <w:vAlign w:val="center"/>
            <w:hideMark/>
          </w:tcPr>
          <w:p w14:paraId="2133FB1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do you use the following structures to cooperate with other law enforcement authorities in other countries?*</w:t>
            </w:r>
          </w:p>
        </w:tc>
        <w:tc>
          <w:tcPr>
            <w:tcW w:w="708" w:type="pct"/>
            <w:shd w:val="clear" w:color="auto" w:fill="F2F2F2"/>
            <w:vAlign w:val="center"/>
            <w:hideMark/>
          </w:tcPr>
          <w:p w14:paraId="6233666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*Single Points of Contact (SPOCs) </w:t>
            </w:r>
            <w:r w:rsidRPr="001D5EAD">
              <w:rPr>
                <w:rFonts w:ascii="Verdana" w:hAnsi="Verdana"/>
                <w:noProof/>
                <w:sz w:val="16"/>
                <w:szCs w:val="16"/>
              </w:rPr>
              <w:br/>
              <w:t>*Police Customs Cooperation Centres (PCCCs)</w:t>
            </w:r>
            <w:r w:rsidRPr="001D5EAD">
              <w:rPr>
                <w:rFonts w:ascii="Verdana" w:hAnsi="Verdana"/>
                <w:noProof/>
                <w:sz w:val="16"/>
                <w:szCs w:val="16"/>
              </w:rPr>
              <w:br/>
              <w:t>*National SIRENE Bureaux</w:t>
            </w:r>
            <w:r w:rsidRPr="001D5EAD">
              <w:rPr>
                <w:rFonts w:ascii="Verdana" w:hAnsi="Verdana"/>
                <w:noProof/>
                <w:sz w:val="16"/>
                <w:szCs w:val="16"/>
              </w:rPr>
              <w:br/>
              <w:t>*Europol National Units</w:t>
            </w:r>
            <w:r w:rsidRPr="001D5EAD">
              <w:rPr>
                <w:rFonts w:ascii="Verdana" w:hAnsi="Verdana"/>
                <w:noProof/>
                <w:sz w:val="16"/>
                <w:szCs w:val="16"/>
              </w:rPr>
              <w:br/>
              <w:t xml:space="preserve">*Europol Liaison Officers </w:t>
            </w:r>
            <w:r w:rsidRPr="001D5EAD">
              <w:rPr>
                <w:rFonts w:ascii="Verdana" w:hAnsi="Verdana"/>
                <w:noProof/>
                <w:sz w:val="16"/>
                <w:szCs w:val="16"/>
              </w:rPr>
              <w:br/>
              <w:t>*Football Points of Contact</w:t>
            </w:r>
          </w:p>
        </w:tc>
        <w:tc>
          <w:tcPr>
            <w:tcW w:w="291" w:type="pct"/>
            <w:shd w:val="clear" w:color="auto" w:fill="F2F2F2"/>
            <w:noWrap/>
            <w:vAlign w:val="center"/>
            <w:hideMark/>
          </w:tcPr>
          <w:p w14:paraId="68EC9C9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83F390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C7B669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51A4B7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CCD49E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A98F59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9117C9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EE485B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AC28D98" w14:textId="77777777" w:rsidTr="00237337">
        <w:trPr>
          <w:trHeight w:val="20"/>
        </w:trPr>
        <w:tc>
          <w:tcPr>
            <w:tcW w:w="252" w:type="pct"/>
            <w:shd w:val="clear" w:color="auto" w:fill="F2F2F2"/>
            <w:vAlign w:val="center"/>
            <w:hideMark/>
          </w:tcPr>
          <w:p w14:paraId="31DBF3A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27</w:t>
            </w:r>
          </w:p>
        </w:tc>
        <w:tc>
          <w:tcPr>
            <w:tcW w:w="556" w:type="pct"/>
            <w:shd w:val="clear" w:color="auto" w:fill="F2F2F2"/>
            <w:vAlign w:val="center"/>
            <w:hideMark/>
          </w:tcPr>
          <w:p w14:paraId="5E1F559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323485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Operational cooperation - structures</w:t>
            </w:r>
          </w:p>
        </w:tc>
        <w:tc>
          <w:tcPr>
            <w:tcW w:w="658" w:type="pct"/>
            <w:shd w:val="clear" w:color="auto" w:fill="F2F2F2"/>
            <w:vAlign w:val="center"/>
            <w:hideMark/>
          </w:tcPr>
          <w:p w14:paraId="2B9BEEB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Please list any other structures, not listed in the question above, that you use to facilitate cooperation with law enforcement authorities in other countries? </w:t>
            </w:r>
          </w:p>
        </w:tc>
        <w:tc>
          <w:tcPr>
            <w:tcW w:w="708" w:type="pct"/>
            <w:shd w:val="clear" w:color="auto" w:fill="F2F2F2"/>
            <w:vAlign w:val="center"/>
            <w:hideMark/>
          </w:tcPr>
          <w:p w14:paraId="18213DD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4E4E41C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B3DBBD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A5B22E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557F4C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A565AE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DEAE76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7BC21D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76A797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ED46E84" w14:textId="77777777" w:rsidTr="00237337">
        <w:trPr>
          <w:trHeight w:val="20"/>
        </w:trPr>
        <w:tc>
          <w:tcPr>
            <w:tcW w:w="252" w:type="pct"/>
            <w:shd w:val="clear" w:color="auto" w:fill="F2F2F2"/>
            <w:vAlign w:val="center"/>
            <w:hideMark/>
          </w:tcPr>
          <w:p w14:paraId="04BEBF0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28</w:t>
            </w:r>
          </w:p>
        </w:tc>
        <w:tc>
          <w:tcPr>
            <w:tcW w:w="556" w:type="pct"/>
            <w:shd w:val="clear" w:color="auto" w:fill="F2F2F2"/>
            <w:vAlign w:val="center"/>
            <w:hideMark/>
          </w:tcPr>
          <w:p w14:paraId="24B291C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190831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Operational cooperation - structures</w:t>
            </w:r>
          </w:p>
        </w:tc>
        <w:tc>
          <w:tcPr>
            <w:tcW w:w="658" w:type="pct"/>
            <w:shd w:val="clear" w:color="auto" w:fill="F2F2F2"/>
            <w:vAlign w:val="center"/>
            <w:hideMark/>
          </w:tcPr>
          <w:p w14:paraId="50031CB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are the following structures effective in facilitating cross border cooperation between law enforcement authorities in your country and law enforcement authorities in other countries?*</w:t>
            </w:r>
          </w:p>
        </w:tc>
        <w:tc>
          <w:tcPr>
            <w:tcW w:w="708" w:type="pct"/>
            <w:shd w:val="clear" w:color="auto" w:fill="F2F2F2"/>
            <w:vAlign w:val="center"/>
            <w:hideMark/>
          </w:tcPr>
          <w:p w14:paraId="2270A9D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*Single Points of Contact (SPOCs) </w:t>
            </w:r>
            <w:r w:rsidRPr="001D5EAD">
              <w:rPr>
                <w:rFonts w:ascii="Verdana" w:hAnsi="Verdana"/>
                <w:noProof/>
                <w:sz w:val="16"/>
                <w:szCs w:val="16"/>
              </w:rPr>
              <w:br/>
              <w:t>*Police Customs Cooperation Centres (PCCCs)</w:t>
            </w:r>
            <w:r w:rsidRPr="001D5EAD">
              <w:rPr>
                <w:rFonts w:ascii="Verdana" w:hAnsi="Verdana"/>
                <w:noProof/>
                <w:sz w:val="16"/>
                <w:szCs w:val="16"/>
              </w:rPr>
              <w:br/>
              <w:t>*National SIRENE Bureaux</w:t>
            </w:r>
            <w:r w:rsidRPr="001D5EAD">
              <w:rPr>
                <w:rFonts w:ascii="Verdana" w:hAnsi="Verdana"/>
                <w:noProof/>
                <w:sz w:val="16"/>
                <w:szCs w:val="16"/>
              </w:rPr>
              <w:br/>
              <w:t>*Europol National Units</w:t>
            </w:r>
            <w:r w:rsidRPr="001D5EAD">
              <w:rPr>
                <w:rFonts w:ascii="Verdana" w:hAnsi="Verdana"/>
                <w:noProof/>
                <w:sz w:val="16"/>
                <w:szCs w:val="16"/>
              </w:rPr>
              <w:br/>
              <w:t xml:space="preserve">*Europol Liaison Officers </w:t>
            </w:r>
            <w:r w:rsidRPr="001D5EAD">
              <w:rPr>
                <w:rFonts w:ascii="Verdana" w:hAnsi="Verdana"/>
                <w:noProof/>
                <w:sz w:val="16"/>
                <w:szCs w:val="16"/>
              </w:rPr>
              <w:br/>
              <w:t>*Football Points of contact</w:t>
            </w:r>
          </w:p>
        </w:tc>
        <w:tc>
          <w:tcPr>
            <w:tcW w:w="291" w:type="pct"/>
            <w:shd w:val="clear" w:color="auto" w:fill="F2F2F2"/>
            <w:noWrap/>
            <w:vAlign w:val="center"/>
            <w:hideMark/>
          </w:tcPr>
          <w:p w14:paraId="572F5F8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F70F5D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B94289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3DE65A3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91FA14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D7B34E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AAA45E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148BF0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CE07D24" w14:textId="77777777" w:rsidTr="00237337">
        <w:trPr>
          <w:trHeight w:val="20"/>
        </w:trPr>
        <w:tc>
          <w:tcPr>
            <w:tcW w:w="252" w:type="pct"/>
            <w:shd w:val="clear" w:color="auto" w:fill="F2F2F2"/>
            <w:vAlign w:val="center"/>
            <w:hideMark/>
          </w:tcPr>
          <w:p w14:paraId="66A0A00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29</w:t>
            </w:r>
          </w:p>
        </w:tc>
        <w:tc>
          <w:tcPr>
            <w:tcW w:w="556" w:type="pct"/>
            <w:shd w:val="clear" w:color="auto" w:fill="F2F2F2"/>
            <w:vAlign w:val="center"/>
            <w:hideMark/>
          </w:tcPr>
          <w:p w14:paraId="3B284A4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13B5FA1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 structures </w:t>
            </w:r>
          </w:p>
        </w:tc>
        <w:tc>
          <w:tcPr>
            <w:tcW w:w="658" w:type="pct"/>
            <w:shd w:val="clear" w:color="auto" w:fill="F2F2F2"/>
            <w:vAlign w:val="center"/>
            <w:hideMark/>
          </w:tcPr>
          <w:p w14:paraId="4748AAC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do the following issues hamper cross border law enforcement cooperation using the structures listed above?*</w:t>
            </w:r>
          </w:p>
        </w:tc>
        <w:tc>
          <w:tcPr>
            <w:tcW w:w="708" w:type="pct"/>
            <w:shd w:val="clear" w:color="auto" w:fill="F2F2F2"/>
            <w:vAlign w:val="center"/>
            <w:hideMark/>
          </w:tcPr>
          <w:p w14:paraId="49CBC33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*Confusion caused by the number of different points of contact in the countries (for example, liaison officers, Single Points Of Contacts - SPOCs, SIRENE Bureaux, ENUs, Police Customs Cooperation Centres - PCCCs, SIRENE Bureaux etc.)</w:t>
            </w:r>
            <w:r w:rsidRPr="001D5EAD">
              <w:rPr>
                <w:rFonts w:ascii="Verdana" w:hAnsi="Verdana"/>
                <w:noProof/>
                <w:sz w:val="16"/>
                <w:szCs w:val="16"/>
              </w:rPr>
              <w:br/>
              <w:t>*Differences between countries in the way that SPOCs are structured</w:t>
            </w:r>
            <w:r w:rsidRPr="001D5EAD">
              <w:rPr>
                <w:rFonts w:ascii="Verdana" w:hAnsi="Verdana"/>
                <w:noProof/>
                <w:sz w:val="16"/>
                <w:szCs w:val="16"/>
              </w:rPr>
              <w:br/>
              <w:t xml:space="preserve">*SPOCs and PCCCs are not coordinated </w:t>
            </w:r>
            <w:r w:rsidRPr="001D5EAD">
              <w:rPr>
                <w:rFonts w:ascii="Verdana" w:hAnsi="Verdana"/>
                <w:noProof/>
                <w:sz w:val="16"/>
                <w:szCs w:val="16"/>
              </w:rPr>
              <w:br/>
              <w:t>*Law enforcement practitioners are not aware of factsheets and manuals explaining the different roles and responsibilities</w:t>
            </w:r>
            <w:r w:rsidRPr="001D5EAD">
              <w:rPr>
                <w:rFonts w:ascii="Verdana" w:hAnsi="Verdana"/>
                <w:noProof/>
                <w:sz w:val="16"/>
                <w:szCs w:val="16"/>
              </w:rPr>
              <w:br/>
              <w:t xml:space="preserve">*Factsheets and manuals providing implementation guidance are not kept up to date/are not clear, precise, committal enough to ensure proper implementation? </w:t>
            </w:r>
            <w:r w:rsidRPr="001D5EAD">
              <w:rPr>
                <w:rFonts w:ascii="Verdana" w:hAnsi="Verdana"/>
                <w:noProof/>
                <w:sz w:val="16"/>
                <w:szCs w:val="16"/>
              </w:rPr>
              <w:br/>
              <w:t>*Lack of communication and coordination between different law enforcement authorities within countries</w:t>
            </w:r>
            <w:r w:rsidRPr="001D5EAD">
              <w:rPr>
                <w:rFonts w:ascii="Verdana" w:hAnsi="Verdana"/>
                <w:noProof/>
                <w:sz w:val="16"/>
                <w:szCs w:val="16"/>
              </w:rPr>
              <w:br/>
              <w:t>*Lack of coordination between law enforcement and judicial authorities within countries</w:t>
            </w:r>
            <w:r w:rsidRPr="001D5EAD">
              <w:rPr>
                <w:rFonts w:ascii="Verdana" w:hAnsi="Verdana"/>
                <w:noProof/>
                <w:sz w:val="16"/>
                <w:szCs w:val="16"/>
              </w:rPr>
              <w:br/>
              <w:t xml:space="preserve">*Lack of coordination between policing and customs authorities within countries </w:t>
            </w:r>
            <w:r w:rsidRPr="001D5EAD">
              <w:rPr>
                <w:rFonts w:ascii="Verdana" w:hAnsi="Verdana"/>
                <w:noProof/>
                <w:sz w:val="16"/>
                <w:szCs w:val="16"/>
              </w:rPr>
              <w:br/>
              <w:t xml:space="preserve">*Developments in relation to customs cooperation have occurred in parallel to the EU legal framework for law enforcement cooperation thus creating risks of duplications, inconsistencies and inefficiencies in operational situations </w:t>
            </w:r>
          </w:p>
        </w:tc>
        <w:tc>
          <w:tcPr>
            <w:tcW w:w="291" w:type="pct"/>
            <w:shd w:val="clear" w:color="auto" w:fill="F2F2F2"/>
            <w:noWrap/>
            <w:vAlign w:val="center"/>
            <w:hideMark/>
          </w:tcPr>
          <w:p w14:paraId="290D270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89E9EF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84553C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6AAEDD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6739CD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C54930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398A8B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28C568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0E42068" w14:textId="77777777" w:rsidTr="00237337">
        <w:trPr>
          <w:trHeight w:val="20"/>
        </w:trPr>
        <w:tc>
          <w:tcPr>
            <w:tcW w:w="252" w:type="pct"/>
            <w:shd w:val="clear" w:color="auto" w:fill="F2F2F2"/>
            <w:vAlign w:val="center"/>
            <w:hideMark/>
          </w:tcPr>
          <w:p w14:paraId="5B2DB0D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30</w:t>
            </w:r>
          </w:p>
        </w:tc>
        <w:tc>
          <w:tcPr>
            <w:tcW w:w="556" w:type="pct"/>
            <w:shd w:val="clear" w:color="auto" w:fill="F2F2F2"/>
            <w:vAlign w:val="center"/>
            <w:hideMark/>
          </w:tcPr>
          <w:p w14:paraId="02E5C4A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3B61C6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Operational cooperation - structures </w:t>
            </w:r>
          </w:p>
        </w:tc>
        <w:tc>
          <w:tcPr>
            <w:tcW w:w="658" w:type="pct"/>
            <w:shd w:val="clear" w:color="auto" w:fill="F2F2F2"/>
            <w:vAlign w:val="center"/>
            <w:hideMark/>
          </w:tcPr>
          <w:p w14:paraId="3C6B635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Please provide further information and examples to illustrate the issues that hamper the use of the structures listed above. </w:t>
            </w:r>
          </w:p>
        </w:tc>
        <w:tc>
          <w:tcPr>
            <w:tcW w:w="708" w:type="pct"/>
            <w:shd w:val="clear" w:color="auto" w:fill="F2F2F2"/>
            <w:vAlign w:val="center"/>
            <w:hideMark/>
          </w:tcPr>
          <w:p w14:paraId="7ECE267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45A68FB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1E4AD0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CCE08C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733BF7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744234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C0A0A6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83CC57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E702FB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DB6286F" w14:textId="77777777" w:rsidTr="00237337">
        <w:trPr>
          <w:trHeight w:val="20"/>
        </w:trPr>
        <w:tc>
          <w:tcPr>
            <w:tcW w:w="252" w:type="pct"/>
            <w:shd w:val="clear" w:color="auto" w:fill="F2F2F2"/>
            <w:vAlign w:val="center"/>
            <w:hideMark/>
          </w:tcPr>
          <w:p w14:paraId="1ABBF8D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31</w:t>
            </w:r>
          </w:p>
        </w:tc>
        <w:tc>
          <w:tcPr>
            <w:tcW w:w="556" w:type="pct"/>
            <w:shd w:val="clear" w:color="auto" w:fill="F2F2F2"/>
            <w:vAlign w:val="center"/>
            <w:hideMark/>
          </w:tcPr>
          <w:p w14:paraId="38463FC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A0874F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Information exchange </w:t>
            </w:r>
          </w:p>
        </w:tc>
        <w:tc>
          <w:tcPr>
            <w:tcW w:w="658" w:type="pct"/>
            <w:shd w:val="clear" w:color="auto" w:fill="F2F2F2"/>
            <w:vAlign w:val="center"/>
            <w:hideMark/>
          </w:tcPr>
          <w:p w14:paraId="317B841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often do law enforcement authorities in your country undertake information sharing with law enforcement authorities in other countries in relation to the following criminal threats?*</w:t>
            </w:r>
          </w:p>
        </w:tc>
        <w:tc>
          <w:tcPr>
            <w:tcW w:w="708" w:type="pct"/>
            <w:shd w:val="clear" w:color="auto" w:fill="F2F2F2"/>
            <w:vAlign w:val="center"/>
            <w:hideMark/>
          </w:tcPr>
          <w:p w14:paraId="6A86485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*Drugs </w:t>
            </w:r>
            <w:r w:rsidRPr="001D5EAD">
              <w:rPr>
                <w:rFonts w:ascii="Verdana" w:hAnsi="Verdana"/>
                <w:noProof/>
                <w:sz w:val="16"/>
                <w:szCs w:val="16"/>
              </w:rPr>
              <w:br/>
              <w:t>*Illicit tobacco trade</w:t>
            </w:r>
            <w:r w:rsidRPr="001D5EAD">
              <w:rPr>
                <w:rFonts w:ascii="Verdana" w:hAnsi="Verdana"/>
                <w:noProof/>
                <w:sz w:val="16"/>
                <w:szCs w:val="16"/>
              </w:rPr>
              <w:br/>
              <w:t>*Trafficking in human beings</w:t>
            </w:r>
            <w:r w:rsidRPr="001D5EAD">
              <w:rPr>
                <w:rFonts w:ascii="Verdana" w:hAnsi="Verdana"/>
                <w:noProof/>
                <w:sz w:val="16"/>
                <w:szCs w:val="16"/>
              </w:rPr>
              <w:br/>
              <w:t>*Financial crimes</w:t>
            </w:r>
            <w:r w:rsidRPr="001D5EAD">
              <w:rPr>
                <w:rFonts w:ascii="Verdana" w:hAnsi="Verdana"/>
                <w:noProof/>
                <w:sz w:val="16"/>
                <w:szCs w:val="16"/>
              </w:rPr>
              <w:br/>
              <w:t>*Cybercrime</w:t>
            </w:r>
            <w:r w:rsidRPr="001D5EAD">
              <w:rPr>
                <w:rFonts w:ascii="Verdana" w:hAnsi="Verdana"/>
                <w:noProof/>
                <w:sz w:val="16"/>
                <w:szCs w:val="16"/>
              </w:rPr>
              <w:br/>
              <w:t>*Organised property crime</w:t>
            </w:r>
            <w:r w:rsidRPr="001D5EAD">
              <w:rPr>
                <w:rFonts w:ascii="Verdana" w:hAnsi="Verdana"/>
                <w:noProof/>
                <w:sz w:val="16"/>
                <w:szCs w:val="16"/>
              </w:rPr>
              <w:br/>
              <w:t>*Environmental crime</w:t>
            </w:r>
            <w:r w:rsidRPr="001D5EAD">
              <w:rPr>
                <w:rFonts w:ascii="Verdana" w:hAnsi="Verdana"/>
                <w:noProof/>
                <w:sz w:val="16"/>
                <w:szCs w:val="16"/>
              </w:rPr>
              <w:br/>
              <w:t>*Trafficking of firearms</w:t>
            </w:r>
            <w:r w:rsidRPr="001D5EAD">
              <w:rPr>
                <w:rFonts w:ascii="Verdana" w:hAnsi="Verdana"/>
                <w:noProof/>
                <w:sz w:val="16"/>
                <w:szCs w:val="16"/>
              </w:rPr>
              <w:br/>
              <w:t xml:space="preserve">*Illegal immigration </w:t>
            </w:r>
            <w:r w:rsidRPr="001D5EAD">
              <w:rPr>
                <w:rFonts w:ascii="Verdana" w:hAnsi="Verdana"/>
                <w:noProof/>
                <w:sz w:val="16"/>
                <w:szCs w:val="16"/>
              </w:rPr>
              <w:br/>
              <w:t>*Terrorism</w:t>
            </w:r>
          </w:p>
        </w:tc>
        <w:tc>
          <w:tcPr>
            <w:tcW w:w="291" w:type="pct"/>
            <w:shd w:val="clear" w:color="auto" w:fill="F2F2F2"/>
            <w:noWrap/>
            <w:vAlign w:val="center"/>
            <w:hideMark/>
          </w:tcPr>
          <w:p w14:paraId="3C91BBA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DD88FD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8122DD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C74DCE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A4A8CC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907EE2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04961E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A3CE8A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D22E437" w14:textId="77777777" w:rsidTr="00237337">
        <w:trPr>
          <w:trHeight w:val="20"/>
        </w:trPr>
        <w:tc>
          <w:tcPr>
            <w:tcW w:w="252" w:type="pct"/>
            <w:shd w:val="clear" w:color="auto" w:fill="F2F2F2"/>
            <w:vAlign w:val="center"/>
            <w:hideMark/>
          </w:tcPr>
          <w:p w14:paraId="403A036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32</w:t>
            </w:r>
          </w:p>
        </w:tc>
        <w:tc>
          <w:tcPr>
            <w:tcW w:w="556" w:type="pct"/>
            <w:shd w:val="clear" w:color="auto" w:fill="F2F2F2"/>
            <w:vAlign w:val="center"/>
            <w:hideMark/>
          </w:tcPr>
          <w:p w14:paraId="0CA11A4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1B79CE7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Information exchange </w:t>
            </w:r>
          </w:p>
        </w:tc>
        <w:tc>
          <w:tcPr>
            <w:tcW w:w="658" w:type="pct"/>
            <w:shd w:val="clear" w:color="auto" w:fill="F2F2F2"/>
            <w:vAlign w:val="center"/>
            <w:hideMark/>
          </w:tcPr>
          <w:p w14:paraId="2AF184D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often do law enforcement authorities in your country undertake information sharing with law enforcement authorities in other countries for public order purposes?*</w:t>
            </w:r>
          </w:p>
        </w:tc>
        <w:tc>
          <w:tcPr>
            <w:tcW w:w="708" w:type="pct"/>
            <w:shd w:val="clear" w:color="auto" w:fill="F2F2F2"/>
            <w:vAlign w:val="center"/>
            <w:hideMark/>
          </w:tcPr>
          <w:p w14:paraId="0E810F8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*Crises and disasters</w:t>
            </w:r>
            <w:r w:rsidRPr="001D5EAD">
              <w:rPr>
                <w:rFonts w:ascii="Verdana" w:hAnsi="Verdana"/>
                <w:noProof/>
                <w:sz w:val="16"/>
                <w:szCs w:val="16"/>
              </w:rPr>
              <w:br/>
              <w:t xml:space="preserve">*International sport/music/cultural events </w:t>
            </w:r>
            <w:r w:rsidRPr="001D5EAD">
              <w:rPr>
                <w:rFonts w:ascii="Verdana" w:hAnsi="Verdana"/>
                <w:noProof/>
                <w:sz w:val="16"/>
                <w:szCs w:val="16"/>
              </w:rPr>
              <w:br/>
              <w:t>*Flows of people moving for tourism</w:t>
            </w:r>
            <w:r w:rsidRPr="001D5EAD">
              <w:rPr>
                <w:rFonts w:ascii="Verdana" w:hAnsi="Verdana"/>
                <w:noProof/>
                <w:sz w:val="16"/>
                <w:szCs w:val="16"/>
              </w:rPr>
              <w:br/>
              <w:t>*Flows of people moving for work</w:t>
            </w:r>
            <w:r w:rsidRPr="001D5EAD">
              <w:rPr>
                <w:rFonts w:ascii="Verdana" w:hAnsi="Verdana"/>
                <w:noProof/>
                <w:sz w:val="16"/>
                <w:szCs w:val="16"/>
              </w:rPr>
              <w:br/>
              <w:t xml:space="preserve">*Protection of public figures </w:t>
            </w:r>
            <w:r w:rsidRPr="001D5EAD">
              <w:rPr>
                <w:rFonts w:ascii="Verdana" w:hAnsi="Verdana"/>
                <w:noProof/>
                <w:sz w:val="16"/>
                <w:szCs w:val="16"/>
              </w:rPr>
              <w:br/>
              <w:t>*Other (please specify)</w:t>
            </w:r>
          </w:p>
        </w:tc>
        <w:tc>
          <w:tcPr>
            <w:tcW w:w="291" w:type="pct"/>
            <w:shd w:val="clear" w:color="auto" w:fill="F2F2F2"/>
            <w:noWrap/>
            <w:vAlign w:val="center"/>
            <w:hideMark/>
          </w:tcPr>
          <w:p w14:paraId="083CAFF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B366F7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25FFE6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7B08AA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AC396C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C7B80D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90BB02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2072549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426B662" w14:textId="77777777" w:rsidTr="00237337">
        <w:trPr>
          <w:trHeight w:val="20"/>
        </w:trPr>
        <w:tc>
          <w:tcPr>
            <w:tcW w:w="252" w:type="pct"/>
            <w:shd w:val="clear" w:color="auto" w:fill="F2F2F2"/>
            <w:vAlign w:val="center"/>
            <w:hideMark/>
          </w:tcPr>
          <w:p w14:paraId="1E99EBE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33</w:t>
            </w:r>
          </w:p>
        </w:tc>
        <w:tc>
          <w:tcPr>
            <w:tcW w:w="556" w:type="pct"/>
            <w:shd w:val="clear" w:color="auto" w:fill="F2F2F2"/>
            <w:vAlign w:val="center"/>
            <w:hideMark/>
          </w:tcPr>
          <w:p w14:paraId="11FB88D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9BD28A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Information exchange </w:t>
            </w:r>
          </w:p>
        </w:tc>
        <w:tc>
          <w:tcPr>
            <w:tcW w:w="658" w:type="pct"/>
            <w:shd w:val="clear" w:color="auto" w:fill="F2F2F2"/>
            <w:vAlign w:val="center"/>
            <w:hideMark/>
          </w:tcPr>
          <w:p w14:paraId="68CD36E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Out of all cases where your country shared information with other countries, what was the share of problematic cases?*</w:t>
            </w:r>
          </w:p>
        </w:tc>
        <w:tc>
          <w:tcPr>
            <w:tcW w:w="708" w:type="pct"/>
            <w:shd w:val="clear" w:color="auto" w:fill="F2F2F2"/>
            <w:vAlign w:val="center"/>
            <w:hideMark/>
          </w:tcPr>
          <w:p w14:paraId="23C02A9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*Never had problematic cases</w:t>
            </w:r>
            <w:r w:rsidRPr="001D5EAD">
              <w:rPr>
                <w:rFonts w:ascii="Verdana" w:hAnsi="Verdana"/>
                <w:noProof/>
                <w:sz w:val="16"/>
                <w:szCs w:val="16"/>
              </w:rPr>
              <w:br/>
              <w:t>*0-20%</w:t>
            </w:r>
            <w:r w:rsidRPr="001D5EAD">
              <w:rPr>
                <w:rFonts w:ascii="Verdana" w:hAnsi="Verdana"/>
                <w:noProof/>
                <w:sz w:val="16"/>
                <w:szCs w:val="16"/>
              </w:rPr>
              <w:br/>
              <w:t>*20-40%</w:t>
            </w:r>
            <w:r w:rsidRPr="001D5EAD">
              <w:rPr>
                <w:rFonts w:ascii="Verdana" w:hAnsi="Verdana"/>
                <w:noProof/>
                <w:sz w:val="16"/>
                <w:szCs w:val="16"/>
              </w:rPr>
              <w:br/>
              <w:t>*40-60%</w:t>
            </w:r>
            <w:r w:rsidRPr="001D5EAD">
              <w:rPr>
                <w:rFonts w:ascii="Verdana" w:hAnsi="Verdana"/>
                <w:noProof/>
                <w:sz w:val="16"/>
                <w:szCs w:val="16"/>
              </w:rPr>
              <w:br/>
              <w:t>*60-80%</w:t>
            </w:r>
            <w:r w:rsidRPr="001D5EAD">
              <w:rPr>
                <w:rFonts w:ascii="Verdana" w:hAnsi="Verdana"/>
                <w:noProof/>
                <w:sz w:val="16"/>
                <w:szCs w:val="16"/>
              </w:rPr>
              <w:br/>
              <w:t>*80-100%</w:t>
            </w:r>
            <w:r w:rsidRPr="001D5EAD">
              <w:rPr>
                <w:rFonts w:ascii="Verdana" w:hAnsi="Verdana"/>
                <w:noProof/>
                <w:sz w:val="16"/>
                <w:szCs w:val="16"/>
              </w:rPr>
              <w:br/>
              <w:t>*All cases were problematic</w:t>
            </w:r>
          </w:p>
        </w:tc>
        <w:tc>
          <w:tcPr>
            <w:tcW w:w="291" w:type="pct"/>
            <w:shd w:val="clear" w:color="auto" w:fill="F2F2F2"/>
            <w:noWrap/>
            <w:vAlign w:val="center"/>
            <w:hideMark/>
          </w:tcPr>
          <w:p w14:paraId="1E2EA13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DEAD9C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5B250C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4D100D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118F95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62246E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C073D5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CC95DF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A200848" w14:textId="77777777" w:rsidTr="00237337">
        <w:trPr>
          <w:trHeight w:val="20"/>
        </w:trPr>
        <w:tc>
          <w:tcPr>
            <w:tcW w:w="252" w:type="pct"/>
            <w:shd w:val="clear" w:color="auto" w:fill="F2F2F2"/>
            <w:vAlign w:val="center"/>
            <w:hideMark/>
          </w:tcPr>
          <w:p w14:paraId="7C2F856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34</w:t>
            </w:r>
          </w:p>
        </w:tc>
        <w:tc>
          <w:tcPr>
            <w:tcW w:w="556" w:type="pct"/>
            <w:shd w:val="clear" w:color="auto" w:fill="F2F2F2"/>
            <w:vAlign w:val="center"/>
            <w:hideMark/>
          </w:tcPr>
          <w:p w14:paraId="461E667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174CA73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Information exchange </w:t>
            </w:r>
          </w:p>
        </w:tc>
        <w:tc>
          <w:tcPr>
            <w:tcW w:w="658" w:type="pct"/>
            <w:shd w:val="clear" w:color="auto" w:fill="F2F2F2"/>
            <w:vAlign w:val="center"/>
            <w:hideMark/>
          </w:tcPr>
          <w:p w14:paraId="72B88CC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were the main reasons for the difficulties encountered?</w:t>
            </w:r>
          </w:p>
        </w:tc>
        <w:tc>
          <w:tcPr>
            <w:tcW w:w="708" w:type="pct"/>
            <w:shd w:val="clear" w:color="auto" w:fill="F2F2F2"/>
            <w:vAlign w:val="center"/>
            <w:hideMark/>
          </w:tcPr>
          <w:p w14:paraId="2CFC876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*unclear rules to be followed </w:t>
            </w:r>
            <w:r w:rsidRPr="001D5EAD">
              <w:rPr>
                <w:rFonts w:ascii="Verdana" w:hAnsi="Verdana"/>
                <w:noProof/>
                <w:sz w:val="16"/>
                <w:szCs w:val="16"/>
              </w:rPr>
              <w:br/>
              <w:t xml:space="preserve">*missing or unclear points of contact </w:t>
            </w:r>
            <w:r w:rsidRPr="001D5EAD">
              <w:rPr>
                <w:rFonts w:ascii="Verdana" w:hAnsi="Verdana"/>
                <w:noProof/>
                <w:sz w:val="16"/>
                <w:szCs w:val="16"/>
              </w:rPr>
              <w:br/>
              <w:t>*time delays</w:t>
            </w:r>
            <w:r w:rsidRPr="001D5EAD">
              <w:rPr>
                <w:rFonts w:ascii="Verdana" w:hAnsi="Verdana"/>
                <w:noProof/>
                <w:sz w:val="16"/>
                <w:szCs w:val="16"/>
              </w:rPr>
              <w:br/>
              <w:t>*language barriers</w:t>
            </w:r>
            <w:r w:rsidRPr="001D5EAD">
              <w:rPr>
                <w:rFonts w:ascii="Verdana" w:hAnsi="Verdana"/>
                <w:noProof/>
                <w:sz w:val="16"/>
                <w:szCs w:val="16"/>
              </w:rPr>
              <w:br/>
              <w:t>*inadequate tools for the exchange of sensitive/confidential information</w:t>
            </w:r>
            <w:r w:rsidRPr="001D5EAD">
              <w:rPr>
                <w:rFonts w:ascii="Verdana" w:hAnsi="Verdana"/>
                <w:noProof/>
                <w:sz w:val="16"/>
                <w:szCs w:val="16"/>
              </w:rPr>
              <w:br/>
              <w:t>*high number of administrative requirement to comply with</w:t>
            </w:r>
            <w:r w:rsidRPr="001D5EAD">
              <w:rPr>
                <w:rFonts w:ascii="Verdana" w:hAnsi="Verdana"/>
                <w:noProof/>
                <w:sz w:val="16"/>
                <w:szCs w:val="16"/>
              </w:rPr>
              <w:br/>
              <w:t>*lack of trust</w:t>
            </w:r>
            <w:r w:rsidRPr="001D5EAD">
              <w:rPr>
                <w:rFonts w:ascii="Verdana" w:hAnsi="Verdana"/>
                <w:noProof/>
                <w:sz w:val="16"/>
                <w:szCs w:val="16"/>
              </w:rPr>
              <w:br/>
              <w:t>*other (please specify)</w:t>
            </w:r>
          </w:p>
        </w:tc>
        <w:tc>
          <w:tcPr>
            <w:tcW w:w="291" w:type="pct"/>
            <w:shd w:val="clear" w:color="auto" w:fill="F2F2F2"/>
            <w:noWrap/>
            <w:vAlign w:val="center"/>
            <w:hideMark/>
          </w:tcPr>
          <w:p w14:paraId="6EE44D2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7714C0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07E877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120327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B3D666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D8DA56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E0E43B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449B13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C1C6E08" w14:textId="77777777" w:rsidTr="00237337">
        <w:trPr>
          <w:trHeight w:val="20"/>
        </w:trPr>
        <w:tc>
          <w:tcPr>
            <w:tcW w:w="252" w:type="pct"/>
            <w:shd w:val="clear" w:color="auto" w:fill="F2F2F2"/>
            <w:vAlign w:val="center"/>
            <w:hideMark/>
          </w:tcPr>
          <w:p w14:paraId="19EA9DA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35</w:t>
            </w:r>
          </w:p>
        </w:tc>
        <w:tc>
          <w:tcPr>
            <w:tcW w:w="556" w:type="pct"/>
            <w:shd w:val="clear" w:color="auto" w:fill="F2F2F2"/>
            <w:vAlign w:val="center"/>
            <w:hideMark/>
          </w:tcPr>
          <w:p w14:paraId="58AFE8C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6F82594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Information exchange </w:t>
            </w:r>
          </w:p>
        </w:tc>
        <w:tc>
          <w:tcPr>
            <w:tcW w:w="658" w:type="pct"/>
            <w:shd w:val="clear" w:color="auto" w:fill="F2F2F2"/>
            <w:vAlign w:val="center"/>
            <w:hideMark/>
          </w:tcPr>
          <w:p w14:paraId="76A81F6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What were the main consequences of the difficulties encountered? </w:t>
            </w:r>
          </w:p>
        </w:tc>
        <w:tc>
          <w:tcPr>
            <w:tcW w:w="708" w:type="pct"/>
            <w:shd w:val="clear" w:color="auto" w:fill="F2F2F2"/>
            <w:vAlign w:val="center"/>
            <w:hideMark/>
          </w:tcPr>
          <w:p w14:paraId="2ACABDF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*Increase of time needed for the investigations/acquisition of intelligence</w:t>
            </w:r>
            <w:r w:rsidRPr="001D5EAD">
              <w:rPr>
                <w:rFonts w:ascii="Verdana" w:hAnsi="Verdana"/>
                <w:noProof/>
                <w:sz w:val="16"/>
                <w:szCs w:val="16"/>
              </w:rPr>
              <w:br/>
              <w:t>*Costs for complying with unexpected requirements</w:t>
            </w:r>
            <w:r w:rsidRPr="001D5EAD">
              <w:rPr>
                <w:rFonts w:ascii="Verdana" w:hAnsi="Verdana"/>
                <w:noProof/>
                <w:sz w:val="16"/>
                <w:szCs w:val="16"/>
              </w:rPr>
              <w:br/>
              <w:t>*Impossibility to continue the investigation/case</w:t>
            </w:r>
            <w:r w:rsidRPr="001D5EAD">
              <w:rPr>
                <w:rFonts w:ascii="Verdana" w:hAnsi="Verdana"/>
                <w:noProof/>
                <w:sz w:val="16"/>
                <w:szCs w:val="16"/>
              </w:rPr>
              <w:br/>
              <w:t>*Other (please specify)</w:t>
            </w:r>
          </w:p>
        </w:tc>
        <w:tc>
          <w:tcPr>
            <w:tcW w:w="291" w:type="pct"/>
            <w:shd w:val="clear" w:color="auto" w:fill="F2F2F2"/>
            <w:noWrap/>
            <w:vAlign w:val="center"/>
            <w:hideMark/>
          </w:tcPr>
          <w:p w14:paraId="3EE6821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C18E87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29B2E1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643204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83A6FC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4DE13C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6A9C36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9B97DD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D017ACB" w14:textId="77777777" w:rsidTr="00237337">
        <w:trPr>
          <w:trHeight w:val="20"/>
        </w:trPr>
        <w:tc>
          <w:tcPr>
            <w:tcW w:w="252" w:type="pct"/>
            <w:shd w:val="clear" w:color="auto" w:fill="F2F2F2"/>
            <w:vAlign w:val="center"/>
            <w:hideMark/>
          </w:tcPr>
          <w:p w14:paraId="09B5D7B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36</w:t>
            </w:r>
          </w:p>
        </w:tc>
        <w:tc>
          <w:tcPr>
            <w:tcW w:w="556" w:type="pct"/>
            <w:shd w:val="clear" w:color="auto" w:fill="F2F2F2"/>
            <w:vAlign w:val="center"/>
            <w:hideMark/>
          </w:tcPr>
          <w:p w14:paraId="2022354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B634A9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Information exchange </w:t>
            </w:r>
          </w:p>
        </w:tc>
        <w:tc>
          <w:tcPr>
            <w:tcW w:w="658" w:type="pct"/>
            <w:shd w:val="clear" w:color="auto" w:fill="F2F2F2"/>
            <w:vAlign w:val="center"/>
            <w:hideMark/>
          </w:tcPr>
          <w:p w14:paraId="0B31ACF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difficulties encountered brought to time delays, can you please estimate these delays?</w:t>
            </w:r>
          </w:p>
        </w:tc>
        <w:tc>
          <w:tcPr>
            <w:tcW w:w="708" w:type="pct"/>
            <w:shd w:val="clear" w:color="auto" w:fill="F2F2F2"/>
            <w:vAlign w:val="center"/>
            <w:hideMark/>
          </w:tcPr>
          <w:p w14:paraId="0BC47FD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1-7 days</w:t>
            </w:r>
            <w:r w:rsidRPr="001D5EAD">
              <w:rPr>
                <w:rFonts w:ascii="Verdana" w:hAnsi="Verdana"/>
                <w:noProof/>
                <w:sz w:val="16"/>
                <w:szCs w:val="16"/>
              </w:rPr>
              <w:br/>
              <w:t>* 2-4 weeks</w:t>
            </w:r>
            <w:r w:rsidRPr="001D5EAD">
              <w:rPr>
                <w:rFonts w:ascii="Verdana" w:hAnsi="Verdana"/>
                <w:noProof/>
                <w:sz w:val="16"/>
                <w:szCs w:val="16"/>
              </w:rPr>
              <w:br/>
              <w:t>*2-3 months</w:t>
            </w:r>
            <w:r w:rsidRPr="001D5EAD">
              <w:rPr>
                <w:rFonts w:ascii="Verdana" w:hAnsi="Verdana"/>
                <w:noProof/>
                <w:sz w:val="16"/>
                <w:szCs w:val="16"/>
              </w:rPr>
              <w:br/>
              <w:t>*More than 3 months</w:t>
            </w:r>
            <w:r w:rsidRPr="001D5EAD">
              <w:rPr>
                <w:rFonts w:ascii="Verdana" w:hAnsi="Verdana"/>
                <w:noProof/>
                <w:sz w:val="16"/>
                <w:szCs w:val="16"/>
              </w:rPr>
              <w:br/>
              <w:t>*Don't know</w:t>
            </w:r>
          </w:p>
        </w:tc>
        <w:tc>
          <w:tcPr>
            <w:tcW w:w="291" w:type="pct"/>
            <w:shd w:val="clear" w:color="auto" w:fill="F2F2F2"/>
            <w:noWrap/>
            <w:vAlign w:val="center"/>
            <w:hideMark/>
          </w:tcPr>
          <w:p w14:paraId="0C68BF8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988A43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A119E3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0EF669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B3F9B2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22F068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11A0BB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F4108F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FBDE11F" w14:textId="77777777" w:rsidTr="00237337">
        <w:trPr>
          <w:trHeight w:val="20"/>
        </w:trPr>
        <w:tc>
          <w:tcPr>
            <w:tcW w:w="252" w:type="pct"/>
            <w:shd w:val="clear" w:color="auto" w:fill="F2F2F2"/>
            <w:vAlign w:val="center"/>
            <w:hideMark/>
          </w:tcPr>
          <w:p w14:paraId="5CD084C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37</w:t>
            </w:r>
          </w:p>
        </w:tc>
        <w:tc>
          <w:tcPr>
            <w:tcW w:w="556" w:type="pct"/>
            <w:shd w:val="clear" w:color="auto" w:fill="F2F2F2"/>
            <w:vAlign w:val="center"/>
            <w:hideMark/>
          </w:tcPr>
          <w:p w14:paraId="4682A7A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1D657D1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Information exchange </w:t>
            </w:r>
          </w:p>
        </w:tc>
        <w:tc>
          <w:tcPr>
            <w:tcW w:w="658" w:type="pct"/>
            <w:shd w:val="clear" w:color="auto" w:fill="F2F2F2"/>
            <w:vAlign w:val="center"/>
            <w:hideMark/>
          </w:tcPr>
          <w:p w14:paraId="597CBEA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difficulties encountered brought to additional costs, can you please indicate the type of costs?</w:t>
            </w:r>
          </w:p>
        </w:tc>
        <w:tc>
          <w:tcPr>
            <w:tcW w:w="708" w:type="pct"/>
            <w:shd w:val="clear" w:color="auto" w:fill="F2F2F2"/>
            <w:vAlign w:val="center"/>
            <w:hideMark/>
          </w:tcPr>
          <w:p w14:paraId="21AA408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*Costs related to additional staff needed</w:t>
            </w:r>
            <w:r w:rsidRPr="001D5EAD">
              <w:rPr>
                <w:rFonts w:ascii="Verdana" w:hAnsi="Verdana"/>
                <w:noProof/>
                <w:sz w:val="16"/>
                <w:szCs w:val="16"/>
              </w:rPr>
              <w:br/>
              <w:t>*Costs related to the compliance with unexpected requirements of the other countries</w:t>
            </w:r>
            <w:r w:rsidRPr="001D5EAD">
              <w:rPr>
                <w:rFonts w:ascii="Verdana" w:hAnsi="Verdana"/>
                <w:noProof/>
                <w:sz w:val="16"/>
                <w:szCs w:val="16"/>
              </w:rPr>
              <w:br/>
              <w:t>*Costs related to the purchase of new equipment</w:t>
            </w:r>
            <w:r w:rsidRPr="001D5EAD">
              <w:rPr>
                <w:rFonts w:ascii="Verdana" w:hAnsi="Verdana"/>
                <w:noProof/>
                <w:sz w:val="16"/>
                <w:szCs w:val="16"/>
              </w:rPr>
              <w:br/>
              <w:t>*Other costs (please specify)</w:t>
            </w:r>
          </w:p>
        </w:tc>
        <w:tc>
          <w:tcPr>
            <w:tcW w:w="291" w:type="pct"/>
            <w:shd w:val="clear" w:color="auto" w:fill="F2F2F2"/>
            <w:noWrap/>
            <w:vAlign w:val="center"/>
            <w:hideMark/>
          </w:tcPr>
          <w:p w14:paraId="1B7AD95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2F14F2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E755B0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7315A8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B69ED9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9CC94D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876036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626D21F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7871851" w14:textId="77777777" w:rsidTr="00237337">
        <w:trPr>
          <w:trHeight w:val="20"/>
        </w:trPr>
        <w:tc>
          <w:tcPr>
            <w:tcW w:w="252" w:type="pct"/>
            <w:shd w:val="clear" w:color="auto" w:fill="F2F2F2"/>
            <w:vAlign w:val="center"/>
            <w:hideMark/>
          </w:tcPr>
          <w:p w14:paraId="02721F8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38</w:t>
            </w:r>
          </w:p>
        </w:tc>
        <w:tc>
          <w:tcPr>
            <w:tcW w:w="556" w:type="pct"/>
            <w:shd w:val="clear" w:color="auto" w:fill="F2F2F2"/>
            <w:vAlign w:val="center"/>
            <w:hideMark/>
          </w:tcPr>
          <w:p w14:paraId="6F31546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27F56F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Information exchange - platforms</w:t>
            </w:r>
          </w:p>
        </w:tc>
        <w:tc>
          <w:tcPr>
            <w:tcW w:w="658" w:type="pct"/>
            <w:shd w:val="clear" w:color="auto" w:fill="F2F2F2"/>
            <w:vAlign w:val="center"/>
            <w:hideMark/>
          </w:tcPr>
          <w:p w14:paraId="7A3771E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do you use the following platforms to exchange information with law enforcement authorities in other countries?*</w:t>
            </w:r>
          </w:p>
        </w:tc>
        <w:tc>
          <w:tcPr>
            <w:tcW w:w="708" w:type="pct"/>
            <w:shd w:val="clear" w:color="auto" w:fill="F2F2F2"/>
            <w:vAlign w:val="center"/>
            <w:hideMark/>
          </w:tcPr>
          <w:p w14:paraId="3C1AA68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*SIENA </w:t>
            </w:r>
            <w:r w:rsidRPr="001D5EAD">
              <w:rPr>
                <w:rFonts w:ascii="Verdana" w:hAnsi="Verdana"/>
                <w:noProof/>
                <w:sz w:val="16"/>
                <w:szCs w:val="16"/>
              </w:rPr>
              <w:br/>
              <w:t>*Schengen Information System (SIS))/SIRENE</w:t>
            </w:r>
            <w:r w:rsidRPr="001D5EAD">
              <w:rPr>
                <w:rFonts w:ascii="Verdana" w:hAnsi="Verdana"/>
                <w:noProof/>
                <w:sz w:val="16"/>
                <w:szCs w:val="16"/>
              </w:rPr>
              <w:br/>
              <w:t>*Europol Information System (EIS)</w:t>
            </w:r>
            <w:r w:rsidRPr="001D5EAD">
              <w:rPr>
                <w:rFonts w:ascii="Verdana" w:hAnsi="Verdana"/>
                <w:noProof/>
                <w:sz w:val="16"/>
                <w:szCs w:val="16"/>
              </w:rPr>
              <w:br/>
              <w:t>*Interpol exchange channels and databases</w:t>
            </w:r>
          </w:p>
        </w:tc>
        <w:tc>
          <w:tcPr>
            <w:tcW w:w="291" w:type="pct"/>
            <w:shd w:val="clear" w:color="auto" w:fill="F2F2F2"/>
            <w:noWrap/>
            <w:vAlign w:val="center"/>
            <w:hideMark/>
          </w:tcPr>
          <w:p w14:paraId="6572843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5464A2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496B74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5019F7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A4F8A6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87E242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A3ED57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79057D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A935A41" w14:textId="77777777" w:rsidTr="00237337">
        <w:trPr>
          <w:trHeight w:val="20"/>
        </w:trPr>
        <w:tc>
          <w:tcPr>
            <w:tcW w:w="252" w:type="pct"/>
            <w:shd w:val="clear" w:color="auto" w:fill="F2F2F2"/>
            <w:vAlign w:val="center"/>
            <w:hideMark/>
          </w:tcPr>
          <w:p w14:paraId="24BCB84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39</w:t>
            </w:r>
          </w:p>
        </w:tc>
        <w:tc>
          <w:tcPr>
            <w:tcW w:w="556" w:type="pct"/>
            <w:shd w:val="clear" w:color="auto" w:fill="F2F2F2"/>
            <w:vAlign w:val="center"/>
            <w:hideMark/>
          </w:tcPr>
          <w:p w14:paraId="76F5BE3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C8E9EE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Information exchange - platforms</w:t>
            </w:r>
          </w:p>
        </w:tc>
        <w:tc>
          <w:tcPr>
            <w:tcW w:w="658" w:type="pct"/>
            <w:shd w:val="clear" w:color="auto" w:fill="F2F2F2"/>
            <w:vAlign w:val="center"/>
            <w:hideMark/>
          </w:tcPr>
          <w:p w14:paraId="16726E1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list any other platforms, not listed in the question above, that you use to exchange information with law enforcement authorities in other countries</w:t>
            </w:r>
          </w:p>
        </w:tc>
        <w:tc>
          <w:tcPr>
            <w:tcW w:w="708" w:type="pct"/>
            <w:shd w:val="clear" w:color="auto" w:fill="F2F2F2"/>
            <w:vAlign w:val="center"/>
            <w:hideMark/>
          </w:tcPr>
          <w:p w14:paraId="3EF72DD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2BA6931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066524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06EE44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9384F0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03BEA0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58EC4E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1246CA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2D69B00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66E87C5" w14:textId="77777777" w:rsidTr="00237337">
        <w:trPr>
          <w:trHeight w:val="20"/>
        </w:trPr>
        <w:tc>
          <w:tcPr>
            <w:tcW w:w="252" w:type="pct"/>
            <w:shd w:val="clear" w:color="auto" w:fill="F2F2F2"/>
            <w:vAlign w:val="center"/>
            <w:hideMark/>
          </w:tcPr>
          <w:p w14:paraId="11FA5BA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40</w:t>
            </w:r>
          </w:p>
        </w:tc>
        <w:tc>
          <w:tcPr>
            <w:tcW w:w="556" w:type="pct"/>
            <w:shd w:val="clear" w:color="auto" w:fill="F2F2F2"/>
            <w:vAlign w:val="center"/>
            <w:hideMark/>
          </w:tcPr>
          <w:p w14:paraId="4C9B396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9F5606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Information exchange - platforms</w:t>
            </w:r>
          </w:p>
        </w:tc>
        <w:tc>
          <w:tcPr>
            <w:tcW w:w="658" w:type="pct"/>
            <w:shd w:val="clear" w:color="auto" w:fill="F2F2F2"/>
            <w:vAlign w:val="center"/>
            <w:hideMark/>
          </w:tcPr>
          <w:p w14:paraId="557F6C2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are the following platforms effective in facilitating the exchange of information among law enforcement authorities in different countries?*</w:t>
            </w:r>
          </w:p>
        </w:tc>
        <w:tc>
          <w:tcPr>
            <w:tcW w:w="708" w:type="pct"/>
            <w:shd w:val="clear" w:color="auto" w:fill="F2F2F2"/>
            <w:vAlign w:val="center"/>
            <w:hideMark/>
          </w:tcPr>
          <w:p w14:paraId="1464612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*SIENA </w:t>
            </w:r>
            <w:r w:rsidRPr="001D5EAD">
              <w:rPr>
                <w:rFonts w:ascii="Verdana" w:hAnsi="Verdana"/>
                <w:noProof/>
                <w:sz w:val="16"/>
                <w:szCs w:val="16"/>
              </w:rPr>
              <w:br/>
              <w:t>*Schengen Information System (SIS))/SIRENE</w:t>
            </w:r>
            <w:r w:rsidRPr="001D5EAD">
              <w:rPr>
                <w:rFonts w:ascii="Verdana" w:hAnsi="Verdana"/>
                <w:noProof/>
                <w:sz w:val="16"/>
                <w:szCs w:val="16"/>
              </w:rPr>
              <w:br/>
              <w:t>*Europol Information System (EIS)</w:t>
            </w:r>
            <w:r w:rsidRPr="001D5EAD">
              <w:rPr>
                <w:rFonts w:ascii="Verdana" w:hAnsi="Verdana"/>
                <w:noProof/>
                <w:sz w:val="16"/>
                <w:szCs w:val="16"/>
              </w:rPr>
              <w:br/>
              <w:t>*Interpol exchange channels and databases</w:t>
            </w:r>
          </w:p>
        </w:tc>
        <w:tc>
          <w:tcPr>
            <w:tcW w:w="291" w:type="pct"/>
            <w:shd w:val="clear" w:color="auto" w:fill="F2F2F2"/>
            <w:noWrap/>
            <w:vAlign w:val="center"/>
            <w:hideMark/>
          </w:tcPr>
          <w:p w14:paraId="69EF878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52F440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150747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68FCE9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5F66CB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9B6C41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38C6A3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CD36FA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326C5D9" w14:textId="77777777" w:rsidTr="00237337">
        <w:trPr>
          <w:trHeight w:val="20"/>
        </w:trPr>
        <w:tc>
          <w:tcPr>
            <w:tcW w:w="252" w:type="pct"/>
            <w:shd w:val="clear" w:color="auto" w:fill="F2F2F2"/>
            <w:vAlign w:val="center"/>
            <w:hideMark/>
          </w:tcPr>
          <w:p w14:paraId="695B7C6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41</w:t>
            </w:r>
          </w:p>
        </w:tc>
        <w:tc>
          <w:tcPr>
            <w:tcW w:w="556" w:type="pct"/>
            <w:shd w:val="clear" w:color="auto" w:fill="F2F2F2"/>
            <w:vAlign w:val="center"/>
            <w:hideMark/>
          </w:tcPr>
          <w:p w14:paraId="75BFCA6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9C5264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Information exchange - platforms</w:t>
            </w:r>
          </w:p>
        </w:tc>
        <w:tc>
          <w:tcPr>
            <w:tcW w:w="658" w:type="pct"/>
            <w:shd w:val="clear" w:color="auto" w:fill="F2F2F2"/>
            <w:vAlign w:val="center"/>
            <w:hideMark/>
          </w:tcPr>
          <w:p w14:paraId="7B5AC05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do the following issues hamper cross border law enforcement cooperation through the platforms listed above?*</w:t>
            </w:r>
          </w:p>
        </w:tc>
        <w:tc>
          <w:tcPr>
            <w:tcW w:w="708" w:type="pct"/>
            <w:shd w:val="clear" w:color="auto" w:fill="F2F2F2"/>
            <w:vAlign w:val="center"/>
            <w:hideMark/>
          </w:tcPr>
          <w:p w14:paraId="6392CE0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EU legal framework for cross-border law enforcement cooperation is not consolidated (i.e. it is spread across several legislative instruments)</w:t>
            </w:r>
            <w:r w:rsidRPr="001D5EAD">
              <w:rPr>
                <w:rFonts w:ascii="Verdana" w:hAnsi="Verdana"/>
                <w:noProof/>
                <w:sz w:val="16"/>
                <w:szCs w:val="16"/>
              </w:rPr>
              <w:br/>
              <w:t>*Council guideline papers on info exchange are found not clear, precise and complete enough to offer added value in the implementation of the EU texts</w:t>
            </w:r>
            <w:r w:rsidRPr="001D5EAD">
              <w:rPr>
                <w:rFonts w:ascii="Verdana" w:hAnsi="Verdana"/>
                <w:noProof/>
                <w:sz w:val="16"/>
                <w:szCs w:val="16"/>
              </w:rPr>
              <w:br/>
              <w:t>*The complexity (overlaps, discrepancies, gaps) in the EU legal framework for information exchange</w:t>
            </w:r>
            <w:r w:rsidRPr="001D5EAD">
              <w:rPr>
                <w:rFonts w:ascii="Verdana" w:hAnsi="Verdana"/>
                <w:noProof/>
                <w:sz w:val="16"/>
                <w:szCs w:val="16"/>
              </w:rPr>
              <w:br/>
              <w:t>*The EU legal framework for cross-border law enforcement cooperation is not consistently implemented across the countries (i.e. the countries implement it differently)</w:t>
            </w:r>
            <w:r w:rsidRPr="001D5EAD">
              <w:rPr>
                <w:rFonts w:ascii="Verdana" w:hAnsi="Verdana"/>
                <w:noProof/>
                <w:sz w:val="16"/>
                <w:szCs w:val="16"/>
              </w:rPr>
              <w:br/>
              <w:t>*Access to these platforms differs between countries</w:t>
            </w:r>
            <w:r w:rsidRPr="001D5EAD">
              <w:rPr>
                <w:rFonts w:ascii="Verdana" w:hAnsi="Verdana"/>
                <w:noProof/>
                <w:sz w:val="16"/>
                <w:szCs w:val="16"/>
              </w:rPr>
              <w:br/>
              <w:t>*Differences between countries in how regularly these platforms are monitored/ response times to requests sent via these platforms</w:t>
            </w:r>
            <w:r w:rsidRPr="001D5EAD">
              <w:rPr>
                <w:rFonts w:ascii="Verdana" w:hAnsi="Verdana"/>
                <w:noProof/>
                <w:sz w:val="16"/>
                <w:szCs w:val="16"/>
              </w:rPr>
              <w:br/>
              <w:t>*Heterogeneity in law enforcement actors, tools, and capacities in relation to cross-border cooperation creates confusion and burdens on the concerned stakeholders</w:t>
            </w:r>
            <w:r w:rsidRPr="001D5EAD">
              <w:rPr>
                <w:rFonts w:ascii="Verdana" w:hAnsi="Verdana"/>
                <w:noProof/>
                <w:sz w:val="16"/>
                <w:szCs w:val="16"/>
              </w:rPr>
              <w:br/>
              <w:t>*Confusion due to the number of different exchange platforms and databases for EU information exchange</w:t>
            </w:r>
            <w:r w:rsidRPr="001D5EAD">
              <w:rPr>
                <w:rFonts w:ascii="Verdana" w:hAnsi="Verdana"/>
                <w:noProof/>
                <w:sz w:val="16"/>
                <w:szCs w:val="16"/>
              </w:rPr>
              <w:br/>
              <w:t>*Data protection requirements limit exchange of information with law enforcement authorities in other countries</w:t>
            </w:r>
          </w:p>
        </w:tc>
        <w:tc>
          <w:tcPr>
            <w:tcW w:w="291" w:type="pct"/>
            <w:shd w:val="clear" w:color="auto" w:fill="F2F2F2"/>
            <w:noWrap/>
            <w:vAlign w:val="center"/>
            <w:hideMark/>
          </w:tcPr>
          <w:p w14:paraId="11F6FAB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AFD61A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598F4D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7F6223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88B7BB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A15C5E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0558E5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D41DF7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4F5A1D7" w14:textId="77777777" w:rsidTr="00237337">
        <w:trPr>
          <w:trHeight w:val="20"/>
        </w:trPr>
        <w:tc>
          <w:tcPr>
            <w:tcW w:w="252" w:type="pct"/>
            <w:shd w:val="clear" w:color="auto" w:fill="F2F2F2"/>
            <w:vAlign w:val="center"/>
            <w:hideMark/>
          </w:tcPr>
          <w:p w14:paraId="31810C1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42</w:t>
            </w:r>
          </w:p>
        </w:tc>
        <w:tc>
          <w:tcPr>
            <w:tcW w:w="556" w:type="pct"/>
            <w:shd w:val="clear" w:color="auto" w:fill="F2F2F2"/>
            <w:vAlign w:val="center"/>
            <w:hideMark/>
          </w:tcPr>
          <w:p w14:paraId="3EB8DA4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49B3B3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Information exchange - platforms</w:t>
            </w:r>
          </w:p>
        </w:tc>
        <w:tc>
          <w:tcPr>
            <w:tcW w:w="658" w:type="pct"/>
            <w:shd w:val="clear" w:color="auto" w:fill="F2F2F2"/>
            <w:vAlign w:val="center"/>
            <w:hideMark/>
          </w:tcPr>
          <w:p w14:paraId="623BDA9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provide further information and examples to explain your answers about the issues that hamper the use of the platforms for exchange of information listed</w:t>
            </w:r>
          </w:p>
        </w:tc>
        <w:tc>
          <w:tcPr>
            <w:tcW w:w="708" w:type="pct"/>
            <w:shd w:val="clear" w:color="auto" w:fill="F2F2F2"/>
            <w:noWrap/>
            <w:vAlign w:val="center"/>
            <w:hideMark/>
          </w:tcPr>
          <w:p w14:paraId="2D3DA76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314AE38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107306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BD86CA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8CE2ED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8E6FF7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0E23AA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1F1507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1A8D4B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3DB1A9A" w14:textId="77777777" w:rsidTr="00237337">
        <w:trPr>
          <w:trHeight w:val="20"/>
        </w:trPr>
        <w:tc>
          <w:tcPr>
            <w:tcW w:w="252" w:type="pct"/>
            <w:shd w:val="clear" w:color="auto" w:fill="F2F2F2"/>
            <w:vAlign w:val="center"/>
            <w:hideMark/>
          </w:tcPr>
          <w:p w14:paraId="5E4E666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43</w:t>
            </w:r>
          </w:p>
        </w:tc>
        <w:tc>
          <w:tcPr>
            <w:tcW w:w="556" w:type="pct"/>
            <w:shd w:val="clear" w:color="auto" w:fill="F2F2F2"/>
            <w:vAlign w:val="center"/>
            <w:hideMark/>
          </w:tcPr>
          <w:p w14:paraId="00BB918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36CBAC0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3E9398A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often do you/your department undertake cross-border threat assessment/risk analysis?*</w:t>
            </w:r>
          </w:p>
        </w:tc>
        <w:tc>
          <w:tcPr>
            <w:tcW w:w="708" w:type="pct"/>
            <w:shd w:val="clear" w:color="auto" w:fill="F2F2F2"/>
            <w:vAlign w:val="center"/>
            <w:hideMark/>
          </w:tcPr>
          <w:p w14:paraId="3F53491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*Always</w:t>
            </w:r>
            <w:r w:rsidRPr="001D5EAD">
              <w:rPr>
                <w:rFonts w:ascii="Verdana" w:hAnsi="Verdana"/>
                <w:noProof/>
                <w:sz w:val="16"/>
                <w:szCs w:val="16"/>
              </w:rPr>
              <w:br/>
              <w:t xml:space="preserve">*Very frequently </w:t>
            </w:r>
            <w:r w:rsidRPr="001D5EAD">
              <w:rPr>
                <w:rFonts w:ascii="Verdana" w:hAnsi="Verdana"/>
                <w:noProof/>
                <w:sz w:val="16"/>
                <w:szCs w:val="16"/>
              </w:rPr>
              <w:br/>
              <w:t xml:space="preserve">Occasionally </w:t>
            </w:r>
            <w:r w:rsidRPr="001D5EAD">
              <w:rPr>
                <w:rFonts w:ascii="Verdana" w:hAnsi="Verdana"/>
                <w:noProof/>
                <w:sz w:val="16"/>
                <w:szCs w:val="16"/>
              </w:rPr>
              <w:br/>
              <w:t xml:space="preserve">*Very infrequently </w:t>
            </w:r>
            <w:r w:rsidRPr="001D5EAD">
              <w:rPr>
                <w:rFonts w:ascii="Verdana" w:hAnsi="Verdana"/>
                <w:noProof/>
                <w:sz w:val="16"/>
                <w:szCs w:val="16"/>
              </w:rPr>
              <w:br/>
              <w:t>*Never</w:t>
            </w:r>
            <w:r w:rsidRPr="001D5EAD">
              <w:rPr>
                <w:rFonts w:ascii="Verdana" w:hAnsi="Verdana"/>
                <w:noProof/>
                <w:sz w:val="16"/>
                <w:szCs w:val="16"/>
              </w:rPr>
              <w:br/>
              <w:t>*Don't know</w:t>
            </w:r>
          </w:p>
        </w:tc>
        <w:tc>
          <w:tcPr>
            <w:tcW w:w="291" w:type="pct"/>
            <w:shd w:val="clear" w:color="auto" w:fill="F2F2F2"/>
            <w:noWrap/>
            <w:vAlign w:val="center"/>
            <w:hideMark/>
          </w:tcPr>
          <w:p w14:paraId="79286AD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1E98D39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7FA14F4"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0002D15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7251A3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56BB19C"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F89781E"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57D224D0" w14:textId="77777777" w:rsidR="00545238" w:rsidRPr="001D5EAD" w:rsidRDefault="00545238" w:rsidP="00080E5C">
            <w:pPr>
              <w:spacing w:before="40" w:after="40"/>
              <w:jc w:val="center"/>
              <w:rPr>
                <w:rFonts w:ascii="Verdana" w:hAnsi="Verdana"/>
                <w:noProof/>
                <w:sz w:val="16"/>
                <w:szCs w:val="16"/>
              </w:rPr>
            </w:pPr>
          </w:p>
        </w:tc>
      </w:tr>
      <w:tr w:rsidR="00545238" w:rsidRPr="001D5EAD" w14:paraId="38B0D895" w14:textId="77777777" w:rsidTr="00237337">
        <w:trPr>
          <w:trHeight w:val="20"/>
        </w:trPr>
        <w:tc>
          <w:tcPr>
            <w:tcW w:w="252" w:type="pct"/>
            <w:shd w:val="clear" w:color="auto" w:fill="F2F2F2"/>
            <w:vAlign w:val="center"/>
            <w:hideMark/>
          </w:tcPr>
          <w:p w14:paraId="7798540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44</w:t>
            </w:r>
          </w:p>
        </w:tc>
        <w:tc>
          <w:tcPr>
            <w:tcW w:w="556" w:type="pct"/>
            <w:shd w:val="clear" w:color="auto" w:fill="F2F2F2"/>
            <w:vAlign w:val="center"/>
            <w:hideMark/>
          </w:tcPr>
          <w:p w14:paraId="29DC27F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DF735E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0FDCD29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were the main reasons for undertaking cross-border threat assessment/risk analysis?</w:t>
            </w:r>
          </w:p>
        </w:tc>
        <w:tc>
          <w:tcPr>
            <w:tcW w:w="708" w:type="pct"/>
            <w:shd w:val="clear" w:color="auto" w:fill="F2F2F2"/>
            <w:vAlign w:val="center"/>
            <w:hideMark/>
          </w:tcPr>
          <w:p w14:paraId="2586B5C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feed the design of national law enforcement strategies and actions</w:t>
            </w:r>
            <w:r w:rsidRPr="001D5EAD">
              <w:rPr>
                <w:rFonts w:ascii="Verdana" w:hAnsi="Verdana"/>
                <w:noProof/>
                <w:sz w:val="16"/>
                <w:szCs w:val="16"/>
              </w:rPr>
              <w:br/>
              <w:t>*To plan joint operations/patrols</w:t>
            </w:r>
            <w:r w:rsidRPr="001D5EAD">
              <w:rPr>
                <w:rFonts w:ascii="Verdana" w:hAnsi="Verdana"/>
                <w:noProof/>
                <w:sz w:val="16"/>
                <w:szCs w:val="16"/>
              </w:rPr>
              <w:br/>
              <w:t>*To regularly update the national intelligence picture</w:t>
            </w:r>
            <w:r w:rsidRPr="001D5EAD">
              <w:rPr>
                <w:rFonts w:ascii="Verdana" w:hAnsi="Verdana"/>
                <w:noProof/>
                <w:sz w:val="16"/>
                <w:szCs w:val="16"/>
              </w:rPr>
              <w:br/>
              <w:t>*Other (please specify)</w:t>
            </w:r>
          </w:p>
        </w:tc>
        <w:tc>
          <w:tcPr>
            <w:tcW w:w="291" w:type="pct"/>
            <w:shd w:val="clear" w:color="auto" w:fill="F2F2F2"/>
            <w:noWrap/>
            <w:vAlign w:val="center"/>
            <w:hideMark/>
          </w:tcPr>
          <w:p w14:paraId="3BF785F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21DBB1F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44845E1"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63AD6BB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F0AB81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945AF1D"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15BB410"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6617C36B" w14:textId="77777777" w:rsidR="00545238" w:rsidRPr="001D5EAD" w:rsidRDefault="00545238" w:rsidP="00080E5C">
            <w:pPr>
              <w:spacing w:before="40" w:after="40"/>
              <w:jc w:val="center"/>
              <w:rPr>
                <w:rFonts w:ascii="Verdana" w:hAnsi="Verdana"/>
                <w:noProof/>
                <w:sz w:val="16"/>
                <w:szCs w:val="16"/>
              </w:rPr>
            </w:pPr>
          </w:p>
        </w:tc>
      </w:tr>
      <w:tr w:rsidR="00545238" w:rsidRPr="001D5EAD" w14:paraId="540D9479" w14:textId="77777777" w:rsidTr="00237337">
        <w:trPr>
          <w:trHeight w:val="20"/>
        </w:trPr>
        <w:tc>
          <w:tcPr>
            <w:tcW w:w="252" w:type="pct"/>
            <w:shd w:val="clear" w:color="auto" w:fill="F2F2F2"/>
            <w:vAlign w:val="center"/>
            <w:hideMark/>
          </w:tcPr>
          <w:p w14:paraId="7371978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45</w:t>
            </w:r>
          </w:p>
        </w:tc>
        <w:tc>
          <w:tcPr>
            <w:tcW w:w="556" w:type="pct"/>
            <w:shd w:val="clear" w:color="auto" w:fill="F2F2F2"/>
            <w:vAlign w:val="center"/>
            <w:hideMark/>
          </w:tcPr>
          <w:p w14:paraId="67CE25B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6A8A1FC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4FF1A22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you/your department undertake cross-border threat assessment/risk analysis, are these elaborated with other relevant national stakeholders?</w:t>
            </w:r>
          </w:p>
        </w:tc>
        <w:tc>
          <w:tcPr>
            <w:tcW w:w="708" w:type="pct"/>
            <w:shd w:val="clear" w:color="auto" w:fill="F2F2F2"/>
            <w:vAlign w:val="center"/>
            <w:hideMark/>
          </w:tcPr>
          <w:p w14:paraId="03E7A1D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*Yes</w:t>
            </w:r>
            <w:r w:rsidRPr="001D5EAD">
              <w:rPr>
                <w:rFonts w:ascii="Verdana" w:hAnsi="Verdana"/>
                <w:noProof/>
                <w:sz w:val="16"/>
                <w:szCs w:val="16"/>
              </w:rPr>
              <w:br/>
              <w:t>*No</w:t>
            </w:r>
            <w:r w:rsidRPr="001D5EAD">
              <w:rPr>
                <w:rFonts w:ascii="Verdana" w:hAnsi="Verdana"/>
                <w:noProof/>
                <w:sz w:val="16"/>
                <w:szCs w:val="16"/>
              </w:rPr>
              <w:br/>
              <w:t>*Don't know</w:t>
            </w:r>
          </w:p>
        </w:tc>
        <w:tc>
          <w:tcPr>
            <w:tcW w:w="291" w:type="pct"/>
            <w:shd w:val="clear" w:color="auto" w:fill="F2F2F2"/>
            <w:noWrap/>
            <w:vAlign w:val="center"/>
            <w:hideMark/>
          </w:tcPr>
          <w:p w14:paraId="68389AD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5E99B70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A0F377F"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44D0E69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D2A23F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4B1912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B1AF670"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346CFC08" w14:textId="77777777" w:rsidR="00545238" w:rsidRPr="001D5EAD" w:rsidRDefault="00545238" w:rsidP="00080E5C">
            <w:pPr>
              <w:spacing w:before="40" w:after="40"/>
              <w:jc w:val="center"/>
              <w:rPr>
                <w:rFonts w:ascii="Verdana" w:hAnsi="Verdana"/>
                <w:noProof/>
                <w:sz w:val="16"/>
                <w:szCs w:val="16"/>
              </w:rPr>
            </w:pPr>
          </w:p>
        </w:tc>
      </w:tr>
      <w:tr w:rsidR="00545238" w:rsidRPr="001D5EAD" w14:paraId="27A8A1D0" w14:textId="77777777" w:rsidTr="00237337">
        <w:trPr>
          <w:trHeight w:val="20"/>
        </w:trPr>
        <w:tc>
          <w:tcPr>
            <w:tcW w:w="252" w:type="pct"/>
            <w:shd w:val="clear" w:color="auto" w:fill="F2F2F2"/>
            <w:vAlign w:val="center"/>
            <w:hideMark/>
          </w:tcPr>
          <w:p w14:paraId="2805D06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46</w:t>
            </w:r>
          </w:p>
        </w:tc>
        <w:tc>
          <w:tcPr>
            <w:tcW w:w="556" w:type="pct"/>
            <w:shd w:val="clear" w:color="auto" w:fill="F2F2F2"/>
            <w:vAlign w:val="center"/>
            <w:hideMark/>
          </w:tcPr>
          <w:p w14:paraId="0219EA1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373593C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1D72E79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yes, what type stakeholders? (select all that apply)</w:t>
            </w:r>
          </w:p>
        </w:tc>
        <w:tc>
          <w:tcPr>
            <w:tcW w:w="708" w:type="pct"/>
            <w:shd w:val="clear" w:color="auto" w:fill="F2F2F2"/>
            <w:vAlign w:val="center"/>
            <w:hideMark/>
          </w:tcPr>
          <w:p w14:paraId="5C2BD32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*Police</w:t>
            </w:r>
            <w:r w:rsidRPr="001D5EAD">
              <w:rPr>
                <w:rFonts w:ascii="Verdana" w:hAnsi="Verdana"/>
                <w:noProof/>
                <w:sz w:val="16"/>
                <w:szCs w:val="16"/>
              </w:rPr>
              <w:br/>
              <w:t>*Customs</w:t>
            </w:r>
            <w:r w:rsidRPr="001D5EAD">
              <w:rPr>
                <w:rFonts w:ascii="Verdana" w:hAnsi="Verdana"/>
                <w:noProof/>
                <w:sz w:val="16"/>
                <w:szCs w:val="16"/>
              </w:rPr>
              <w:br/>
              <w:t>*Financial Investigation Units</w:t>
            </w:r>
            <w:r w:rsidRPr="001D5EAD">
              <w:rPr>
                <w:rFonts w:ascii="Verdana" w:hAnsi="Verdana"/>
                <w:noProof/>
                <w:sz w:val="16"/>
                <w:szCs w:val="16"/>
              </w:rPr>
              <w:br/>
              <w:t>*Other (please specify)</w:t>
            </w:r>
          </w:p>
        </w:tc>
        <w:tc>
          <w:tcPr>
            <w:tcW w:w="291" w:type="pct"/>
            <w:shd w:val="clear" w:color="auto" w:fill="F2F2F2"/>
            <w:noWrap/>
            <w:vAlign w:val="center"/>
            <w:hideMark/>
          </w:tcPr>
          <w:p w14:paraId="1850D26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6FA421E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6B50053"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68DA113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0D288F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7DDA22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CA3A3DE"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7CD23783" w14:textId="77777777" w:rsidR="00545238" w:rsidRPr="001D5EAD" w:rsidRDefault="00545238" w:rsidP="00080E5C">
            <w:pPr>
              <w:spacing w:before="40" w:after="40"/>
              <w:jc w:val="center"/>
              <w:rPr>
                <w:rFonts w:ascii="Verdana" w:hAnsi="Verdana"/>
                <w:noProof/>
                <w:sz w:val="16"/>
                <w:szCs w:val="16"/>
              </w:rPr>
            </w:pPr>
          </w:p>
        </w:tc>
      </w:tr>
      <w:tr w:rsidR="00545238" w:rsidRPr="001D5EAD" w14:paraId="0C806DE4" w14:textId="77777777" w:rsidTr="00237337">
        <w:trPr>
          <w:trHeight w:val="20"/>
        </w:trPr>
        <w:tc>
          <w:tcPr>
            <w:tcW w:w="252" w:type="pct"/>
            <w:shd w:val="clear" w:color="auto" w:fill="F2F2F2"/>
            <w:vAlign w:val="center"/>
            <w:hideMark/>
          </w:tcPr>
          <w:p w14:paraId="0B5480E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47</w:t>
            </w:r>
          </w:p>
        </w:tc>
        <w:tc>
          <w:tcPr>
            <w:tcW w:w="556" w:type="pct"/>
            <w:shd w:val="clear" w:color="auto" w:fill="F2F2F2"/>
            <w:vAlign w:val="center"/>
            <w:hideMark/>
          </w:tcPr>
          <w:p w14:paraId="43E1FDA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FCDB4E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21A2FB8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Does your department involve stakeholders from other concerned countries in the implementation of cross-border threat assessments/risk analysis?</w:t>
            </w:r>
          </w:p>
        </w:tc>
        <w:tc>
          <w:tcPr>
            <w:tcW w:w="708" w:type="pct"/>
            <w:shd w:val="clear" w:color="auto" w:fill="F2F2F2"/>
            <w:vAlign w:val="center"/>
            <w:hideMark/>
          </w:tcPr>
          <w:p w14:paraId="0499626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*Yes</w:t>
            </w:r>
            <w:r w:rsidRPr="001D5EAD">
              <w:rPr>
                <w:rFonts w:ascii="Verdana" w:hAnsi="Verdana"/>
                <w:noProof/>
                <w:sz w:val="16"/>
                <w:szCs w:val="16"/>
              </w:rPr>
              <w:br/>
              <w:t>*No</w:t>
            </w:r>
            <w:r w:rsidRPr="001D5EAD">
              <w:rPr>
                <w:rFonts w:ascii="Verdana" w:hAnsi="Verdana"/>
                <w:noProof/>
                <w:sz w:val="16"/>
                <w:szCs w:val="16"/>
              </w:rPr>
              <w:br/>
              <w:t>*Don't know</w:t>
            </w:r>
          </w:p>
        </w:tc>
        <w:tc>
          <w:tcPr>
            <w:tcW w:w="291" w:type="pct"/>
            <w:shd w:val="clear" w:color="auto" w:fill="F2F2F2"/>
            <w:noWrap/>
            <w:vAlign w:val="center"/>
            <w:hideMark/>
          </w:tcPr>
          <w:p w14:paraId="0B61183C"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26EB713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1632665"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43C4BB3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D502F7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83997F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48786F8"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2E51A053" w14:textId="77777777" w:rsidR="00545238" w:rsidRPr="001D5EAD" w:rsidRDefault="00545238" w:rsidP="00080E5C">
            <w:pPr>
              <w:spacing w:before="40" w:after="40"/>
              <w:jc w:val="center"/>
              <w:rPr>
                <w:rFonts w:ascii="Verdana" w:hAnsi="Verdana"/>
                <w:noProof/>
                <w:sz w:val="16"/>
                <w:szCs w:val="16"/>
              </w:rPr>
            </w:pPr>
          </w:p>
        </w:tc>
      </w:tr>
      <w:tr w:rsidR="00545238" w:rsidRPr="001D5EAD" w14:paraId="018DDA68" w14:textId="77777777" w:rsidTr="00237337">
        <w:trPr>
          <w:trHeight w:val="20"/>
        </w:trPr>
        <w:tc>
          <w:tcPr>
            <w:tcW w:w="252" w:type="pct"/>
            <w:shd w:val="clear" w:color="auto" w:fill="F2F2F2"/>
            <w:vAlign w:val="center"/>
            <w:hideMark/>
          </w:tcPr>
          <w:p w14:paraId="3604803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48</w:t>
            </w:r>
          </w:p>
        </w:tc>
        <w:tc>
          <w:tcPr>
            <w:tcW w:w="556" w:type="pct"/>
            <w:shd w:val="clear" w:color="auto" w:fill="F2F2F2"/>
            <w:vAlign w:val="center"/>
            <w:hideMark/>
          </w:tcPr>
          <w:p w14:paraId="65B7CD9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758081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673BC84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yes, what type stakeholders in the other countries are usually involved in cross-border threat assessments/risk analysis? (select all that apply)</w:t>
            </w:r>
          </w:p>
        </w:tc>
        <w:tc>
          <w:tcPr>
            <w:tcW w:w="708" w:type="pct"/>
            <w:shd w:val="clear" w:color="auto" w:fill="F2F2F2"/>
            <w:vAlign w:val="center"/>
            <w:hideMark/>
          </w:tcPr>
          <w:p w14:paraId="7B7E344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*Single Points of Contacts</w:t>
            </w:r>
            <w:r w:rsidRPr="001D5EAD">
              <w:rPr>
                <w:rFonts w:ascii="Verdana" w:hAnsi="Verdana"/>
                <w:noProof/>
                <w:sz w:val="16"/>
                <w:szCs w:val="16"/>
              </w:rPr>
              <w:br/>
              <w:t>*Police Customs Cooperation Centres</w:t>
            </w:r>
            <w:r w:rsidRPr="001D5EAD">
              <w:rPr>
                <w:rFonts w:ascii="Verdana" w:hAnsi="Verdana"/>
                <w:noProof/>
                <w:sz w:val="16"/>
                <w:szCs w:val="16"/>
              </w:rPr>
              <w:br/>
              <w:t>*Specialised investigation units</w:t>
            </w:r>
            <w:r w:rsidRPr="001D5EAD">
              <w:rPr>
                <w:rFonts w:ascii="Verdana" w:hAnsi="Verdana"/>
                <w:noProof/>
                <w:sz w:val="16"/>
                <w:szCs w:val="16"/>
              </w:rPr>
              <w:br/>
              <w:t>*Specialised analytical departments</w:t>
            </w:r>
            <w:r w:rsidRPr="001D5EAD">
              <w:rPr>
                <w:rFonts w:ascii="Verdana" w:hAnsi="Verdana"/>
                <w:noProof/>
                <w:sz w:val="16"/>
                <w:szCs w:val="16"/>
              </w:rPr>
              <w:br/>
              <w:t>*Public safety/order specialists (especially the ones (who have been) involved in joint patrols, joint operations)</w:t>
            </w:r>
            <w:r w:rsidRPr="001D5EAD">
              <w:rPr>
                <w:rFonts w:ascii="Verdana" w:hAnsi="Verdana"/>
                <w:noProof/>
                <w:sz w:val="16"/>
                <w:szCs w:val="16"/>
              </w:rPr>
              <w:br/>
              <w:t>*Football contact points</w:t>
            </w:r>
            <w:r w:rsidRPr="001D5EAD">
              <w:rPr>
                <w:rFonts w:ascii="Verdana" w:hAnsi="Verdana"/>
                <w:noProof/>
                <w:sz w:val="16"/>
                <w:szCs w:val="16"/>
              </w:rPr>
              <w:br/>
              <w:t>*Customs</w:t>
            </w:r>
            <w:r w:rsidRPr="001D5EAD">
              <w:rPr>
                <w:rFonts w:ascii="Verdana" w:hAnsi="Verdana"/>
                <w:noProof/>
                <w:sz w:val="16"/>
                <w:szCs w:val="16"/>
              </w:rPr>
              <w:br/>
              <w:t>*Other (please specify)</w:t>
            </w:r>
          </w:p>
        </w:tc>
        <w:tc>
          <w:tcPr>
            <w:tcW w:w="291" w:type="pct"/>
            <w:shd w:val="clear" w:color="auto" w:fill="F2F2F2"/>
            <w:noWrap/>
            <w:vAlign w:val="center"/>
            <w:hideMark/>
          </w:tcPr>
          <w:p w14:paraId="33A8CA1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6D5D615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26B4A87"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5916D84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C75428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9867AE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726CB49"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06518CA9" w14:textId="77777777" w:rsidR="00545238" w:rsidRPr="001D5EAD" w:rsidRDefault="00545238" w:rsidP="00080E5C">
            <w:pPr>
              <w:spacing w:before="40" w:after="40"/>
              <w:jc w:val="center"/>
              <w:rPr>
                <w:rFonts w:ascii="Verdana" w:hAnsi="Verdana"/>
                <w:noProof/>
                <w:sz w:val="16"/>
                <w:szCs w:val="16"/>
              </w:rPr>
            </w:pPr>
          </w:p>
        </w:tc>
      </w:tr>
      <w:tr w:rsidR="00545238" w:rsidRPr="001D5EAD" w14:paraId="1418D773" w14:textId="77777777" w:rsidTr="00237337">
        <w:trPr>
          <w:trHeight w:val="20"/>
        </w:trPr>
        <w:tc>
          <w:tcPr>
            <w:tcW w:w="252" w:type="pct"/>
            <w:shd w:val="clear" w:color="auto" w:fill="F2F2F2"/>
            <w:vAlign w:val="center"/>
            <w:hideMark/>
          </w:tcPr>
          <w:p w14:paraId="3A00854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49</w:t>
            </w:r>
          </w:p>
        </w:tc>
        <w:tc>
          <w:tcPr>
            <w:tcW w:w="556" w:type="pct"/>
            <w:shd w:val="clear" w:color="auto" w:fill="F2F2F2"/>
            <w:vAlign w:val="center"/>
            <w:hideMark/>
          </w:tcPr>
          <w:p w14:paraId="4106935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344E868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438AFB4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Are cross-border threat assessment/risk analysis shared with the neighbouring country(ies) in view of joint analytical documents?*</w:t>
            </w:r>
          </w:p>
        </w:tc>
        <w:tc>
          <w:tcPr>
            <w:tcW w:w="708" w:type="pct"/>
            <w:shd w:val="clear" w:color="auto" w:fill="F2F2F2"/>
            <w:vAlign w:val="center"/>
            <w:hideMark/>
          </w:tcPr>
          <w:p w14:paraId="45D6824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*Yes</w:t>
            </w:r>
            <w:r w:rsidRPr="001D5EAD">
              <w:rPr>
                <w:rFonts w:ascii="Verdana" w:hAnsi="Verdana"/>
                <w:noProof/>
                <w:sz w:val="16"/>
                <w:szCs w:val="16"/>
              </w:rPr>
              <w:br/>
              <w:t>*No</w:t>
            </w:r>
            <w:r w:rsidRPr="001D5EAD">
              <w:rPr>
                <w:rFonts w:ascii="Verdana" w:hAnsi="Verdana"/>
                <w:noProof/>
                <w:sz w:val="16"/>
                <w:szCs w:val="16"/>
              </w:rPr>
              <w:br/>
              <w:t>*Don't know</w:t>
            </w:r>
          </w:p>
        </w:tc>
        <w:tc>
          <w:tcPr>
            <w:tcW w:w="291" w:type="pct"/>
            <w:shd w:val="clear" w:color="auto" w:fill="F2F2F2"/>
            <w:noWrap/>
            <w:vAlign w:val="center"/>
            <w:hideMark/>
          </w:tcPr>
          <w:p w14:paraId="51517D9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3E4BFDD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4562835"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7851197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A4B14D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D6B6CE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D3C8F02"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4747446D" w14:textId="77777777" w:rsidR="00545238" w:rsidRPr="001D5EAD" w:rsidRDefault="00545238" w:rsidP="00080E5C">
            <w:pPr>
              <w:spacing w:before="40" w:after="40"/>
              <w:jc w:val="center"/>
              <w:rPr>
                <w:rFonts w:ascii="Verdana" w:hAnsi="Verdana"/>
                <w:noProof/>
                <w:sz w:val="16"/>
                <w:szCs w:val="16"/>
              </w:rPr>
            </w:pPr>
          </w:p>
        </w:tc>
      </w:tr>
      <w:tr w:rsidR="00545238" w:rsidRPr="001D5EAD" w14:paraId="7F4DA905" w14:textId="77777777" w:rsidTr="00237337">
        <w:trPr>
          <w:trHeight w:val="20"/>
        </w:trPr>
        <w:tc>
          <w:tcPr>
            <w:tcW w:w="252" w:type="pct"/>
            <w:shd w:val="clear" w:color="auto" w:fill="F2F2F2"/>
            <w:vAlign w:val="center"/>
            <w:hideMark/>
          </w:tcPr>
          <w:p w14:paraId="180E260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50</w:t>
            </w:r>
          </w:p>
        </w:tc>
        <w:tc>
          <w:tcPr>
            <w:tcW w:w="556" w:type="pct"/>
            <w:shd w:val="clear" w:color="auto" w:fill="F2F2F2"/>
            <w:vAlign w:val="center"/>
            <w:hideMark/>
          </w:tcPr>
          <w:p w14:paraId="71D6A14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1F70C5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0DA1721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yes, with which country(ies)?</w:t>
            </w:r>
          </w:p>
        </w:tc>
        <w:tc>
          <w:tcPr>
            <w:tcW w:w="708" w:type="pct"/>
            <w:shd w:val="clear" w:color="auto" w:fill="F2F2F2"/>
            <w:vAlign w:val="center"/>
            <w:hideMark/>
          </w:tcPr>
          <w:p w14:paraId="05A2F2A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5744257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6C5E51E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978AE35"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25C0166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52722BC"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96C798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17F648C"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7F411849" w14:textId="77777777" w:rsidR="00545238" w:rsidRPr="001D5EAD" w:rsidRDefault="00545238" w:rsidP="00080E5C">
            <w:pPr>
              <w:spacing w:before="40" w:after="40"/>
              <w:jc w:val="center"/>
              <w:rPr>
                <w:rFonts w:ascii="Verdana" w:hAnsi="Verdana"/>
                <w:noProof/>
                <w:sz w:val="16"/>
                <w:szCs w:val="16"/>
              </w:rPr>
            </w:pPr>
          </w:p>
        </w:tc>
      </w:tr>
      <w:tr w:rsidR="00545238" w:rsidRPr="001D5EAD" w14:paraId="781270E0" w14:textId="77777777" w:rsidTr="00237337">
        <w:trPr>
          <w:trHeight w:val="20"/>
        </w:trPr>
        <w:tc>
          <w:tcPr>
            <w:tcW w:w="252" w:type="pct"/>
            <w:shd w:val="clear" w:color="auto" w:fill="F2F2F2"/>
            <w:vAlign w:val="center"/>
            <w:hideMark/>
          </w:tcPr>
          <w:p w14:paraId="615A126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51</w:t>
            </w:r>
          </w:p>
        </w:tc>
        <w:tc>
          <w:tcPr>
            <w:tcW w:w="556" w:type="pct"/>
            <w:shd w:val="clear" w:color="auto" w:fill="F2F2F2"/>
            <w:vAlign w:val="center"/>
            <w:hideMark/>
          </w:tcPr>
          <w:p w14:paraId="578222A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367799C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2553944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Can cross-border threat assessment/risk analysis be used to schedule the precise location and timing of joint operations?*</w:t>
            </w:r>
          </w:p>
        </w:tc>
        <w:tc>
          <w:tcPr>
            <w:tcW w:w="708" w:type="pct"/>
            <w:shd w:val="clear" w:color="auto" w:fill="F2F2F2"/>
            <w:vAlign w:val="center"/>
            <w:hideMark/>
          </w:tcPr>
          <w:p w14:paraId="126D377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*Yes</w:t>
            </w:r>
            <w:r w:rsidRPr="001D5EAD">
              <w:rPr>
                <w:rFonts w:ascii="Verdana" w:hAnsi="Verdana"/>
                <w:noProof/>
                <w:sz w:val="16"/>
                <w:szCs w:val="16"/>
              </w:rPr>
              <w:br/>
              <w:t>*No</w:t>
            </w:r>
            <w:r w:rsidRPr="001D5EAD">
              <w:rPr>
                <w:rFonts w:ascii="Verdana" w:hAnsi="Verdana"/>
                <w:noProof/>
                <w:sz w:val="16"/>
                <w:szCs w:val="16"/>
              </w:rPr>
              <w:br/>
              <w:t>*Don't know</w:t>
            </w:r>
          </w:p>
        </w:tc>
        <w:tc>
          <w:tcPr>
            <w:tcW w:w="291" w:type="pct"/>
            <w:shd w:val="clear" w:color="auto" w:fill="F2F2F2"/>
            <w:noWrap/>
            <w:vAlign w:val="center"/>
            <w:hideMark/>
          </w:tcPr>
          <w:p w14:paraId="02F5ED3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2F99D25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B26FD0B"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61C66AA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3F5A85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246C84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07DFCA7"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7C523043" w14:textId="77777777" w:rsidR="00545238" w:rsidRPr="001D5EAD" w:rsidRDefault="00545238" w:rsidP="00080E5C">
            <w:pPr>
              <w:spacing w:before="40" w:after="40"/>
              <w:jc w:val="center"/>
              <w:rPr>
                <w:rFonts w:ascii="Verdana" w:hAnsi="Verdana"/>
                <w:noProof/>
                <w:sz w:val="16"/>
                <w:szCs w:val="16"/>
              </w:rPr>
            </w:pPr>
          </w:p>
        </w:tc>
      </w:tr>
      <w:tr w:rsidR="00545238" w:rsidRPr="001D5EAD" w14:paraId="5633E6B7" w14:textId="77777777" w:rsidTr="00237337">
        <w:trPr>
          <w:trHeight w:val="20"/>
        </w:trPr>
        <w:tc>
          <w:tcPr>
            <w:tcW w:w="252" w:type="pct"/>
            <w:shd w:val="clear" w:color="auto" w:fill="F2F2F2"/>
            <w:vAlign w:val="center"/>
            <w:hideMark/>
          </w:tcPr>
          <w:p w14:paraId="7681346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52</w:t>
            </w:r>
          </w:p>
        </w:tc>
        <w:tc>
          <w:tcPr>
            <w:tcW w:w="556" w:type="pct"/>
            <w:shd w:val="clear" w:color="auto" w:fill="F2F2F2"/>
            <w:vAlign w:val="center"/>
            <w:hideMark/>
          </w:tcPr>
          <w:p w14:paraId="55C3B34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FC1614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48BD499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not, why?</w:t>
            </w:r>
          </w:p>
        </w:tc>
        <w:tc>
          <w:tcPr>
            <w:tcW w:w="708" w:type="pct"/>
            <w:shd w:val="clear" w:color="auto" w:fill="F2F2F2"/>
            <w:vAlign w:val="center"/>
            <w:hideMark/>
          </w:tcPr>
          <w:p w14:paraId="20BC0DA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6965830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7661AEC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C7B5B25"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4364535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ADCF8B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A3F0184"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E29E7DE"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18B0EAFF" w14:textId="77777777" w:rsidR="00545238" w:rsidRPr="001D5EAD" w:rsidRDefault="00545238" w:rsidP="00080E5C">
            <w:pPr>
              <w:spacing w:before="40" w:after="40"/>
              <w:jc w:val="center"/>
              <w:rPr>
                <w:rFonts w:ascii="Verdana" w:hAnsi="Verdana"/>
                <w:noProof/>
                <w:sz w:val="16"/>
                <w:szCs w:val="16"/>
              </w:rPr>
            </w:pPr>
          </w:p>
        </w:tc>
      </w:tr>
      <w:tr w:rsidR="00545238" w:rsidRPr="001D5EAD" w14:paraId="555372BD" w14:textId="77777777" w:rsidTr="00237337">
        <w:trPr>
          <w:trHeight w:val="20"/>
        </w:trPr>
        <w:tc>
          <w:tcPr>
            <w:tcW w:w="252" w:type="pct"/>
            <w:shd w:val="clear" w:color="auto" w:fill="F2F2F2"/>
            <w:vAlign w:val="center"/>
            <w:hideMark/>
          </w:tcPr>
          <w:p w14:paraId="2026EF8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53</w:t>
            </w:r>
          </w:p>
        </w:tc>
        <w:tc>
          <w:tcPr>
            <w:tcW w:w="556" w:type="pct"/>
            <w:shd w:val="clear" w:color="auto" w:fill="F2F2F2"/>
            <w:vAlign w:val="center"/>
            <w:hideMark/>
          </w:tcPr>
          <w:p w14:paraId="10BF908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2017F19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519B2AC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Can you please shortly describe how cross-border threat assessments/risk analysis is implemented? (e.g. type of information requested, types of analysis performed)</w:t>
            </w:r>
          </w:p>
        </w:tc>
        <w:tc>
          <w:tcPr>
            <w:tcW w:w="708" w:type="pct"/>
            <w:shd w:val="clear" w:color="auto" w:fill="F2F2F2"/>
            <w:vAlign w:val="center"/>
            <w:hideMark/>
          </w:tcPr>
          <w:p w14:paraId="48C6069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6FF79BF4"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0926DC5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2DF1938"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33D7549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6D5A14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C996BB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4C58760"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78E71D14" w14:textId="77777777" w:rsidR="00545238" w:rsidRPr="001D5EAD" w:rsidRDefault="00545238" w:rsidP="00080E5C">
            <w:pPr>
              <w:spacing w:before="40" w:after="40"/>
              <w:jc w:val="center"/>
              <w:rPr>
                <w:rFonts w:ascii="Verdana" w:hAnsi="Verdana"/>
                <w:noProof/>
                <w:sz w:val="16"/>
                <w:szCs w:val="16"/>
              </w:rPr>
            </w:pPr>
          </w:p>
        </w:tc>
      </w:tr>
      <w:tr w:rsidR="00545238" w:rsidRPr="001D5EAD" w14:paraId="1DD6FDBB" w14:textId="77777777" w:rsidTr="00237337">
        <w:trPr>
          <w:trHeight w:val="20"/>
        </w:trPr>
        <w:tc>
          <w:tcPr>
            <w:tcW w:w="252" w:type="pct"/>
            <w:shd w:val="clear" w:color="auto" w:fill="F2F2F2"/>
            <w:vAlign w:val="center"/>
            <w:hideMark/>
          </w:tcPr>
          <w:p w14:paraId="7D659AD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54</w:t>
            </w:r>
          </w:p>
        </w:tc>
        <w:tc>
          <w:tcPr>
            <w:tcW w:w="556" w:type="pct"/>
            <w:shd w:val="clear" w:color="auto" w:fill="F2F2F2"/>
            <w:vAlign w:val="center"/>
            <w:hideMark/>
          </w:tcPr>
          <w:p w14:paraId="3DF236A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1028350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718757D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Out of all cases where you/your department undertook cross-border threat assessment/risk analysis, what was the share of problematic cases?</w:t>
            </w:r>
          </w:p>
        </w:tc>
        <w:tc>
          <w:tcPr>
            <w:tcW w:w="708" w:type="pct"/>
            <w:shd w:val="clear" w:color="auto" w:fill="F2F2F2"/>
            <w:vAlign w:val="center"/>
            <w:hideMark/>
          </w:tcPr>
          <w:p w14:paraId="7042789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*Never had problematic cases</w:t>
            </w:r>
            <w:r w:rsidRPr="001D5EAD">
              <w:rPr>
                <w:rFonts w:ascii="Verdana" w:hAnsi="Verdana"/>
                <w:noProof/>
                <w:sz w:val="16"/>
                <w:szCs w:val="16"/>
              </w:rPr>
              <w:br/>
              <w:t>*0-20%</w:t>
            </w:r>
            <w:r w:rsidRPr="001D5EAD">
              <w:rPr>
                <w:rFonts w:ascii="Verdana" w:hAnsi="Verdana"/>
                <w:noProof/>
                <w:sz w:val="16"/>
                <w:szCs w:val="16"/>
              </w:rPr>
              <w:br/>
              <w:t>*20-40%</w:t>
            </w:r>
            <w:r w:rsidRPr="001D5EAD">
              <w:rPr>
                <w:rFonts w:ascii="Verdana" w:hAnsi="Verdana"/>
                <w:noProof/>
                <w:sz w:val="16"/>
                <w:szCs w:val="16"/>
              </w:rPr>
              <w:br/>
              <w:t>*40-60%</w:t>
            </w:r>
            <w:r w:rsidRPr="001D5EAD">
              <w:rPr>
                <w:rFonts w:ascii="Verdana" w:hAnsi="Verdana"/>
                <w:noProof/>
                <w:sz w:val="16"/>
                <w:szCs w:val="16"/>
              </w:rPr>
              <w:br/>
              <w:t>*60-80%</w:t>
            </w:r>
            <w:r w:rsidRPr="001D5EAD">
              <w:rPr>
                <w:rFonts w:ascii="Verdana" w:hAnsi="Verdana"/>
                <w:noProof/>
                <w:sz w:val="16"/>
                <w:szCs w:val="16"/>
              </w:rPr>
              <w:br/>
              <w:t>*80-100%</w:t>
            </w:r>
            <w:r w:rsidRPr="001D5EAD">
              <w:rPr>
                <w:rFonts w:ascii="Verdana" w:hAnsi="Verdana"/>
                <w:noProof/>
                <w:sz w:val="16"/>
                <w:szCs w:val="16"/>
              </w:rPr>
              <w:br/>
              <w:t>*All cases were problematic</w:t>
            </w:r>
          </w:p>
        </w:tc>
        <w:tc>
          <w:tcPr>
            <w:tcW w:w="291" w:type="pct"/>
            <w:shd w:val="clear" w:color="auto" w:fill="F2F2F2"/>
            <w:noWrap/>
            <w:vAlign w:val="center"/>
            <w:hideMark/>
          </w:tcPr>
          <w:p w14:paraId="4119722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083D23A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C8D7D35"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4B09354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B4E4C5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5D2C9F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29B0350"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4FDAF432" w14:textId="77777777" w:rsidR="00545238" w:rsidRPr="001D5EAD" w:rsidRDefault="00545238" w:rsidP="00080E5C">
            <w:pPr>
              <w:spacing w:before="40" w:after="40"/>
              <w:jc w:val="center"/>
              <w:rPr>
                <w:rFonts w:ascii="Verdana" w:hAnsi="Verdana"/>
                <w:noProof/>
                <w:sz w:val="16"/>
                <w:szCs w:val="16"/>
              </w:rPr>
            </w:pPr>
          </w:p>
        </w:tc>
      </w:tr>
      <w:tr w:rsidR="00545238" w:rsidRPr="001D5EAD" w14:paraId="177CE39D" w14:textId="77777777" w:rsidTr="00237337">
        <w:trPr>
          <w:trHeight w:val="20"/>
        </w:trPr>
        <w:tc>
          <w:tcPr>
            <w:tcW w:w="252" w:type="pct"/>
            <w:shd w:val="clear" w:color="auto" w:fill="F2F2F2"/>
            <w:vAlign w:val="center"/>
            <w:hideMark/>
          </w:tcPr>
          <w:p w14:paraId="5BD0A10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55</w:t>
            </w:r>
          </w:p>
        </w:tc>
        <w:tc>
          <w:tcPr>
            <w:tcW w:w="556" w:type="pct"/>
            <w:shd w:val="clear" w:color="auto" w:fill="F2F2F2"/>
            <w:vAlign w:val="center"/>
            <w:hideMark/>
          </w:tcPr>
          <w:p w14:paraId="6DBFAA2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6CEF244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Cross-border threat assessment/</w:t>
            </w:r>
            <w:r>
              <w:rPr>
                <w:rFonts w:ascii="Verdana" w:hAnsi="Verdana"/>
                <w:noProof/>
                <w:sz w:val="16"/>
                <w:szCs w:val="16"/>
              </w:rPr>
              <w:t xml:space="preserve"> </w:t>
            </w:r>
            <w:r w:rsidRPr="001D5EAD">
              <w:rPr>
                <w:rFonts w:ascii="Verdana" w:hAnsi="Verdana"/>
                <w:noProof/>
                <w:sz w:val="16"/>
                <w:szCs w:val="16"/>
              </w:rPr>
              <w:t xml:space="preserve">risk analysis </w:t>
            </w:r>
          </w:p>
        </w:tc>
        <w:tc>
          <w:tcPr>
            <w:tcW w:w="658" w:type="pct"/>
            <w:shd w:val="clear" w:color="auto" w:fill="F2F2F2"/>
            <w:vAlign w:val="center"/>
            <w:hideMark/>
          </w:tcPr>
          <w:p w14:paraId="2D4FCC1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were the main reasons for the difficulties encountered?</w:t>
            </w:r>
          </w:p>
        </w:tc>
        <w:tc>
          <w:tcPr>
            <w:tcW w:w="708" w:type="pct"/>
            <w:shd w:val="clear" w:color="auto" w:fill="F2F2F2"/>
            <w:noWrap/>
            <w:vAlign w:val="center"/>
            <w:hideMark/>
          </w:tcPr>
          <w:p w14:paraId="6954E0B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783E01A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7DD26BC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C7EE60E"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7B4C525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9FEE63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2D277F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F510A1B"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42FDA3AC" w14:textId="77777777" w:rsidR="00545238" w:rsidRPr="001D5EAD" w:rsidRDefault="00545238" w:rsidP="00080E5C">
            <w:pPr>
              <w:spacing w:before="40" w:after="40"/>
              <w:jc w:val="center"/>
              <w:rPr>
                <w:rFonts w:ascii="Verdana" w:hAnsi="Verdana"/>
                <w:noProof/>
                <w:sz w:val="16"/>
                <w:szCs w:val="16"/>
              </w:rPr>
            </w:pPr>
          </w:p>
        </w:tc>
      </w:tr>
      <w:tr w:rsidR="00545238" w:rsidRPr="001D5EAD" w14:paraId="4623DC87" w14:textId="77777777" w:rsidTr="00237337">
        <w:trPr>
          <w:trHeight w:val="20"/>
        </w:trPr>
        <w:tc>
          <w:tcPr>
            <w:tcW w:w="252" w:type="pct"/>
            <w:shd w:val="clear" w:color="auto" w:fill="F2F2F2"/>
            <w:vAlign w:val="center"/>
            <w:hideMark/>
          </w:tcPr>
          <w:p w14:paraId="2D34C79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56</w:t>
            </w:r>
          </w:p>
        </w:tc>
        <w:tc>
          <w:tcPr>
            <w:tcW w:w="556" w:type="pct"/>
            <w:shd w:val="clear" w:color="auto" w:fill="F2F2F2"/>
            <w:vAlign w:val="center"/>
            <w:hideMark/>
          </w:tcPr>
          <w:p w14:paraId="5CDABA1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E22A97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Investigative tools for cross border crimes </w:t>
            </w:r>
          </w:p>
        </w:tc>
        <w:tc>
          <w:tcPr>
            <w:tcW w:w="658" w:type="pct"/>
            <w:shd w:val="clear" w:color="auto" w:fill="F2F2F2"/>
            <w:vAlign w:val="center"/>
            <w:hideMark/>
          </w:tcPr>
          <w:p w14:paraId="22CC76F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often are the following investigative tools used in cross-border investigations involving cooperation between law enforcement authorities in your country and those in other countries?*</w:t>
            </w:r>
          </w:p>
        </w:tc>
        <w:tc>
          <w:tcPr>
            <w:tcW w:w="708" w:type="pct"/>
            <w:shd w:val="clear" w:color="auto" w:fill="F2F2F2"/>
            <w:vAlign w:val="center"/>
            <w:hideMark/>
          </w:tcPr>
          <w:p w14:paraId="18FD1D8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 border surveillance (physical)</w:t>
            </w:r>
            <w:r w:rsidRPr="001D5EAD">
              <w:rPr>
                <w:rFonts w:ascii="Verdana" w:hAnsi="Verdana"/>
                <w:noProof/>
                <w:sz w:val="16"/>
                <w:szCs w:val="16"/>
              </w:rPr>
              <w:br/>
              <w:t>*Interception of communication</w:t>
            </w:r>
            <w:r w:rsidRPr="001D5EAD">
              <w:rPr>
                <w:rFonts w:ascii="Verdana" w:hAnsi="Verdana"/>
                <w:noProof/>
                <w:sz w:val="16"/>
                <w:szCs w:val="16"/>
              </w:rPr>
              <w:br/>
              <w:t xml:space="preserve">*Covert investigations - undercover officers </w:t>
            </w:r>
            <w:r w:rsidRPr="001D5EAD">
              <w:rPr>
                <w:rFonts w:ascii="Verdana" w:hAnsi="Verdana"/>
                <w:noProof/>
                <w:sz w:val="16"/>
                <w:szCs w:val="16"/>
              </w:rPr>
              <w:br/>
              <w:t xml:space="preserve">*Controlled deliveries </w:t>
            </w:r>
            <w:r w:rsidRPr="001D5EAD">
              <w:rPr>
                <w:rFonts w:ascii="Verdana" w:hAnsi="Verdana"/>
                <w:noProof/>
                <w:sz w:val="16"/>
                <w:szCs w:val="16"/>
              </w:rPr>
              <w:br/>
              <w:t xml:space="preserve">*Informants </w:t>
            </w:r>
            <w:r w:rsidRPr="001D5EAD">
              <w:rPr>
                <w:rFonts w:ascii="Verdana" w:hAnsi="Verdana"/>
                <w:noProof/>
                <w:sz w:val="16"/>
                <w:szCs w:val="16"/>
              </w:rPr>
              <w:br/>
              <w:t xml:space="preserve">*Hot pursuit </w:t>
            </w:r>
            <w:r w:rsidRPr="001D5EAD">
              <w:rPr>
                <w:rFonts w:ascii="Verdana" w:hAnsi="Verdana"/>
                <w:noProof/>
                <w:sz w:val="16"/>
                <w:szCs w:val="16"/>
              </w:rPr>
              <w:br/>
              <w:t>*Special intervention units</w:t>
            </w:r>
            <w:r w:rsidRPr="001D5EAD">
              <w:rPr>
                <w:rFonts w:ascii="Verdana" w:hAnsi="Verdana"/>
                <w:noProof/>
                <w:sz w:val="16"/>
                <w:szCs w:val="16"/>
              </w:rPr>
              <w:br/>
              <w:t>*Joint Patrols</w:t>
            </w:r>
            <w:r w:rsidRPr="001D5EAD">
              <w:rPr>
                <w:rFonts w:ascii="Verdana" w:hAnsi="Verdana"/>
                <w:noProof/>
                <w:sz w:val="16"/>
                <w:szCs w:val="16"/>
              </w:rPr>
              <w:br/>
              <w:t>*Joint Police Offices</w:t>
            </w:r>
            <w:r w:rsidRPr="001D5EAD">
              <w:rPr>
                <w:rFonts w:ascii="Verdana" w:hAnsi="Verdana"/>
                <w:noProof/>
                <w:sz w:val="16"/>
                <w:szCs w:val="16"/>
              </w:rPr>
              <w:br/>
              <w:t>*Witness protection</w:t>
            </w:r>
          </w:p>
        </w:tc>
        <w:tc>
          <w:tcPr>
            <w:tcW w:w="291" w:type="pct"/>
            <w:shd w:val="clear" w:color="auto" w:fill="F2F2F2"/>
            <w:noWrap/>
            <w:vAlign w:val="center"/>
            <w:hideMark/>
          </w:tcPr>
          <w:p w14:paraId="416198A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82B3B9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D9A6E7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88CBE2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A6869E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2B3037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89858C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7918EE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FD9B534" w14:textId="77777777" w:rsidTr="00237337">
        <w:trPr>
          <w:trHeight w:val="20"/>
        </w:trPr>
        <w:tc>
          <w:tcPr>
            <w:tcW w:w="252" w:type="pct"/>
            <w:shd w:val="clear" w:color="auto" w:fill="F2F2F2"/>
            <w:vAlign w:val="center"/>
            <w:hideMark/>
          </w:tcPr>
          <w:p w14:paraId="68D0121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57</w:t>
            </w:r>
          </w:p>
        </w:tc>
        <w:tc>
          <w:tcPr>
            <w:tcW w:w="556" w:type="pct"/>
            <w:shd w:val="clear" w:color="auto" w:fill="F2F2F2"/>
            <w:vAlign w:val="center"/>
            <w:hideMark/>
          </w:tcPr>
          <w:p w14:paraId="1153D20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7AD3B2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Investigative tools for cross border crimes </w:t>
            </w:r>
          </w:p>
        </w:tc>
        <w:tc>
          <w:tcPr>
            <w:tcW w:w="658" w:type="pct"/>
            <w:shd w:val="clear" w:color="auto" w:fill="F2F2F2"/>
            <w:vAlign w:val="center"/>
            <w:hideMark/>
          </w:tcPr>
          <w:p w14:paraId="2BC3DEA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other investigative tools, not listed above, are used in cross-border investigations involving cooperation between law enforcement authorities in your country and those in other countries?</w:t>
            </w:r>
          </w:p>
        </w:tc>
        <w:tc>
          <w:tcPr>
            <w:tcW w:w="708" w:type="pct"/>
            <w:shd w:val="clear" w:color="auto" w:fill="F2F2F2"/>
            <w:vAlign w:val="center"/>
            <w:hideMark/>
          </w:tcPr>
          <w:p w14:paraId="1441741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2E0EDAB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AE961D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65B5A4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9A2780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8E4A86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71C24F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DC228F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CAB39E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4B0F943" w14:textId="77777777" w:rsidTr="00237337">
        <w:trPr>
          <w:trHeight w:val="20"/>
        </w:trPr>
        <w:tc>
          <w:tcPr>
            <w:tcW w:w="252" w:type="pct"/>
            <w:shd w:val="clear" w:color="auto" w:fill="F2F2F2"/>
            <w:vAlign w:val="center"/>
            <w:hideMark/>
          </w:tcPr>
          <w:p w14:paraId="7E0954A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58</w:t>
            </w:r>
          </w:p>
        </w:tc>
        <w:tc>
          <w:tcPr>
            <w:tcW w:w="556" w:type="pct"/>
            <w:shd w:val="clear" w:color="auto" w:fill="F2F2F2"/>
            <w:vAlign w:val="center"/>
            <w:hideMark/>
          </w:tcPr>
          <w:p w14:paraId="4701261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121F2CC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Investigative tools for cross border crimes </w:t>
            </w:r>
          </w:p>
        </w:tc>
        <w:tc>
          <w:tcPr>
            <w:tcW w:w="658" w:type="pct"/>
            <w:shd w:val="clear" w:color="auto" w:fill="F2F2F2"/>
            <w:vAlign w:val="center"/>
            <w:hideMark/>
          </w:tcPr>
          <w:p w14:paraId="5105A1C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are the following tools effective in generating intelligence and evidence and/ or leading to the disruption of crimes in cross-border investigations involving cooperation between law enforcement authorities in your country and those in other countries?*</w:t>
            </w:r>
          </w:p>
        </w:tc>
        <w:tc>
          <w:tcPr>
            <w:tcW w:w="708" w:type="pct"/>
            <w:shd w:val="clear" w:color="auto" w:fill="F2F2F2"/>
            <w:vAlign w:val="center"/>
            <w:hideMark/>
          </w:tcPr>
          <w:p w14:paraId="601B9D0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*Cross border surveillance (physical)</w:t>
            </w:r>
            <w:r w:rsidRPr="001D5EAD">
              <w:rPr>
                <w:rFonts w:ascii="Verdana" w:hAnsi="Verdana"/>
                <w:noProof/>
                <w:sz w:val="16"/>
                <w:szCs w:val="16"/>
              </w:rPr>
              <w:br/>
              <w:t>*Interception of communication</w:t>
            </w:r>
            <w:r w:rsidRPr="001D5EAD">
              <w:rPr>
                <w:rFonts w:ascii="Verdana" w:hAnsi="Verdana"/>
                <w:noProof/>
                <w:sz w:val="16"/>
                <w:szCs w:val="16"/>
              </w:rPr>
              <w:br/>
              <w:t xml:space="preserve">*Covert investigations - undercover officers </w:t>
            </w:r>
            <w:r w:rsidRPr="001D5EAD">
              <w:rPr>
                <w:rFonts w:ascii="Verdana" w:hAnsi="Verdana"/>
                <w:noProof/>
                <w:sz w:val="16"/>
                <w:szCs w:val="16"/>
              </w:rPr>
              <w:br/>
              <w:t xml:space="preserve">*Controlled deliveries </w:t>
            </w:r>
            <w:r w:rsidRPr="001D5EAD">
              <w:rPr>
                <w:rFonts w:ascii="Verdana" w:hAnsi="Verdana"/>
                <w:noProof/>
                <w:sz w:val="16"/>
                <w:szCs w:val="16"/>
              </w:rPr>
              <w:br/>
              <w:t xml:space="preserve">*Informants </w:t>
            </w:r>
            <w:r w:rsidRPr="001D5EAD">
              <w:rPr>
                <w:rFonts w:ascii="Verdana" w:hAnsi="Verdana"/>
                <w:noProof/>
                <w:sz w:val="16"/>
                <w:szCs w:val="16"/>
              </w:rPr>
              <w:br/>
              <w:t xml:space="preserve">*Hot pursuit </w:t>
            </w:r>
            <w:r w:rsidRPr="001D5EAD">
              <w:rPr>
                <w:rFonts w:ascii="Verdana" w:hAnsi="Verdana"/>
                <w:noProof/>
                <w:sz w:val="16"/>
                <w:szCs w:val="16"/>
              </w:rPr>
              <w:br/>
              <w:t>*Special intervention units</w:t>
            </w:r>
            <w:r w:rsidRPr="001D5EAD">
              <w:rPr>
                <w:rFonts w:ascii="Verdana" w:hAnsi="Verdana"/>
                <w:noProof/>
                <w:sz w:val="16"/>
                <w:szCs w:val="16"/>
              </w:rPr>
              <w:br/>
              <w:t>*Joint Patrols</w:t>
            </w:r>
            <w:r w:rsidRPr="001D5EAD">
              <w:rPr>
                <w:rFonts w:ascii="Verdana" w:hAnsi="Verdana"/>
                <w:noProof/>
                <w:sz w:val="16"/>
                <w:szCs w:val="16"/>
              </w:rPr>
              <w:br/>
              <w:t>*Joint Police Offices</w:t>
            </w:r>
            <w:r w:rsidRPr="001D5EAD">
              <w:rPr>
                <w:rFonts w:ascii="Verdana" w:hAnsi="Verdana"/>
                <w:noProof/>
                <w:sz w:val="16"/>
                <w:szCs w:val="16"/>
              </w:rPr>
              <w:br/>
              <w:t>*Witness protection</w:t>
            </w:r>
          </w:p>
        </w:tc>
        <w:tc>
          <w:tcPr>
            <w:tcW w:w="291" w:type="pct"/>
            <w:shd w:val="clear" w:color="auto" w:fill="F2F2F2"/>
            <w:noWrap/>
            <w:vAlign w:val="center"/>
            <w:hideMark/>
          </w:tcPr>
          <w:p w14:paraId="1E6380D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A53730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E70BE1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6395D6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1C2467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5150BB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36FE4F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6B0B8D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5B7D12F" w14:textId="77777777" w:rsidTr="00237337">
        <w:trPr>
          <w:trHeight w:val="20"/>
        </w:trPr>
        <w:tc>
          <w:tcPr>
            <w:tcW w:w="252" w:type="pct"/>
            <w:shd w:val="clear" w:color="auto" w:fill="F2F2F2"/>
            <w:vAlign w:val="center"/>
            <w:hideMark/>
          </w:tcPr>
          <w:p w14:paraId="6457464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59</w:t>
            </w:r>
          </w:p>
        </w:tc>
        <w:tc>
          <w:tcPr>
            <w:tcW w:w="556" w:type="pct"/>
            <w:shd w:val="clear" w:color="auto" w:fill="F2F2F2"/>
            <w:vAlign w:val="center"/>
            <w:hideMark/>
          </w:tcPr>
          <w:p w14:paraId="0330ABF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D424B8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Investigative tools for cross border crimes </w:t>
            </w:r>
          </w:p>
        </w:tc>
        <w:tc>
          <w:tcPr>
            <w:tcW w:w="658" w:type="pct"/>
            <w:shd w:val="clear" w:color="auto" w:fill="F2F2F2"/>
            <w:vAlign w:val="center"/>
            <w:hideMark/>
          </w:tcPr>
          <w:p w14:paraId="7358F66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do the following act as barriers to the effective use of the investigative tools listed above in cross border cases?*</w:t>
            </w:r>
          </w:p>
        </w:tc>
        <w:tc>
          <w:tcPr>
            <w:tcW w:w="708" w:type="pct"/>
            <w:shd w:val="clear" w:color="auto" w:fill="F2F2F2"/>
            <w:vAlign w:val="center"/>
            <w:hideMark/>
          </w:tcPr>
          <w:p w14:paraId="36F1B55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*Differences in national legislation regarding the offences for which an investigative tool may be authorised</w:t>
            </w:r>
            <w:r w:rsidRPr="001D5EAD">
              <w:rPr>
                <w:rFonts w:ascii="Verdana" w:hAnsi="Verdana"/>
                <w:noProof/>
                <w:sz w:val="16"/>
                <w:szCs w:val="16"/>
              </w:rPr>
              <w:br/>
              <w:t>*Differences in national definitions regarding the length of time for which a special investigative tool may be authorised/ regularity of review</w:t>
            </w:r>
            <w:r w:rsidRPr="001D5EAD">
              <w:rPr>
                <w:rFonts w:ascii="Verdana" w:hAnsi="Verdana"/>
                <w:noProof/>
                <w:sz w:val="16"/>
                <w:szCs w:val="16"/>
              </w:rPr>
              <w:br/>
              <w:t>*Other differences in national legislation regarding definition and scope of investigative tools</w:t>
            </w:r>
            <w:r w:rsidRPr="001D5EAD">
              <w:rPr>
                <w:rFonts w:ascii="Verdana" w:hAnsi="Verdana"/>
                <w:noProof/>
                <w:sz w:val="16"/>
                <w:szCs w:val="16"/>
              </w:rPr>
              <w:br/>
              <w:t>*Financial costs of conducting cross-border operations utilising special investigative tools</w:t>
            </w:r>
            <w:r w:rsidRPr="001D5EAD">
              <w:rPr>
                <w:rFonts w:ascii="Verdana" w:hAnsi="Verdana"/>
                <w:noProof/>
                <w:sz w:val="16"/>
                <w:szCs w:val="16"/>
              </w:rPr>
              <w:br/>
              <w:t xml:space="preserve">*Differences between countries in technologies (for example, different communications systems, different surveillance technologies) </w:t>
            </w:r>
            <w:r w:rsidRPr="001D5EAD">
              <w:rPr>
                <w:rFonts w:ascii="Verdana" w:hAnsi="Verdana"/>
                <w:noProof/>
                <w:sz w:val="16"/>
                <w:szCs w:val="16"/>
              </w:rPr>
              <w:br/>
              <w:t>*Challenges in trust between countries</w:t>
            </w:r>
            <w:r w:rsidRPr="001D5EAD">
              <w:rPr>
                <w:rFonts w:ascii="Verdana" w:hAnsi="Verdana"/>
                <w:noProof/>
                <w:sz w:val="16"/>
                <w:szCs w:val="16"/>
              </w:rPr>
              <w:br/>
              <w:t>*Restrictions on the ability to use investigative tools due to data protection regulations</w:t>
            </w:r>
            <w:r w:rsidRPr="001D5EAD">
              <w:rPr>
                <w:rFonts w:ascii="Verdana" w:hAnsi="Verdana"/>
                <w:noProof/>
                <w:sz w:val="16"/>
                <w:szCs w:val="16"/>
              </w:rPr>
              <w:br/>
              <w:t>*Restrictions on the ability to use investigative tools due to fundamental rights protections</w:t>
            </w:r>
            <w:r w:rsidRPr="001D5EAD">
              <w:rPr>
                <w:rFonts w:ascii="Verdana" w:hAnsi="Verdana"/>
                <w:noProof/>
                <w:sz w:val="16"/>
                <w:szCs w:val="16"/>
              </w:rPr>
              <w:br/>
              <w:t>*Lack of knowledge and training among law enforcement practitioners about how to apply for or implement investigative tools</w:t>
            </w:r>
          </w:p>
        </w:tc>
        <w:tc>
          <w:tcPr>
            <w:tcW w:w="291" w:type="pct"/>
            <w:shd w:val="clear" w:color="auto" w:fill="F2F2F2"/>
            <w:noWrap/>
            <w:vAlign w:val="center"/>
            <w:hideMark/>
          </w:tcPr>
          <w:p w14:paraId="71C6C86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2033D0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148600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099A2F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10DF28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F1E736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E3DCCA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3E1BA6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FF60FF5" w14:textId="77777777" w:rsidTr="00237337">
        <w:trPr>
          <w:trHeight w:val="20"/>
        </w:trPr>
        <w:tc>
          <w:tcPr>
            <w:tcW w:w="252" w:type="pct"/>
            <w:shd w:val="clear" w:color="auto" w:fill="F2F2F2"/>
            <w:vAlign w:val="center"/>
            <w:hideMark/>
          </w:tcPr>
          <w:p w14:paraId="27E0EFE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60</w:t>
            </w:r>
          </w:p>
        </w:tc>
        <w:tc>
          <w:tcPr>
            <w:tcW w:w="556" w:type="pct"/>
            <w:shd w:val="clear" w:color="auto" w:fill="F2F2F2"/>
            <w:vAlign w:val="center"/>
            <w:hideMark/>
          </w:tcPr>
          <w:p w14:paraId="7B5F9C0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1DF173B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Investigative tools for cross border crimes </w:t>
            </w:r>
          </w:p>
        </w:tc>
        <w:tc>
          <w:tcPr>
            <w:tcW w:w="658" w:type="pct"/>
            <w:shd w:val="clear" w:color="auto" w:fill="F2F2F2"/>
            <w:vAlign w:val="center"/>
            <w:hideMark/>
          </w:tcPr>
          <w:p w14:paraId="52F1E05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Please provide further details to explain your answers above and to illustrate concrete examples of barriers to use of investigative tools in cross border cases. </w:t>
            </w:r>
          </w:p>
        </w:tc>
        <w:tc>
          <w:tcPr>
            <w:tcW w:w="708" w:type="pct"/>
            <w:shd w:val="clear" w:color="auto" w:fill="F2F2F2"/>
            <w:vAlign w:val="center"/>
            <w:hideMark/>
          </w:tcPr>
          <w:p w14:paraId="2437684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7CA8585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152C93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FFD3BB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0E97A74"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80BA834"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240BAA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845FB8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FD02A5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C018D7D" w14:textId="77777777" w:rsidTr="00237337">
        <w:trPr>
          <w:trHeight w:val="20"/>
        </w:trPr>
        <w:tc>
          <w:tcPr>
            <w:tcW w:w="252" w:type="pct"/>
            <w:shd w:val="clear" w:color="auto" w:fill="F2F2F2"/>
            <w:vAlign w:val="center"/>
            <w:hideMark/>
          </w:tcPr>
          <w:p w14:paraId="4DCF275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61</w:t>
            </w:r>
          </w:p>
        </w:tc>
        <w:tc>
          <w:tcPr>
            <w:tcW w:w="556" w:type="pct"/>
            <w:shd w:val="clear" w:color="auto" w:fill="F2F2F2"/>
            <w:vAlign w:val="center"/>
            <w:hideMark/>
          </w:tcPr>
          <w:p w14:paraId="1F25C9E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07BFF98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6AD3F8D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does the EU legal framework provide the necessary mechanisms for law enforcement authorities in your country to cooperate with other countries?*</w:t>
            </w:r>
          </w:p>
        </w:tc>
        <w:tc>
          <w:tcPr>
            <w:tcW w:w="708" w:type="pct"/>
            <w:shd w:val="clear" w:color="auto" w:fill="F2F2F2"/>
            <w:vAlign w:val="center"/>
            <w:hideMark/>
          </w:tcPr>
          <w:p w14:paraId="60FD6F2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*Schengen acquis - 1990 Convention implementing the Schengen Agreement of 1985 (CISA)</w:t>
            </w:r>
            <w:r w:rsidRPr="001D5EAD">
              <w:rPr>
                <w:rFonts w:ascii="Verdana" w:hAnsi="Verdana"/>
                <w:noProof/>
                <w:sz w:val="16"/>
                <w:szCs w:val="16"/>
              </w:rPr>
              <w:br/>
              <w:t>*Swedish Framework Decision (Council Framework Decision 2006/960)</w:t>
            </w:r>
            <w:r w:rsidRPr="001D5EAD">
              <w:rPr>
                <w:rFonts w:ascii="Verdana" w:hAnsi="Verdana"/>
                <w:noProof/>
                <w:sz w:val="16"/>
                <w:szCs w:val="16"/>
              </w:rPr>
              <w:br/>
              <w:t>*Naples II Convention (1998)</w:t>
            </w:r>
            <w:r w:rsidRPr="001D5EAD">
              <w:rPr>
                <w:rFonts w:ascii="Verdana" w:hAnsi="Verdana"/>
                <w:noProof/>
                <w:sz w:val="16"/>
                <w:szCs w:val="16"/>
              </w:rPr>
              <w:br/>
              <w:t>*Prüm Decision (Council Decision 2008/615/JHA)</w:t>
            </w:r>
            <w:r w:rsidRPr="001D5EAD">
              <w:rPr>
                <w:rFonts w:ascii="Verdana" w:hAnsi="Verdana"/>
                <w:noProof/>
                <w:sz w:val="16"/>
                <w:szCs w:val="16"/>
              </w:rPr>
              <w:br/>
              <w:t>*Council Decision 2007/412/JHA concerning security in connection with football matches with an international dimension</w:t>
            </w:r>
            <w:r w:rsidRPr="001D5EAD">
              <w:rPr>
                <w:rFonts w:ascii="Verdana" w:hAnsi="Verdana"/>
                <w:noProof/>
                <w:sz w:val="16"/>
                <w:szCs w:val="16"/>
              </w:rPr>
              <w:br/>
              <w:t xml:space="preserve">*Council Decision 2006/560/JHA of 24 July 2006 on the common use of liaison officers posted abroad by the law enforcement agencies of the Member States </w:t>
            </w:r>
          </w:p>
        </w:tc>
        <w:tc>
          <w:tcPr>
            <w:tcW w:w="291" w:type="pct"/>
            <w:shd w:val="clear" w:color="auto" w:fill="F2F2F2"/>
            <w:noWrap/>
            <w:vAlign w:val="center"/>
            <w:hideMark/>
          </w:tcPr>
          <w:p w14:paraId="759DDD2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439B43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4C2E7C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441F88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1E776F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7CB65D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10F35A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F8A699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ABB2B1F" w14:textId="77777777" w:rsidTr="00237337">
        <w:trPr>
          <w:trHeight w:val="20"/>
        </w:trPr>
        <w:tc>
          <w:tcPr>
            <w:tcW w:w="252" w:type="pct"/>
            <w:shd w:val="clear" w:color="auto" w:fill="F2F2F2"/>
            <w:vAlign w:val="center"/>
            <w:hideMark/>
          </w:tcPr>
          <w:p w14:paraId="029DC0C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62</w:t>
            </w:r>
          </w:p>
        </w:tc>
        <w:tc>
          <w:tcPr>
            <w:tcW w:w="556" w:type="pct"/>
            <w:shd w:val="clear" w:color="auto" w:fill="F2F2F2"/>
            <w:vAlign w:val="center"/>
            <w:hideMark/>
          </w:tcPr>
          <w:p w14:paraId="78F8D63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7D3E48C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597BF55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Has your country adopted other measures to enable cross border cooperation besides those provided by the EU legal framework?*</w:t>
            </w:r>
          </w:p>
        </w:tc>
        <w:tc>
          <w:tcPr>
            <w:tcW w:w="708" w:type="pct"/>
            <w:shd w:val="clear" w:color="auto" w:fill="F2F2F2"/>
            <w:vAlign w:val="center"/>
            <w:hideMark/>
          </w:tcPr>
          <w:p w14:paraId="03807AE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*Yes</w:t>
            </w:r>
            <w:r w:rsidRPr="001D5EAD">
              <w:rPr>
                <w:rFonts w:ascii="Verdana" w:hAnsi="Verdana"/>
                <w:noProof/>
                <w:sz w:val="16"/>
                <w:szCs w:val="16"/>
              </w:rPr>
              <w:br/>
              <w:t>*No</w:t>
            </w:r>
            <w:r w:rsidRPr="001D5EAD">
              <w:rPr>
                <w:rFonts w:ascii="Verdana" w:hAnsi="Verdana"/>
                <w:noProof/>
                <w:sz w:val="16"/>
                <w:szCs w:val="16"/>
              </w:rPr>
              <w:br/>
              <w:t>*Don't know</w:t>
            </w:r>
          </w:p>
        </w:tc>
        <w:tc>
          <w:tcPr>
            <w:tcW w:w="291" w:type="pct"/>
            <w:shd w:val="clear" w:color="auto" w:fill="F2F2F2"/>
            <w:noWrap/>
            <w:vAlign w:val="center"/>
            <w:hideMark/>
          </w:tcPr>
          <w:p w14:paraId="72F7B76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443A8D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2B0D90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583DA9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E65609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2367DB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F824DB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24EC5D1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7F6C114" w14:textId="77777777" w:rsidTr="00237337">
        <w:trPr>
          <w:trHeight w:val="20"/>
        </w:trPr>
        <w:tc>
          <w:tcPr>
            <w:tcW w:w="252" w:type="pct"/>
            <w:shd w:val="clear" w:color="auto" w:fill="F2F2F2"/>
            <w:vAlign w:val="center"/>
            <w:hideMark/>
          </w:tcPr>
          <w:p w14:paraId="197204D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63</w:t>
            </w:r>
          </w:p>
        </w:tc>
        <w:tc>
          <w:tcPr>
            <w:tcW w:w="556" w:type="pct"/>
            <w:shd w:val="clear" w:color="auto" w:fill="F2F2F2"/>
            <w:vAlign w:val="center"/>
            <w:hideMark/>
          </w:tcPr>
          <w:p w14:paraId="4630E8B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D5BFC2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2CE48DC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If yes, why? </w:t>
            </w:r>
          </w:p>
        </w:tc>
        <w:tc>
          <w:tcPr>
            <w:tcW w:w="708" w:type="pct"/>
            <w:shd w:val="clear" w:color="auto" w:fill="F2F2F2"/>
            <w:vAlign w:val="center"/>
            <w:hideMark/>
          </w:tcPr>
          <w:p w14:paraId="571FD49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EU legal Framework does not properly address the needs of my country</w:t>
            </w:r>
            <w:r w:rsidRPr="001D5EAD">
              <w:rPr>
                <w:rFonts w:ascii="Verdana" w:hAnsi="Verdana"/>
                <w:noProof/>
                <w:sz w:val="16"/>
                <w:szCs w:val="16"/>
              </w:rPr>
              <w:br/>
              <w:t xml:space="preserve">*The EU legal framework is too complex and difficult to implement </w:t>
            </w:r>
            <w:r w:rsidRPr="001D5EAD">
              <w:rPr>
                <w:rFonts w:ascii="Verdana" w:hAnsi="Verdana"/>
                <w:noProof/>
                <w:sz w:val="16"/>
                <w:szCs w:val="16"/>
              </w:rPr>
              <w:br/>
              <w:t>*It is easier to use measures and practices which stem from a national strategy than those offered by the EU framework</w:t>
            </w:r>
            <w:r w:rsidRPr="001D5EAD">
              <w:rPr>
                <w:rFonts w:ascii="Verdana" w:hAnsi="Verdana"/>
                <w:noProof/>
                <w:sz w:val="16"/>
                <w:szCs w:val="16"/>
              </w:rPr>
              <w:br/>
              <w:t>*Other (please specify)</w:t>
            </w:r>
          </w:p>
        </w:tc>
        <w:tc>
          <w:tcPr>
            <w:tcW w:w="291" w:type="pct"/>
            <w:shd w:val="clear" w:color="auto" w:fill="F2F2F2"/>
            <w:noWrap/>
            <w:vAlign w:val="center"/>
            <w:hideMark/>
          </w:tcPr>
          <w:p w14:paraId="7B2AD79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59E24B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EF4087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2F520E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0FC4B2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9DC266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DBB2F3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610E2D8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7855DB0" w14:textId="77777777" w:rsidTr="00237337">
        <w:trPr>
          <w:trHeight w:val="20"/>
        </w:trPr>
        <w:tc>
          <w:tcPr>
            <w:tcW w:w="252" w:type="pct"/>
            <w:shd w:val="clear" w:color="auto" w:fill="F2F2F2"/>
            <w:vAlign w:val="center"/>
            <w:hideMark/>
          </w:tcPr>
          <w:p w14:paraId="505A1F5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64</w:t>
            </w:r>
          </w:p>
        </w:tc>
        <w:tc>
          <w:tcPr>
            <w:tcW w:w="556" w:type="pct"/>
            <w:shd w:val="clear" w:color="auto" w:fill="F2F2F2"/>
            <w:vAlign w:val="center"/>
            <w:hideMark/>
          </w:tcPr>
          <w:p w14:paraId="2C70346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679816C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50AFDB8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are the following non-binding documents useful to ensure the proper implementation of the Swedish Framework Decision, the Schengen acquis (CISA Convention), Prüm decision on joint operations and other documents they refer to?*</w:t>
            </w:r>
          </w:p>
        </w:tc>
        <w:tc>
          <w:tcPr>
            <w:tcW w:w="708" w:type="pct"/>
            <w:shd w:val="clear" w:color="auto" w:fill="F2F2F2"/>
            <w:vAlign w:val="center"/>
            <w:hideMark/>
          </w:tcPr>
          <w:p w14:paraId="05861CE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*Updated Catalogue of Recommendations for the correct application of the Schengen Acquis and Best practices: Police cooperation (15785/3/10);</w:t>
            </w:r>
            <w:r w:rsidRPr="001D5EAD">
              <w:rPr>
                <w:rFonts w:ascii="Verdana" w:hAnsi="Verdana"/>
                <w:noProof/>
                <w:sz w:val="16"/>
                <w:szCs w:val="16"/>
              </w:rPr>
              <w:br/>
              <w:t>*Guidelines on the implementation of the Swedish Framework Decision (13034/14);</w:t>
            </w:r>
            <w:r w:rsidRPr="001D5EAD">
              <w:rPr>
                <w:rFonts w:ascii="Verdana" w:hAnsi="Verdana"/>
                <w:noProof/>
                <w:sz w:val="16"/>
                <w:szCs w:val="16"/>
              </w:rPr>
              <w:br/>
              <w:t>*Draft Guidelines for a Single Point of Contact (SPOC) for international law enforcement information exchange (10492/14);</w:t>
            </w:r>
            <w:r w:rsidRPr="001D5EAD">
              <w:rPr>
                <w:rFonts w:ascii="Verdana" w:hAnsi="Verdana"/>
                <w:noProof/>
                <w:sz w:val="16"/>
                <w:szCs w:val="16"/>
              </w:rPr>
              <w:br/>
              <w:t>*Manual on cross border operations (13887/20) and its National Factsheets (13920/20);</w:t>
            </w:r>
            <w:r w:rsidRPr="001D5EAD">
              <w:rPr>
                <w:rFonts w:ascii="Verdana" w:hAnsi="Verdana"/>
                <w:noProof/>
                <w:sz w:val="16"/>
                <w:szCs w:val="16"/>
              </w:rPr>
              <w:br/>
              <w:t>*Manual on Law Enforcement Information Exchange (5825/20)</w:t>
            </w:r>
          </w:p>
        </w:tc>
        <w:tc>
          <w:tcPr>
            <w:tcW w:w="291" w:type="pct"/>
            <w:shd w:val="clear" w:color="auto" w:fill="F2F2F2"/>
            <w:noWrap/>
            <w:vAlign w:val="center"/>
            <w:hideMark/>
          </w:tcPr>
          <w:p w14:paraId="050F35E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39418B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385F67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54DB52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12ABB2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F59E2C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65D43C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2FD392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6131E96" w14:textId="77777777" w:rsidTr="00237337">
        <w:trPr>
          <w:trHeight w:val="20"/>
        </w:trPr>
        <w:tc>
          <w:tcPr>
            <w:tcW w:w="252" w:type="pct"/>
            <w:shd w:val="clear" w:color="auto" w:fill="F2F2F2"/>
            <w:vAlign w:val="center"/>
            <w:hideMark/>
          </w:tcPr>
          <w:p w14:paraId="1267F35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65</w:t>
            </w:r>
          </w:p>
        </w:tc>
        <w:tc>
          <w:tcPr>
            <w:tcW w:w="556" w:type="pct"/>
            <w:shd w:val="clear" w:color="auto" w:fill="F2F2F2"/>
            <w:vAlign w:val="center"/>
            <w:hideMark/>
          </w:tcPr>
          <w:p w14:paraId="38EF389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4C5B70A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6AFD37B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Can you please explain your previous assessment and indicate aspects of the documents that require improvement</w:t>
            </w:r>
          </w:p>
        </w:tc>
        <w:tc>
          <w:tcPr>
            <w:tcW w:w="708" w:type="pct"/>
            <w:shd w:val="clear" w:color="auto" w:fill="F2F2F2"/>
            <w:vAlign w:val="center"/>
            <w:hideMark/>
          </w:tcPr>
          <w:p w14:paraId="0F4F562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71A8D49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4F03DB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F7D147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3C86D18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B20052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67260F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CFFB01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814191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CFE1C81" w14:textId="77777777" w:rsidTr="00237337">
        <w:trPr>
          <w:trHeight w:val="20"/>
        </w:trPr>
        <w:tc>
          <w:tcPr>
            <w:tcW w:w="252" w:type="pct"/>
            <w:shd w:val="clear" w:color="auto" w:fill="F2F2F2"/>
            <w:vAlign w:val="center"/>
            <w:hideMark/>
          </w:tcPr>
          <w:p w14:paraId="76891FC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64.A</w:t>
            </w:r>
          </w:p>
        </w:tc>
        <w:tc>
          <w:tcPr>
            <w:tcW w:w="556" w:type="pct"/>
            <w:shd w:val="clear" w:color="auto" w:fill="F2F2F2"/>
            <w:vAlign w:val="center"/>
            <w:hideMark/>
          </w:tcPr>
          <w:p w14:paraId="05960E5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68B0AD5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5CF5DF7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Do you have any other example of Council guideline papers of relevance? Please specify.</w:t>
            </w:r>
          </w:p>
        </w:tc>
        <w:tc>
          <w:tcPr>
            <w:tcW w:w="708" w:type="pct"/>
            <w:shd w:val="clear" w:color="auto" w:fill="F2F2F2"/>
            <w:vAlign w:val="center"/>
            <w:hideMark/>
          </w:tcPr>
          <w:p w14:paraId="5F8B507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7E9ADCD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61613D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80512A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5AA475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07EF1C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10E22B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65725B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84DD55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E7F8E5E" w14:textId="77777777" w:rsidTr="00237337">
        <w:trPr>
          <w:trHeight w:val="20"/>
        </w:trPr>
        <w:tc>
          <w:tcPr>
            <w:tcW w:w="252" w:type="pct"/>
            <w:shd w:val="clear" w:color="auto" w:fill="F2F2F2"/>
            <w:vAlign w:val="center"/>
            <w:hideMark/>
          </w:tcPr>
          <w:p w14:paraId="3B98800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66</w:t>
            </w:r>
          </w:p>
        </w:tc>
        <w:tc>
          <w:tcPr>
            <w:tcW w:w="556" w:type="pct"/>
            <w:shd w:val="clear" w:color="auto" w:fill="F2F2F2"/>
            <w:vAlign w:val="center"/>
            <w:hideMark/>
          </w:tcPr>
          <w:p w14:paraId="6473FCB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THE CURRENT EU FRAMEWORK FOR LAW ENFORCEMENT COOPERATION</w:t>
            </w:r>
          </w:p>
        </w:tc>
        <w:tc>
          <w:tcPr>
            <w:tcW w:w="507" w:type="pct"/>
            <w:shd w:val="clear" w:color="auto" w:fill="F2F2F2"/>
            <w:vAlign w:val="center"/>
            <w:hideMark/>
          </w:tcPr>
          <w:p w14:paraId="50B3859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121A0FF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Do you see additional barriers (not already listed above) to cross border law enforcement cooperation and to the effective use of investigative tools in cross border cases? If yes please specify</w:t>
            </w:r>
          </w:p>
        </w:tc>
        <w:tc>
          <w:tcPr>
            <w:tcW w:w="708" w:type="pct"/>
            <w:shd w:val="clear" w:color="auto" w:fill="F2F2F2"/>
            <w:vAlign w:val="center"/>
            <w:hideMark/>
          </w:tcPr>
          <w:p w14:paraId="0CE40D9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23EB1C6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DAE33A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F004E0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9BE63D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80A294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8DE0C0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97FC80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6296E7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8818683" w14:textId="77777777" w:rsidTr="00237337">
        <w:trPr>
          <w:trHeight w:val="20"/>
        </w:trPr>
        <w:tc>
          <w:tcPr>
            <w:tcW w:w="252" w:type="pct"/>
            <w:shd w:val="clear" w:color="auto" w:fill="F2F2F2"/>
            <w:vAlign w:val="center"/>
            <w:hideMark/>
          </w:tcPr>
          <w:p w14:paraId="0E857C6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67</w:t>
            </w:r>
          </w:p>
        </w:tc>
        <w:tc>
          <w:tcPr>
            <w:tcW w:w="556" w:type="pct"/>
            <w:shd w:val="clear" w:color="auto" w:fill="F2F2F2"/>
            <w:vAlign w:val="center"/>
            <w:hideMark/>
          </w:tcPr>
          <w:p w14:paraId="32021D2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1624978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Number and type</w:t>
            </w:r>
          </w:p>
        </w:tc>
        <w:tc>
          <w:tcPr>
            <w:tcW w:w="658" w:type="pct"/>
            <w:shd w:val="clear" w:color="auto" w:fill="F2F2F2"/>
            <w:vAlign w:val="center"/>
            <w:hideMark/>
          </w:tcPr>
          <w:p w14:paraId="14D5679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Has your country entered into any bi/tri/multilateral agreements regarding law enforcement operational cooperation or information exchange with law enforcement authorities in other countries?*</w:t>
            </w:r>
          </w:p>
        </w:tc>
        <w:tc>
          <w:tcPr>
            <w:tcW w:w="708" w:type="pct"/>
            <w:shd w:val="clear" w:color="auto" w:fill="F2F2F2"/>
            <w:vAlign w:val="center"/>
            <w:hideMark/>
          </w:tcPr>
          <w:p w14:paraId="59F3CE0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*Yes</w:t>
            </w:r>
            <w:r w:rsidRPr="001D5EAD">
              <w:rPr>
                <w:rFonts w:ascii="Verdana" w:hAnsi="Verdana"/>
                <w:noProof/>
                <w:sz w:val="16"/>
                <w:szCs w:val="16"/>
              </w:rPr>
              <w:br/>
              <w:t>*No</w:t>
            </w:r>
            <w:r w:rsidRPr="001D5EAD">
              <w:rPr>
                <w:rFonts w:ascii="Verdana" w:hAnsi="Verdana"/>
                <w:noProof/>
                <w:sz w:val="16"/>
                <w:szCs w:val="16"/>
              </w:rPr>
              <w:br/>
              <w:t>*Don't know</w:t>
            </w:r>
          </w:p>
        </w:tc>
        <w:tc>
          <w:tcPr>
            <w:tcW w:w="291" w:type="pct"/>
            <w:shd w:val="clear" w:color="auto" w:fill="F2F2F2"/>
            <w:noWrap/>
            <w:vAlign w:val="center"/>
            <w:hideMark/>
          </w:tcPr>
          <w:p w14:paraId="7933583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1CB9A2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AE6C814"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42967A4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1DE264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26E360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91B56AD"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68D9042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1B130E8" w14:textId="77777777" w:rsidTr="00237337">
        <w:trPr>
          <w:trHeight w:val="20"/>
        </w:trPr>
        <w:tc>
          <w:tcPr>
            <w:tcW w:w="252" w:type="pct"/>
            <w:shd w:val="clear" w:color="auto" w:fill="F2F2F2"/>
            <w:vAlign w:val="center"/>
            <w:hideMark/>
          </w:tcPr>
          <w:p w14:paraId="4C1245D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68</w:t>
            </w:r>
          </w:p>
        </w:tc>
        <w:tc>
          <w:tcPr>
            <w:tcW w:w="556" w:type="pct"/>
            <w:shd w:val="clear" w:color="auto" w:fill="F2F2F2"/>
            <w:vAlign w:val="center"/>
            <w:hideMark/>
          </w:tcPr>
          <w:p w14:paraId="740DA19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49FE0EC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Number and type</w:t>
            </w:r>
          </w:p>
        </w:tc>
        <w:tc>
          <w:tcPr>
            <w:tcW w:w="658" w:type="pct"/>
            <w:shd w:val="clear" w:color="auto" w:fill="F2F2F2"/>
            <w:vAlign w:val="center"/>
            <w:hideMark/>
          </w:tcPr>
          <w:p w14:paraId="328AB79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so, how many separate agreements has your country entered into?</w:t>
            </w:r>
          </w:p>
        </w:tc>
        <w:tc>
          <w:tcPr>
            <w:tcW w:w="708" w:type="pct"/>
            <w:shd w:val="clear" w:color="auto" w:fill="F2F2F2"/>
            <w:vAlign w:val="center"/>
            <w:hideMark/>
          </w:tcPr>
          <w:p w14:paraId="0EB23C5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1</w:t>
            </w:r>
            <w:r w:rsidRPr="001D5EAD">
              <w:rPr>
                <w:rFonts w:ascii="Verdana" w:hAnsi="Verdana"/>
                <w:noProof/>
                <w:sz w:val="16"/>
                <w:szCs w:val="16"/>
              </w:rPr>
              <w:br/>
              <w:t>2</w:t>
            </w:r>
            <w:r w:rsidRPr="001D5EAD">
              <w:rPr>
                <w:rFonts w:ascii="Verdana" w:hAnsi="Verdana"/>
                <w:noProof/>
                <w:sz w:val="16"/>
                <w:szCs w:val="16"/>
              </w:rPr>
              <w:br/>
              <w:t xml:space="preserve">3 </w:t>
            </w:r>
            <w:r w:rsidRPr="001D5EAD">
              <w:rPr>
                <w:rFonts w:ascii="Verdana" w:hAnsi="Verdana"/>
                <w:noProof/>
                <w:sz w:val="16"/>
                <w:szCs w:val="16"/>
              </w:rPr>
              <w:br/>
              <w:t>4</w:t>
            </w:r>
            <w:r w:rsidRPr="001D5EAD">
              <w:rPr>
                <w:rFonts w:ascii="Verdana" w:hAnsi="Verdana"/>
                <w:noProof/>
                <w:sz w:val="16"/>
                <w:szCs w:val="16"/>
              </w:rPr>
              <w:br/>
              <w:t>5-10</w:t>
            </w:r>
            <w:r w:rsidRPr="001D5EAD">
              <w:rPr>
                <w:rFonts w:ascii="Verdana" w:hAnsi="Verdana"/>
                <w:noProof/>
                <w:sz w:val="16"/>
                <w:szCs w:val="16"/>
              </w:rPr>
              <w:br/>
              <w:t>More than 10</w:t>
            </w:r>
            <w:r w:rsidRPr="001D5EAD">
              <w:rPr>
                <w:rFonts w:ascii="Verdana" w:hAnsi="Verdana"/>
                <w:noProof/>
                <w:sz w:val="16"/>
                <w:szCs w:val="16"/>
              </w:rPr>
              <w:br/>
              <w:t>I don't know</w:t>
            </w:r>
          </w:p>
        </w:tc>
        <w:tc>
          <w:tcPr>
            <w:tcW w:w="291" w:type="pct"/>
            <w:shd w:val="clear" w:color="auto" w:fill="F2F2F2"/>
            <w:noWrap/>
            <w:vAlign w:val="center"/>
            <w:hideMark/>
          </w:tcPr>
          <w:p w14:paraId="66C2256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120EE8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76B874A"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6331D7F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A37979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1BE784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3193D7E"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0A58F4B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59F9602" w14:textId="77777777" w:rsidTr="00237337">
        <w:trPr>
          <w:trHeight w:val="20"/>
        </w:trPr>
        <w:tc>
          <w:tcPr>
            <w:tcW w:w="252" w:type="pct"/>
            <w:shd w:val="clear" w:color="auto" w:fill="F2F2F2"/>
            <w:vAlign w:val="center"/>
            <w:hideMark/>
          </w:tcPr>
          <w:p w14:paraId="55ADE3A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69</w:t>
            </w:r>
          </w:p>
        </w:tc>
        <w:tc>
          <w:tcPr>
            <w:tcW w:w="556" w:type="pct"/>
            <w:shd w:val="clear" w:color="auto" w:fill="F2F2F2"/>
            <w:vAlign w:val="center"/>
            <w:hideMark/>
          </w:tcPr>
          <w:p w14:paraId="0B02B64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0216FE3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Number and type</w:t>
            </w:r>
          </w:p>
        </w:tc>
        <w:tc>
          <w:tcPr>
            <w:tcW w:w="658" w:type="pct"/>
            <w:shd w:val="clear" w:color="auto" w:fill="F2F2F2"/>
            <w:vAlign w:val="center"/>
            <w:hideMark/>
          </w:tcPr>
          <w:p w14:paraId="4723173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type of stakeholders are involved in the implementation of these agreements?</w:t>
            </w:r>
          </w:p>
        </w:tc>
        <w:tc>
          <w:tcPr>
            <w:tcW w:w="708" w:type="pct"/>
            <w:shd w:val="clear" w:color="auto" w:fill="F2F2F2"/>
            <w:vAlign w:val="center"/>
            <w:hideMark/>
          </w:tcPr>
          <w:p w14:paraId="283F4CC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*Only police</w:t>
            </w:r>
            <w:r w:rsidRPr="001D5EAD">
              <w:rPr>
                <w:rFonts w:ascii="Verdana" w:hAnsi="Verdana"/>
                <w:noProof/>
                <w:sz w:val="16"/>
                <w:szCs w:val="16"/>
              </w:rPr>
              <w:br/>
              <w:t>*Only customs</w:t>
            </w:r>
            <w:r w:rsidRPr="001D5EAD">
              <w:rPr>
                <w:rFonts w:ascii="Verdana" w:hAnsi="Verdana"/>
                <w:noProof/>
                <w:sz w:val="16"/>
                <w:szCs w:val="16"/>
              </w:rPr>
              <w:br/>
              <w:t>*Police and customs</w:t>
            </w:r>
            <w:r w:rsidRPr="001D5EAD">
              <w:rPr>
                <w:rFonts w:ascii="Verdana" w:hAnsi="Verdana"/>
                <w:noProof/>
                <w:sz w:val="16"/>
                <w:szCs w:val="16"/>
              </w:rPr>
              <w:br/>
              <w:t>*I don't know</w:t>
            </w:r>
            <w:r w:rsidRPr="001D5EAD">
              <w:rPr>
                <w:rFonts w:ascii="Verdana" w:hAnsi="Verdana"/>
                <w:noProof/>
                <w:sz w:val="16"/>
                <w:szCs w:val="16"/>
              </w:rPr>
              <w:br/>
              <w:t>*Other, please specify</w:t>
            </w:r>
          </w:p>
        </w:tc>
        <w:tc>
          <w:tcPr>
            <w:tcW w:w="291" w:type="pct"/>
            <w:shd w:val="clear" w:color="auto" w:fill="F2F2F2"/>
            <w:noWrap/>
            <w:vAlign w:val="center"/>
            <w:hideMark/>
          </w:tcPr>
          <w:p w14:paraId="1F71B2C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7E379F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CCBE3FC"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54F604CD"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D23068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3BE9C5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280CF70"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22A2ABA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201CA48" w14:textId="77777777" w:rsidTr="00237337">
        <w:trPr>
          <w:trHeight w:val="20"/>
        </w:trPr>
        <w:tc>
          <w:tcPr>
            <w:tcW w:w="252" w:type="pct"/>
            <w:shd w:val="clear" w:color="auto" w:fill="F2F2F2"/>
            <w:vAlign w:val="center"/>
            <w:hideMark/>
          </w:tcPr>
          <w:p w14:paraId="664ABCF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70</w:t>
            </w:r>
          </w:p>
        </w:tc>
        <w:tc>
          <w:tcPr>
            <w:tcW w:w="556" w:type="pct"/>
            <w:shd w:val="clear" w:color="auto" w:fill="F2F2F2"/>
            <w:vAlign w:val="center"/>
            <w:hideMark/>
          </w:tcPr>
          <w:p w14:paraId="5C41363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4CC8A81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Number and type</w:t>
            </w:r>
          </w:p>
        </w:tc>
        <w:tc>
          <w:tcPr>
            <w:tcW w:w="658" w:type="pct"/>
            <w:shd w:val="clear" w:color="auto" w:fill="F2F2F2"/>
            <w:vAlign w:val="center"/>
            <w:hideMark/>
          </w:tcPr>
          <w:p w14:paraId="48E4DC8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Can you please list the agreements and provide the reference to the legal documents?</w:t>
            </w:r>
          </w:p>
        </w:tc>
        <w:tc>
          <w:tcPr>
            <w:tcW w:w="708" w:type="pct"/>
            <w:shd w:val="clear" w:color="auto" w:fill="F2F2F2"/>
            <w:vAlign w:val="center"/>
            <w:hideMark/>
          </w:tcPr>
          <w:p w14:paraId="0EED425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3F17FEB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6949CC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E4EA13B"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098C3DB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4282A7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3F1C54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D2B5CBD"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23918E0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073F964" w14:textId="77777777" w:rsidTr="00237337">
        <w:trPr>
          <w:trHeight w:val="20"/>
        </w:trPr>
        <w:tc>
          <w:tcPr>
            <w:tcW w:w="252" w:type="pct"/>
            <w:shd w:val="clear" w:color="auto" w:fill="F2F2F2"/>
            <w:vAlign w:val="center"/>
            <w:hideMark/>
          </w:tcPr>
          <w:p w14:paraId="39B9E0A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71</w:t>
            </w:r>
          </w:p>
        </w:tc>
        <w:tc>
          <w:tcPr>
            <w:tcW w:w="556" w:type="pct"/>
            <w:shd w:val="clear" w:color="auto" w:fill="F2F2F2"/>
            <w:vAlign w:val="center"/>
            <w:hideMark/>
          </w:tcPr>
          <w:p w14:paraId="2AED59B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6E97878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Number and type</w:t>
            </w:r>
          </w:p>
        </w:tc>
        <w:tc>
          <w:tcPr>
            <w:tcW w:w="658" w:type="pct"/>
            <w:shd w:val="clear" w:color="auto" w:fill="F2F2F2"/>
            <w:vAlign w:val="center"/>
            <w:hideMark/>
          </w:tcPr>
          <w:p w14:paraId="46378C9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frequently or infrequently are these bi/tri/multilateral agreements used in practice?</w:t>
            </w:r>
          </w:p>
        </w:tc>
        <w:tc>
          <w:tcPr>
            <w:tcW w:w="708" w:type="pct"/>
            <w:shd w:val="clear" w:color="auto" w:fill="F2F2F2"/>
            <w:vAlign w:val="center"/>
            <w:hideMark/>
          </w:tcPr>
          <w:p w14:paraId="5C19D74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*Very frequently (used in the majority of cross-border investigations with the signatory countries)</w:t>
            </w:r>
            <w:r w:rsidRPr="001D5EAD">
              <w:rPr>
                <w:rFonts w:ascii="Verdana" w:hAnsi="Verdana"/>
                <w:noProof/>
                <w:sz w:val="16"/>
                <w:szCs w:val="16"/>
              </w:rPr>
              <w:br/>
              <w:t>*Occasionally (used in some cross border investigations)</w:t>
            </w:r>
            <w:r w:rsidRPr="001D5EAD">
              <w:rPr>
                <w:rFonts w:ascii="Verdana" w:hAnsi="Verdana"/>
                <w:noProof/>
                <w:sz w:val="16"/>
                <w:szCs w:val="16"/>
              </w:rPr>
              <w:br/>
              <w:t>*Very infrequently (used in a small minority of cross border investigations)</w:t>
            </w:r>
            <w:r w:rsidRPr="001D5EAD">
              <w:rPr>
                <w:rFonts w:ascii="Verdana" w:hAnsi="Verdana"/>
                <w:noProof/>
                <w:sz w:val="16"/>
                <w:szCs w:val="16"/>
              </w:rPr>
              <w:br/>
              <w:t>*Never</w:t>
            </w:r>
            <w:r w:rsidRPr="001D5EAD">
              <w:rPr>
                <w:rFonts w:ascii="Verdana" w:hAnsi="Verdana"/>
                <w:noProof/>
                <w:sz w:val="16"/>
                <w:szCs w:val="16"/>
              </w:rPr>
              <w:br/>
              <w:t>*Don't know</w:t>
            </w:r>
          </w:p>
        </w:tc>
        <w:tc>
          <w:tcPr>
            <w:tcW w:w="291" w:type="pct"/>
            <w:shd w:val="clear" w:color="auto" w:fill="F2F2F2"/>
            <w:noWrap/>
            <w:vAlign w:val="center"/>
            <w:hideMark/>
          </w:tcPr>
          <w:p w14:paraId="66645E6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386D50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6A69906"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5049593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8F06B3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A4F28A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9D8580E"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3BB6D77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93C30EC" w14:textId="77777777" w:rsidTr="00237337">
        <w:trPr>
          <w:trHeight w:val="20"/>
        </w:trPr>
        <w:tc>
          <w:tcPr>
            <w:tcW w:w="252" w:type="pct"/>
            <w:shd w:val="clear" w:color="auto" w:fill="F2F2F2"/>
            <w:vAlign w:val="center"/>
            <w:hideMark/>
          </w:tcPr>
          <w:p w14:paraId="2C336E6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72</w:t>
            </w:r>
          </w:p>
        </w:tc>
        <w:tc>
          <w:tcPr>
            <w:tcW w:w="556" w:type="pct"/>
            <w:shd w:val="clear" w:color="auto" w:fill="F2F2F2"/>
            <w:vAlign w:val="center"/>
            <w:hideMark/>
          </w:tcPr>
          <w:p w14:paraId="4C1E859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49F7991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Scope and objectives</w:t>
            </w:r>
          </w:p>
        </w:tc>
        <w:tc>
          <w:tcPr>
            <w:tcW w:w="658" w:type="pct"/>
            <w:shd w:val="clear" w:color="auto" w:fill="F2F2F2"/>
            <w:vAlign w:val="center"/>
            <w:hideMark/>
          </w:tcPr>
          <w:p w14:paraId="3AB9F4A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What was the reason your country decided to enter in the bi/tri/multilateral agreements? </w:t>
            </w:r>
          </w:p>
        </w:tc>
        <w:tc>
          <w:tcPr>
            <w:tcW w:w="708" w:type="pct"/>
            <w:shd w:val="clear" w:color="auto" w:fill="F2F2F2"/>
            <w:vAlign w:val="center"/>
            <w:hideMark/>
          </w:tcPr>
          <w:p w14:paraId="0AEAB17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68A5CD3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BBE5AF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0B3D6F3"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5E49E45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3CADDE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8B025D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8A855B1"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3CEC1DB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7D81F92" w14:textId="77777777" w:rsidTr="00237337">
        <w:trPr>
          <w:trHeight w:val="20"/>
        </w:trPr>
        <w:tc>
          <w:tcPr>
            <w:tcW w:w="252" w:type="pct"/>
            <w:shd w:val="clear" w:color="auto" w:fill="F2F2F2"/>
            <w:vAlign w:val="center"/>
            <w:hideMark/>
          </w:tcPr>
          <w:p w14:paraId="252D9FD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73</w:t>
            </w:r>
          </w:p>
        </w:tc>
        <w:tc>
          <w:tcPr>
            <w:tcW w:w="556" w:type="pct"/>
            <w:shd w:val="clear" w:color="auto" w:fill="F2F2F2"/>
            <w:vAlign w:val="center"/>
            <w:hideMark/>
          </w:tcPr>
          <w:p w14:paraId="625A716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42BD0B8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Scope and objectives</w:t>
            </w:r>
          </w:p>
        </w:tc>
        <w:tc>
          <w:tcPr>
            <w:tcW w:w="658" w:type="pct"/>
            <w:shd w:val="clear" w:color="auto" w:fill="F2F2F2"/>
            <w:vAlign w:val="center"/>
            <w:hideMark/>
          </w:tcPr>
          <w:p w14:paraId="6971149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value did it add above existing EU and national frameworks facilitating cross border cooperation?</w:t>
            </w:r>
          </w:p>
        </w:tc>
        <w:tc>
          <w:tcPr>
            <w:tcW w:w="708" w:type="pct"/>
            <w:shd w:val="clear" w:color="auto" w:fill="F2F2F2"/>
            <w:vAlign w:val="center"/>
            <w:hideMark/>
          </w:tcPr>
          <w:p w14:paraId="322F9BB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677520B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37585B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E96B663"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16DFBAB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00A2A7D"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10CBF7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11B4CEC"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2F62AEC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8C79934" w14:textId="77777777" w:rsidTr="00237337">
        <w:trPr>
          <w:trHeight w:val="20"/>
        </w:trPr>
        <w:tc>
          <w:tcPr>
            <w:tcW w:w="252" w:type="pct"/>
            <w:shd w:val="clear" w:color="auto" w:fill="F2F2F2"/>
            <w:vAlign w:val="center"/>
            <w:hideMark/>
          </w:tcPr>
          <w:p w14:paraId="394019F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74</w:t>
            </w:r>
          </w:p>
        </w:tc>
        <w:tc>
          <w:tcPr>
            <w:tcW w:w="556" w:type="pct"/>
            <w:shd w:val="clear" w:color="auto" w:fill="F2F2F2"/>
            <w:vAlign w:val="center"/>
            <w:hideMark/>
          </w:tcPr>
          <w:p w14:paraId="6B31620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608BDC4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Scope and objectives</w:t>
            </w:r>
          </w:p>
        </w:tc>
        <w:tc>
          <w:tcPr>
            <w:tcW w:w="658" w:type="pct"/>
            <w:shd w:val="clear" w:color="auto" w:fill="F2F2F2"/>
            <w:vAlign w:val="center"/>
            <w:hideMark/>
          </w:tcPr>
          <w:p w14:paraId="708E48F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Are the following included in the bi/tri/multilateral agreements that your country has entered into?</w:t>
            </w:r>
          </w:p>
        </w:tc>
        <w:tc>
          <w:tcPr>
            <w:tcW w:w="708" w:type="pct"/>
            <w:shd w:val="clear" w:color="auto" w:fill="F2F2F2"/>
            <w:vAlign w:val="center"/>
            <w:hideMark/>
          </w:tcPr>
          <w:p w14:paraId="1D91F5E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*Information sharing</w:t>
            </w:r>
            <w:r w:rsidRPr="001D5EAD">
              <w:rPr>
                <w:rFonts w:ascii="Verdana" w:hAnsi="Verdana"/>
                <w:noProof/>
                <w:sz w:val="16"/>
                <w:szCs w:val="16"/>
              </w:rPr>
              <w:br/>
              <w:t>*Joint Patrols</w:t>
            </w:r>
            <w:r w:rsidRPr="001D5EAD">
              <w:rPr>
                <w:rFonts w:ascii="Verdana" w:hAnsi="Verdana"/>
                <w:noProof/>
                <w:sz w:val="16"/>
                <w:szCs w:val="16"/>
              </w:rPr>
              <w:br/>
              <w:t>*Joint offices or joint Units</w:t>
            </w:r>
            <w:r w:rsidRPr="001D5EAD">
              <w:rPr>
                <w:rFonts w:ascii="Verdana" w:hAnsi="Verdana"/>
                <w:noProof/>
                <w:sz w:val="16"/>
                <w:szCs w:val="16"/>
              </w:rPr>
              <w:br/>
              <w:t xml:space="preserve">*Hot (cross-border) pursuit </w:t>
            </w:r>
            <w:r w:rsidRPr="001D5EAD">
              <w:rPr>
                <w:rFonts w:ascii="Verdana" w:hAnsi="Verdana"/>
                <w:noProof/>
                <w:sz w:val="16"/>
                <w:szCs w:val="16"/>
              </w:rPr>
              <w:br/>
              <w:t>*Cross border surveillance</w:t>
            </w:r>
            <w:r w:rsidRPr="001D5EAD">
              <w:rPr>
                <w:rFonts w:ascii="Verdana" w:hAnsi="Verdana"/>
                <w:noProof/>
                <w:sz w:val="16"/>
                <w:szCs w:val="16"/>
              </w:rPr>
              <w:br/>
              <w:t>*Joint threat assessment/risk analyses in view of tailored joint operations</w:t>
            </w:r>
            <w:r w:rsidRPr="001D5EAD">
              <w:rPr>
                <w:rFonts w:ascii="Verdana" w:hAnsi="Verdana"/>
                <w:noProof/>
                <w:sz w:val="16"/>
                <w:szCs w:val="16"/>
              </w:rPr>
              <w:br/>
              <w:t>*Communications</w:t>
            </w:r>
            <w:r w:rsidRPr="001D5EAD">
              <w:rPr>
                <w:rFonts w:ascii="Verdana" w:hAnsi="Verdana"/>
                <w:noProof/>
                <w:sz w:val="16"/>
                <w:szCs w:val="16"/>
              </w:rPr>
              <w:br/>
              <w:t>*Access to national databases</w:t>
            </w:r>
            <w:r w:rsidRPr="001D5EAD">
              <w:rPr>
                <w:rFonts w:ascii="Verdana" w:hAnsi="Verdana"/>
                <w:noProof/>
                <w:sz w:val="16"/>
                <w:szCs w:val="16"/>
              </w:rPr>
              <w:br/>
              <w:t>*Competence/ authority on transport networks</w:t>
            </w:r>
            <w:r w:rsidRPr="001D5EAD">
              <w:rPr>
                <w:rFonts w:ascii="Verdana" w:hAnsi="Verdana"/>
                <w:noProof/>
                <w:sz w:val="16"/>
                <w:szCs w:val="16"/>
              </w:rPr>
              <w:br/>
              <w:t>*Joint training</w:t>
            </w:r>
            <w:r w:rsidRPr="001D5EAD">
              <w:rPr>
                <w:rFonts w:ascii="Verdana" w:hAnsi="Verdana"/>
                <w:noProof/>
                <w:sz w:val="16"/>
                <w:szCs w:val="16"/>
              </w:rPr>
              <w:br/>
              <w:t xml:space="preserve">*Authority to exercise police powers in another MS </w:t>
            </w:r>
          </w:p>
        </w:tc>
        <w:tc>
          <w:tcPr>
            <w:tcW w:w="291" w:type="pct"/>
            <w:shd w:val="clear" w:color="auto" w:fill="F2F2F2"/>
            <w:noWrap/>
            <w:vAlign w:val="center"/>
            <w:hideMark/>
          </w:tcPr>
          <w:p w14:paraId="0393BEE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60F031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8F6C0DC"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4D51652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6A3647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551D90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00003C4"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0B9D335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4457F21" w14:textId="77777777" w:rsidTr="00237337">
        <w:trPr>
          <w:trHeight w:val="20"/>
        </w:trPr>
        <w:tc>
          <w:tcPr>
            <w:tcW w:w="252" w:type="pct"/>
            <w:shd w:val="clear" w:color="auto" w:fill="F2F2F2"/>
            <w:vAlign w:val="center"/>
            <w:hideMark/>
          </w:tcPr>
          <w:p w14:paraId="0C4D186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74.A</w:t>
            </w:r>
          </w:p>
        </w:tc>
        <w:tc>
          <w:tcPr>
            <w:tcW w:w="556" w:type="pct"/>
            <w:shd w:val="clear" w:color="auto" w:fill="F2F2F2"/>
            <w:vAlign w:val="center"/>
            <w:hideMark/>
          </w:tcPr>
          <w:p w14:paraId="04AD662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0B34DE5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Scope and objectives</w:t>
            </w:r>
          </w:p>
        </w:tc>
        <w:tc>
          <w:tcPr>
            <w:tcW w:w="658" w:type="pct"/>
            <w:shd w:val="clear" w:color="auto" w:fill="F2F2F2"/>
            <w:vAlign w:val="center"/>
            <w:hideMark/>
          </w:tcPr>
          <w:p w14:paraId="06430A0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Is there any additional feature of the bi/tri/multilateral agreements that your country has entered into that was not listed above? Please specify.</w:t>
            </w:r>
          </w:p>
        </w:tc>
        <w:tc>
          <w:tcPr>
            <w:tcW w:w="708" w:type="pct"/>
            <w:shd w:val="clear" w:color="auto" w:fill="F2F2F2"/>
            <w:vAlign w:val="center"/>
            <w:hideMark/>
          </w:tcPr>
          <w:p w14:paraId="54E44E2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55976DC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D5A96C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75707F8"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30D966F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F511D6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5E2C1C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731C231"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7AF3C12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93BEDC5" w14:textId="77777777" w:rsidTr="00237337">
        <w:trPr>
          <w:trHeight w:val="20"/>
        </w:trPr>
        <w:tc>
          <w:tcPr>
            <w:tcW w:w="252" w:type="pct"/>
            <w:shd w:val="clear" w:color="auto" w:fill="F2F2F2"/>
            <w:vAlign w:val="center"/>
            <w:hideMark/>
          </w:tcPr>
          <w:p w14:paraId="292B1B5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75</w:t>
            </w:r>
          </w:p>
        </w:tc>
        <w:tc>
          <w:tcPr>
            <w:tcW w:w="556" w:type="pct"/>
            <w:shd w:val="clear" w:color="auto" w:fill="F2F2F2"/>
            <w:vAlign w:val="center"/>
            <w:hideMark/>
          </w:tcPr>
          <w:p w14:paraId="75C47FF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0E6D284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Good practices and areas for improvement</w:t>
            </w:r>
          </w:p>
        </w:tc>
        <w:tc>
          <w:tcPr>
            <w:tcW w:w="658" w:type="pct"/>
            <w:shd w:val="clear" w:color="auto" w:fill="F2F2F2"/>
            <w:vAlign w:val="center"/>
            <w:hideMark/>
          </w:tcPr>
          <w:p w14:paraId="0CAE081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To what extent are these bi/tri/multilateral agreements effective in facilitating cross border cooperation between law enforcement authorities in your country and law enforcement authorities in other countries? </w:t>
            </w:r>
          </w:p>
        </w:tc>
        <w:tc>
          <w:tcPr>
            <w:tcW w:w="708" w:type="pct"/>
            <w:shd w:val="clear" w:color="auto" w:fill="F2F2F2"/>
            <w:vAlign w:val="center"/>
            <w:hideMark/>
          </w:tcPr>
          <w:p w14:paraId="0B789F2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Very high extent</w:t>
            </w:r>
            <w:r w:rsidRPr="001D5EAD">
              <w:rPr>
                <w:rFonts w:ascii="Verdana" w:hAnsi="Verdana"/>
                <w:noProof/>
                <w:sz w:val="16"/>
                <w:szCs w:val="16"/>
              </w:rPr>
              <w:br/>
              <w:t>High extent</w:t>
            </w:r>
            <w:r w:rsidRPr="001D5EAD">
              <w:rPr>
                <w:rFonts w:ascii="Verdana" w:hAnsi="Verdana"/>
                <w:noProof/>
                <w:sz w:val="16"/>
                <w:szCs w:val="16"/>
              </w:rPr>
              <w:br/>
              <w:t>Moderate extent</w:t>
            </w:r>
            <w:r w:rsidRPr="001D5EAD">
              <w:rPr>
                <w:rFonts w:ascii="Verdana" w:hAnsi="Verdana"/>
                <w:noProof/>
                <w:sz w:val="16"/>
                <w:szCs w:val="16"/>
              </w:rPr>
              <w:br/>
              <w:t>Small extent</w:t>
            </w:r>
            <w:r w:rsidRPr="001D5EAD">
              <w:rPr>
                <w:rFonts w:ascii="Verdana" w:hAnsi="Verdana"/>
                <w:noProof/>
                <w:sz w:val="16"/>
                <w:szCs w:val="16"/>
              </w:rPr>
              <w:br/>
              <w:t>Not at all</w:t>
            </w:r>
            <w:r w:rsidRPr="001D5EAD">
              <w:rPr>
                <w:rFonts w:ascii="Verdana" w:hAnsi="Verdana"/>
                <w:noProof/>
                <w:sz w:val="16"/>
                <w:szCs w:val="16"/>
              </w:rPr>
              <w:br/>
              <w:t xml:space="preserve">Don't know </w:t>
            </w:r>
          </w:p>
        </w:tc>
        <w:tc>
          <w:tcPr>
            <w:tcW w:w="291" w:type="pct"/>
            <w:shd w:val="clear" w:color="auto" w:fill="F2F2F2"/>
            <w:noWrap/>
            <w:vAlign w:val="center"/>
            <w:hideMark/>
          </w:tcPr>
          <w:p w14:paraId="2D7ED51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5C0B99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D9D2D45"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11DEB8A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85F0A5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11C17AC"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DC5158D"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5CD8838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E0C4C26" w14:textId="77777777" w:rsidTr="00237337">
        <w:trPr>
          <w:trHeight w:val="20"/>
        </w:trPr>
        <w:tc>
          <w:tcPr>
            <w:tcW w:w="252" w:type="pct"/>
            <w:shd w:val="clear" w:color="auto" w:fill="F2F2F2"/>
            <w:vAlign w:val="center"/>
            <w:hideMark/>
          </w:tcPr>
          <w:p w14:paraId="0B1DA33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76</w:t>
            </w:r>
          </w:p>
        </w:tc>
        <w:tc>
          <w:tcPr>
            <w:tcW w:w="556" w:type="pct"/>
            <w:shd w:val="clear" w:color="auto" w:fill="F2F2F2"/>
            <w:vAlign w:val="center"/>
            <w:hideMark/>
          </w:tcPr>
          <w:p w14:paraId="0B0A55C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2688CDD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Good practices and areas for improvement</w:t>
            </w:r>
          </w:p>
        </w:tc>
        <w:tc>
          <w:tcPr>
            <w:tcW w:w="658" w:type="pct"/>
            <w:shd w:val="clear" w:color="auto" w:fill="F2F2F2"/>
            <w:vAlign w:val="center"/>
            <w:hideMark/>
          </w:tcPr>
          <w:p w14:paraId="694D8D3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do you agree with the following statements about the bi/tri/multilateral agreements that your country has entered into?</w:t>
            </w:r>
          </w:p>
        </w:tc>
        <w:tc>
          <w:tcPr>
            <w:tcW w:w="708" w:type="pct"/>
            <w:shd w:val="clear" w:color="auto" w:fill="F2F2F2"/>
            <w:vAlign w:val="center"/>
            <w:hideMark/>
          </w:tcPr>
          <w:p w14:paraId="5F2E73B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 my country there are too many bi/tri/multilateral agreements, causing complexity</w:t>
            </w:r>
            <w:r w:rsidRPr="001D5EAD">
              <w:rPr>
                <w:rFonts w:ascii="Verdana" w:hAnsi="Verdana"/>
                <w:noProof/>
                <w:sz w:val="16"/>
                <w:szCs w:val="16"/>
              </w:rPr>
              <w:br/>
              <w:t>*The bi/tri/multilateral agreements are outdated</w:t>
            </w:r>
            <w:r w:rsidRPr="001D5EAD">
              <w:rPr>
                <w:rFonts w:ascii="Verdana" w:hAnsi="Verdana"/>
                <w:noProof/>
                <w:sz w:val="16"/>
                <w:szCs w:val="16"/>
              </w:rPr>
              <w:br/>
              <w:t>*The bi/tri/multilateral agreements should be used more</w:t>
            </w:r>
            <w:r w:rsidRPr="001D5EAD">
              <w:rPr>
                <w:rFonts w:ascii="Verdana" w:hAnsi="Verdana"/>
                <w:noProof/>
                <w:sz w:val="16"/>
                <w:szCs w:val="16"/>
              </w:rPr>
              <w:br/>
              <w:t>*The bi/tri/multilateral agreements are procedurally heavy</w:t>
            </w:r>
            <w:r w:rsidRPr="001D5EAD">
              <w:rPr>
                <w:rFonts w:ascii="Verdana" w:hAnsi="Verdana"/>
                <w:noProof/>
                <w:sz w:val="16"/>
                <w:szCs w:val="16"/>
              </w:rPr>
              <w:br/>
              <w:t>*The bi/tri/multilateral agreements do not provide the powers needed for effective cross border cooperation</w:t>
            </w:r>
            <w:r w:rsidRPr="001D5EAD">
              <w:rPr>
                <w:rFonts w:ascii="Verdana" w:hAnsi="Verdana"/>
                <w:noProof/>
                <w:sz w:val="16"/>
                <w:szCs w:val="16"/>
              </w:rPr>
              <w:br/>
              <w:t>*Overall, the bi/tri/multilateral agreements work well</w:t>
            </w:r>
            <w:r w:rsidRPr="001D5EAD">
              <w:rPr>
                <w:rFonts w:ascii="Verdana" w:hAnsi="Verdana"/>
                <w:noProof/>
                <w:sz w:val="16"/>
                <w:szCs w:val="16"/>
              </w:rPr>
              <w:br/>
              <w:t>*These agreements do not cover joint threat assessment/risk analyses in view of tailored joint operations;</w:t>
            </w:r>
            <w:r w:rsidRPr="001D5EAD">
              <w:rPr>
                <w:rFonts w:ascii="Verdana" w:hAnsi="Verdana"/>
                <w:noProof/>
                <w:sz w:val="16"/>
                <w:szCs w:val="16"/>
              </w:rPr>
              <w:br/>
              <w:t>*When agreements provide for joint threat assessment/risk analyses, they are not been used in practice.</w:t>
            </w:r>
          </w:p>
        </w:tc>
        <w:tc>
          <w:tcPr>
            <w:tcW w:w="291" w:type="pct"/>
            <w:shd w:val="clear" w:color="auto" w:fill="F2F2F2"/>
            <w:noWrap/>
            <w:vAlign w:val="center"/>
            <w:hideMark/>
          </w:tcPr>
          <w:p w14:paraId="1419B79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9A5686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9A35957"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2AA7263D"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972BE8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20384F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C10448F"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6722D32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4E276DD" w14:textId="77777777" w:rsidTr="00237337">
        <w:trPr>
          <w:trHeight w:val="20"/>
        </w:trPr>
        <w:tc>
          <w:tcPr>
            <w:tcW w:w="252" w:type="pct"/>
            <w:shd w:val="clear" w:color="auto" w:fill="F2F2F2"/>
            <w:vAlign w:val="center"/>
            <w:hideMark/>
          </w:tcPr>
          <w:p w14:paraId="78D22FB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77</w:t>
            </w:r>
          </w:p>
        </w:tc>
        <w:tc>
          <w:tcPr>
            <w:tcW w:w="556" w:type="pct"/>
            <w:shd w:val="clear" w:color="auto" w:fill="F2F2F2"/>
            <w:vAlign w:val="center"/>
            <w:hideMark/>
          </w:tcPr>
          <w:p w14:paraId="327E28A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MULTILATERAL AGREEMENTS</w:t>
            </w:r>
          </w:p>
        </w:tc>
        <w:tc>
          <w:tcPr>
            <w:tcW w:w="507" w:type="pct"/>
            <w:shd w:val="clear" w:color="auto" w:fill="F2F2F2"/>
            <w:vAlign w:val="center"/>
            <w:hideMark/>
          </w:tcPr>
          <w:p w14:paraId="2CEA2AC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Good practices and areas for improvement</w:t>
            </w:r>
          </w:p>
        </w:tc>
        <w:tc>
          <w:tcPr>
            <w:tcW w:w="658" w:type="pct"/>
            <w:shd w:val="clear" w:color="auto" w:fill="F2F2F2"/>
            <w:vAlign w:val="center"/>
            <w:hideMark/>
          </w:tcPr>
          <w:p w14:paraId="2E777F7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Are there any aspects of the bi/tri/multilateral agreements that your country is part on which you would recommend as good practice to other countries?</w:t>
            </w:r>
          </w:p>
        </w:tc>
        <w:tc>
          <w:tcPr>
            <w:tcW w:w="708" w:type="pct"/>
            <w:shd w:val="clear" w:color="auto" w:fill="F2F2F2"/>
            <w:vAlign w:val="center"/>
            <w:hideMark/>
          </w:tcPr>
          <w:p w14:paraId="3961BF0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75EAAF0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74AB6C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852D287"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3C633D8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63CAF5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11ED4F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6DD3BC9"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604B540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522DC9C" w14:textId="77777777" w:rsidTr="00237337">
        <w:trPr>
          <w:trHeight w:val="20"/>
        </w:trPr>
        <w:tc>
          <w:tcPr>
            <w:tcW w:w="252" w:type="pct"/>
            <w:shd w:val="clear" w:color="auto" w:fill="F2F2F2"/>
            <w:vAlign w:val="center"/>
            <w:hideMark/>
          </w:tcPr>
          <w:p w14:paraId="3EF6E79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78</w:t>
            </w:r>
          </w:p>
        </w:tc>
        <w:tc>
          <w:tcPr>
            <w:tcW w:w="556" w:type="pct"/>
            <w:shd w:val="clear" w:color="auto" w:fill="F2F2F2"/>
            <w:vAlign w:val="center"/>
            <w:hideMark/>
          </w:tcPr>
          <w:p w14:paraId="211F1D2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41AEAC8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Tools in use </w:t>
            </w:r>
          </w:p>
        </w:tc>
        <w:tc>
          <w:tcPr>
            <w:tcW w:w="658" w:type="pct"/>
            <w:shd w:val="clear" w:color="auto" w:fill="F2F2F2"/>
            <w:vAlign w:val="center"/>
            <w:hideMark/>
          </w:tcPr>
          <w:p w14:paraId="651D697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How frequently do law enforcement authorities in your country use the following investigative tools to investigate serious and organised crime at the national level?*</w:t>
            </w:r>
          </w:p>
        </w:tc>
        <w:tc>
          <w:tcPr>
            <w:tcW w:w="708" w:type="pct"/>
            <w:shd w:val="clear" w:color="auto" w:fill="F2F2F2"/>
            <w:vAlign w:val="center"/>
            <w:hideMark/>
          </w:tcPr>
          <w:p w14:paraId="346403C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*Controlled delivery (i.e. allowing suspicious shipments or cargo to leave, pass through or enter a jurisdiction with the knowledge and supervision of authorities)</w:t>
            </w:r>
            <w:r w:rsidRPr="001D5EAD">
              <w:rPr>
                <w:rFonts w:ascii="Verdana" w:hAnsi="Verdana"/>
                <w:noProof/>
                <w:sz w:val="16"/>
                <w:szCs w:val="16"/>
              </w:rPr>
              <w:br/>
              <w:t>*Hot pursuit</w:t>
            </w:r>
            <w:r w:rsidRPr="001D5EAD">
              <w:rPr>
                <w:rFonts w:ascii="Verdana" w:hAnsi="Verdana"/>
                <w:noProof/>
                <w:sz w:val="16"/>
                <w:szCs w:val="16"/>
              </w:rPr>
              <w:br/>
              <w:t xml:space="preserve">*Surveillance – Audio surveillance (e.g. Phone tapping; VOIP; Listening devices) </w:t>
            </w:r>
            <w:r w:rsidRPr="001D5EAD">
              <w:rPr>
                <w:rFonts w:ascii="Verdana" w:hAnsi="Verdana"/>
                <w:noProof/>
                <w:sz w:val="16"/>
                <w:szCs w:val="16"/>
              </w:rPr>
              <w:br/>
              <w:t>*Surveillance – Visual surveillance (e.g. Hidden video-surveillance devices; body-worn video devices ; CCTV)</w:t>
            </w:r>
            <w:r w:rsidRPr="001D5EAD">
              <w:rPr>
                <w:rFonts w:ascii="Verdana" w:hAnsi="Verdana"/>
                <w:noProof/>
                <w:sz w:val="16"/>
                <w:szCs w:val="16"/>
              </w:rPr>
              <w:br/>
              <w:t>*Surveillance – Tracking surveillance (e.g. GPS/transponders; mobile phones; radio-frequency identification devices (RFID); biometric info technology)</w:t>
            </w:r>
            <w:r w:rsidRPr="001D5EAD">
              <w:rPr>
                <w:rFonts w:ascii="Verdana" w:hAnsi="Verdana"/>
                <w:noProof/>
                <w:sz w:val="16"/>
                <w:szCs w:val="16"/>
              </w:rPr>
              <w:br/>
              <w:t>*Surveillance – Data surveillance (e.g. computer/internet (spyware); mobile phones; keystroke monitoring)</w:t>
            </w:r>
            <w:r w:rsidRPr="001D5EAD">
              <w:rPr>
                <w:rFonts w:ascii="Verdana" w:hAnsi="Verdana"/>
                <w:noProof/>
                <w:sz w:val="16"/>
                <w:szCs w:val="16"/>
              </w:rPr>
              <w:br/>
              <w:t>*Undercover operations</w:t>
            </w:r>
            <w:r w:rsidRPr="001D5EAD">
              <w:rPr>
                <w:rFonts w:ascii="Verdana" w:hAnsi="Verdana"/>
                <w:noProof/>
                <w:sz w:val="16"/>
                <w:szCs w:val="16"/>
              </w:rPr>
              <w:br/>
              <w:t>*Use of informants – Members of the public</w:t>
            </w:r>
            <w:r w:rsidRPr="001D5EAD">
              <w:rPr>
                <w:rFonts w:ascii="Verdana" w:hAnsi="Verdana"/>
                <w:noProof/>
                <w:sz w:val="16"/>
                <w:szCs w:val="16"/>
              </w:rPr>
              <w:br/>
              <w:t>*Use of informants – Victim of a crime</w:t>
            </w:r>
            <w:r w:rsidRPr="001D5EAD">
              <w:rPr>
                <w:rFonts w:ascii="Verdana" w:hAnsi="Verdana"/>
                <w:noProof/>
                <w:sz w:val="16"/>
                <w:szCs w:val="16"/>
              </w:rPr>
              <w:br/>
              <w:t>*Use of informants – Members of an Organised Crime Group (OCG)</w:t>
            </w:r>
            <w:r w:rsidRPr="001D5EAD">
              <w:rPr>
                <w:rFonts w:ascii="Verdana" w:hAnsi="Verdana"/>
                <w:noProof/>
                <w:sz w:val="16"/>
                <w:szCs w:val="16"/>
              </w:rPr>
              <w:br/>
              <w:t>*Use of informants – Other police officers</w:t>
            </w:r>
            <w:r w:rsidRPr="001D5EAD">
              <w:rPr>
                <w:rFonts w:ascii="Verdana" w:hAnsi="Verdana"/>
                <w:noProof/>
                <w:sz w:val="16"/>
                <w:szCs w:val="16"/>
              </w:rPr>
              <w:br/>
              <w:t>*Witness protection</w:t>
            </w:r>
          </w:p>
        </w:tc>
        <w:tc>
          <w:tcPr>
            <w:tcW w:w="291" w:type="pct"/>
            <w:shd w:val="clear" w:color="auto" w:fill="F2F2F2"/>
            <w:noWrap/>
            <w:vAlign w:val="center"/>
            <w:hideMark/>
          </w:tcPr>
          <w:p w14:paraId="7BF295D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46AD55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188014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9A5552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6C1D0D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47620C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2D517A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33F8A6C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92F68EA" w14:textId="77777777" w:rsidTr="00237337">
        <w:trPr>
          <w:trHeight w:val="20"/>
        </w:trPr>
        <w:tc>
          <w:tcPr>
            <w:tcW w:w="252" w:type="pct"/>
            <w:shd w:val="clear" w:color="auto" w:fill="F2F2F2"/>
            <w:vAlign w:val="center"/>
            <w:hideMark/>
          </w:tcPr>
          <w:p w14:paraId="05762EF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79</w:t>
            </w:r>
          </w:p>
        </w:tc>
        <w:tc>
          <w:tcPr>
            <w:tcW w:w="556" w:type="pct"/>
            <w:shd w:val="clear" w:color="auto" w:fill="F2F2F2"/>
            <w:vAlign w:val="center"/>
            <w:hideMark/>
          </w:tcPr>
          <w:p w14:paraId="21F512A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51D93E6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Tools in use </w:t>
            </w:r>
          </w:p>
        </w:tc>
        <w:tc>
          <w:tcPr>
            <w:tcW w:w="658" w:type="pct"/>
            <w:shd w:val="clear" w:color="auto" w:fill="F2F2F2"/>
            <w:vAlign w:val="center"/>
            <w:hideMark/>
          </w:tcPr>
          <w:p w14:paraId="163ABB1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 what crime areas are the following tools used in your country?*</w:t>
            </w:r>
          </w:p>
        </w:tc>
        <w:tc>
          <w:tcPr>
            <w:tcW w:w="708" w:type="pct"/>
            <w:shd w:val="clear" w:color="auto" w:fill="F2F2F2"/>
            <w:vAlign w:val="center"/>
            <w:hideMark/>
          </w:tcPr>
          <w:p w14:paraId="6627855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*Controlled delivery (i.e. allowing suspicious shipments or cargo to leave, pass through or enter a jurisdiction with the knowledge and supervision of authorities)</w:t>
            </w:r>
            <w:r w:rsidRPr="001D5EAD">
              <w:rPr>
                <w:rFonts w:ascii="Verdana" w:hAnsi="Verdana"/>
                <w:noProof/>
                <w:sz w:val="16"/>
                <w:szCs w:val="16"/>
              </w:rPr>
              <w:br/>
              <w:t>*Hot pursuit</w:t>
            </w:r>
            <w:r w:rsidRPr="001D5EAD">
              <w:rPr>
                <w:rFonts w:ascii="Verdana" w:hAnsi="Verdana"/>
                <w:noProof/>
                <w:sz w:val="16"/>
                <w:szCs w:val="16"/>
              </w:rPr>
              <w:br/>
              <w:t xml:space="preserve">*Surveillance – Audio surveillance (e.g. Phone tapping; VOIP; Listening devices) </w:t>
            </w:r>
            <w:r w:rsidRPr="001D5EAD">
              <w:rPr>
                <w:rFonts w:ascii="Verdana" w:hAnsi="Verdana"/>
                <w:noProof/>
                <w:sz w:val="16"/>
                <w:szCs w:val="16"/>
              </w:rPr>
              <w:br/>
              <w:t>*Surveillance – Visual surveillance (e.g. Hidden video-surveillance devices; body-worn video devices ; CCTV)</w:t>
            </w:r>
            <w:r w:rsidRPr="001D5EAD">
              <w:rPr>
                <w:rFonts w:ascii="Verdana" w:hAnsi="Verdana"/>
                <w:noProof/>
                <w:sz w:val="16"/>
                <w:szCs w:val="16"/>
              </w:rPr>
              <w:br/>
              <w:t>*Surveillance – Tracking surveillance (e.g. GPS/transponders; mobile phones; radio-frequency identification devices (RFID); biometric info technology)</w:t>
            </w:r>
            <w:r w:rsidRPr="001D5EAD">
              <w:rPr>
                <w:rFonts w:ascii="Verdana" w:hAnsi="Verdana"/>
                <w:noProof/>
                <w:sz w:val="16"/>
                <w:szCs w:val="16"/>
              </w:rPr>
              <w:br/>
              <w:t>*Surveillance – Data surveillance (e.g. computer/internet (spyware); mobile phones; keystroke monitoring)</w:t>
            </w:r>
            <w:r w:rsidRPr="001D5EAD">
              <w:rPr>
                <w:rFonts w:ascii="Verdana" w:hAnsi="Verdana"/>
                <w:noProof/>
                <w:sz w:val="16"/>
                <w:szCs w:val="16"/>
              </w:rPr>
              <w:br/>
              <w:t>*Undercover/covert operations</w:t>
            </w:r>
            <w:r w:rsidRPr="001D5EAD">
              <w:rPr>
                <w:rFonts w:ascii="Verdana" w:hAnsi="Verdana"/>
                <w:noProof/>
                <w:sz w:val="16"/>
                <w:szCs w:val="16"/>
              </w:rPr>
              <w:br/>
              <w:t>*Use of informants – Members of the public</w:t>
            </w:r>
            <w:r w:rsidRPr="001D5EAD">
              <w:rPr>
                <w:rFonts w:ascii="Verdana" w:hAnsi="Verdana"/>
                <w:noProof/>
                <w:sz w:val="16"/>
                <w:szCs w:val="16"/>
              </w:rPr>
              <w:br/>
              <w:t>*Use of informants – Victim of a crime</w:t>
            </w:r>
            <w:r w:rsidRPr="001D5EAD">
              <w:rPr>
                <w:rFonts w:ascii="Verdana" w:hAnsi="Verdana"/>
                <w:noProof/>
                <w:sz w:val="16"/>
                <w:szCs w:val="16"/>
              </w:rPr>
              <w:br/>
              <w:t>*Use of informants – Members of an Organised Crime Group (OCG)</w:t>
            </w:r>
            <w:r w:rsidRPr="001D5EAD">
              <w:rPr>
                <w:rFonts w:ascii="Verdana" w:hAnsi="Verdana"/>
                <w:noProof/>
                <w:sz w:val="16"/>
                <w:szCs w:val="16"/>
              </w:rPr>
              <w:br/>
              <w:t>*Use of informants – Other police officers</w:t>
            </w:r>
            <w:r w:rsidRPr="001D5EAD">
              <w:rPr>
                <w:rFonts w:ascii="Verdana" w:hAnsi="Verdana"/>
                <w:noProof/>
                <w:sz w:val="16"/>
                <w:szCs w:val="16"/>
              </w:rPr>
              <w:br/>
              <w:t>*Witness protection</w:t>
            </w:r>
          </w:p>
        </w:tc>
        <w:tc>
          <w:tcPr>
            <w:tcW w:w="291" w:type="pct"/>
            <w:shd w:val="clear" w:color="auto" w:fill="F2F2F2"/>
            <w:noWrap/>
            <w:vAlign w:val="center"/>
            <w:hideMark/>
          </w:tcPr>
          <w:p w14:paraId="153358B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DDF0C7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0EF177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F63F40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8960C3D"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F60232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631625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F966F0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ED2D4EE" w14:textId="77777777" w:rsidTr="00237337">
        <w:trPr>
          <w:trHeight w:val="20"/>
        </w:trPr>
        <w:tc>
          <w:tcPr>
            <w:tcW w:w="252" w:type="pct"/>
            <w:shd w:val="clear" w:color="auto" w:fill="F2F2F2"/>
            <w:vAlign w:val="center"/>
            <w:hideMark/>
          </w:tcPr>
          <w:p w14:paraId="0AD8CA6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80</w:t>
            </w:r>
          </w:p>
        </w:tc>
        <w:tc>
          <w:tcPr>
            <w:tcW w:w="556" w:type="pct"/>
            <w:shd w:val="clear" w:color="auto" w:fill="F2F2F2"/>
            <w:vAlign w:val="center"/>
            <w:hideMark/>
          </w:tcPr>
          <w:p w14:paraId="39D897E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45480FE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Tools in use </w:t>
            </w:r>
          </w:p>
        </w:tc>
        <w:tc>
          <w:tcPr>
            <w:tcW w:w="658" w:type="pct"/>
            <w:shd w:val="clear" w:color="auto" w:fill="F2F2F2"/>
            <w:vAlign w:val="center"/>
            <w:hideMark/>
          </w:tcPr>
          <w:p w14:paraId="7897A18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What types of measures are required to implement the following investigative tools across borders?*</w:t>
            </w:r>
          </w:p>
        </w:tc>
        <w:tc>
          <w:tcPr>
            <w:tcW w:w="708" w:type="pct"/>
            <w:shd w:val="clear" w:color="auto" w:fill="F2F2F2"/>
            <w:vAlign w:val="center"/>
            <w:hideMark/>
          </w:tcPr>
          <w:p w14:paraId="6C1BCAB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*Controlled delivery (i.e. allowing suspicious shipments or cargo to leave, pass through or enter a jurisdiction with the knowledge and supervision of authorities)</w:t>
            </w:r>
            <w:r w:rsidRPr="001D5EAD">
              <w:rPr>
                <w:rFonts w:ascii="Verdana" w:hAnsi="Verdana"/>
                <w:noProof/>
                <w:sz w:val="16"/>
                <w:szCs w:val="16"/>
              </w:rPr>
              <w:br/>
              <w:t>*Hot pursuit</w:t>
            </w:r>
            <w:r w:rsidRPr="001D5EAD">
              <w:rPr>
                <w:rFonts w:ascii="Verdana" w:hAnsi="Verdana"/>
                <w:noProof/>
                <w:sz w:val="16"/>
                <w:szCs w:val="16"/>
              </w:rPr>
              <w:br/>
              <w:t xml:space="preserve">*Surveillance – Audio surveillance (e.g. Phone tapping; VOIP; Listening devices) </w:t>
            </w:r>
            <w:r w:rsidRPr="001D5EAD">
              <w:rPr>
                <w:rFonts w:ascii="Verdana" w:hAnsi="Verdana"/>
                <w:noProof/>
                <w:sz w:val="16"/>
                <w:szCs w:val="16"/>
              </w:rPr>
              <w:br/>
              <w:t>*Surveillance – Visual surveillance (e.g. Hidden video-surveillance devices; body-worn video devices ; CCTV)</w:t>
            </w:r>
            <w:r w:rsidRPr="001D5EAD">
              <w:rPr>
                <w:rFonts w:ascii="Verdana" w:hAnsi="Verdana"/>
                <w:noProof/>
                <w:sz w:val="16"/>
                <w:szCs w:val="16"/>
              </w:rPr>
              <w:br/>
              <w:t>*Surveillance – Tracking surveillance (e.g. GPS/transponders; mobile phones; radio-frequency identification devices (RFID); biometric info technology)</w:t>
            </w:r>
            <w:r w:rsidRPr="001D5EAD">
              <w:rPr>
                <w:rFonts w:ascii="Verdana" w:hAnsi="Verdana"/>
                <w:noProof/>
                <w:sz w:val="16"/>
                <w:szCs w:val="16"/>
              </w:rPr>
              <w:br/>
              <w:t>*Surveillance – Data surveillance (e.g. computer/internet (spyware); mobile phones; keystroke monitoring)</w:t>
            </w:r>
            <w:r w:rsidRPr="001D5EAD">
              <w:rPr>
                <w:rFonts w:ascii="Verdana" w:hAnsi="Verdana"/>
                <w:noProof/>
                <w:sz w:val="16"/>
                <w:szCs w:val="16"/>
              </w:rPr>
              <w:br/>
              <w:t>*Undercover/covert operations</w:t>
            </w:r>
            <w:r w:rsidRPr="001D5EAD">
              <w:rPr>
                <w:rFonts w:ascii="Verdana" w:hAnsi="Verdana"/>
                <w:noProof/>
                <w:sz w:val="16"/>
                <w:szCs w:val="16"/>
              </w:rPr>
              <w:br/>
              <w:t>*Use of informants – Members of the public</w:t>
            </w:r>
            <w:r w:rsidRPr="001D5EAD">
              <w:rPr>
                <w:rFonts w:ascii="Verdana" w:hAnsi="Verdana"/>
                <w:noProof/>
                <w:sz w:val="16"/>
                <w:szCs w:val="16"/>
              </w:rPr>
              <w:br/>
              <w:t>*Use of informants – Victim of a crime</w:t>
            </w:r>
            <w:r w:rsidRPr="001D5EAD">
              <w:rPr>
                <w:rFonts w:ascii="Verdana" w:hAnsi="Verdana"/>
                <w:noProof/>
                <w:sz w:val="16"/>
                <w:szCs w:val="16"/>
              </w:rPr>
              <w:br/>
              <w:t>*Use of informants – Members of an Organised Crime Group (OCG)</w:t>
            </w:r>
            <w:r w:rsidRPr="001D5EAD">
              <w:rPr>
                <w:rFonts w:ascii="Verdana" w:hAnsi="Verdana"/>
                <w:noProof/>
                <w:sz w:val="16"/>
                <w:szCs w:val="16"/>
              </w:rPr>
              <w:br/>
              <w:t>*Use of informants – Other police officers</w:t>
            </w:r>
            <w:r w:rsidRPr="001D5EAD">
              <w:rPr>
                <w:rFonts w:ascii="Verdana" w:hAnsi="Verdana"/>
                <w:noProof/>
                <w:sz w:val="16"/>
                <w:szCs w:val="16"/>
              </w:rPr>
              <w:br/>
              <w:t>*Witness protection</w:t>
            </w:r>
          </w:p>
        </w:tc>
        <w:tc>
          <w:tcPr>
            <w:tcW w:w="291" w:type="pct"/>
            <w:shd w:val="clear" w:color="auto" w:fill="F2F2F2"/>
            <w:noWrap/>
            <w:vAlign w:val="center"/>
            <w:hideMark/>
          </w:tcPr>
          <w:p w14:paraId="013CF49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A805FE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9EB33D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F2FF90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E70B1A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45CD53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86BC47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295CF94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3F0E341" w14:textId="77777777" w:rsidTr="00237337">
        <w:trPr>
          <w:trHeight w:val="20"/>
        </w:trPr>
        <w:tc>
          <w:tcPr>
            <w:tcW w:w="252" w:type="pct"/>
            <w:shd w:val="clear" w:color="auto" w:fill="F2F2F2"/>
            <w:vAlign w:val="center"/>
            <w:hideMark/>
          </w:tcPr>
          <w:p w14:paraId="293F8FA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81</w:t>
            </w:r>
          </w:p>
        </w:tc>
        <w:tc>
          <w:tcPr>
            <w:tcW w:w="556" w:type="pct"/>
            <w:shd w:val="clear" w:color="auto" w:fill="F2F2F2"/>
            <w:vAlign w:val="center"/>
            <w:hideMark/>
          </w:tcPr>
          <w:p w14:paraId="0676770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09C1D37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Tools in use </w:t>
            </w:r>
          </w:p>
        </w:tc>
        <w:tc>
          <w:tcPr>
            <w:tcW w:w="658" w:type="pct"/>
            <w:shd w:val="clear" w:color="auto" w:fill="F2F2F2"/>
            <w:vAlign w:val="center"/>
            <w:hideMark/>
          </w:tcPr>
          <w:p w14:paraId="6BDB2AD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list any investigative tools, not listed in the previous question, which are allowed and used in your country to tackle serious and organised crime at the national level and specify for what crime area they are used</w:t>
            </w:r>
          </w:p>
        </w:tc>
        <w:tc>
          <w:tcPr>
            <w:tcW w:w="708" w:type="pct"/>
            <w:shd w:val="clear" w:color="auto" w:fill="F2F2F2"/>
            <w:noWrap/>
            <w:vAlign w:val="center"/>
            <w:hideMark/>
          </w:tcPr>
          <w:p w14:paraId="520852E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246224A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424798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657E51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4FDBA5D"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4E3756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51BAE4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1FAE7E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219ECB7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402EEB4" w14:textId="77777777" w:rsidTr="00237337">
        <w:trPr>
          <w:trHeight w:val="20"/>
        </w:trPr>
        <w:tc>
          <w:tcPr>
            <w:tcW w:w="252" w:type="pct"/>
            <w:shd w:val="clear" w:color="auto" w:fill="F2F2F2"/>
            <w:vAlign w:val="center"/>
            <w:hideMark/>
          </w:tcPr>
          <w:p w14:paraId="2B4B2FF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82</w:t>
            </w:r>
          </w:p>
        </w:tc>
        <w:tc>
          <w:tcPr>
            <w:tcW w:w="556" w:type="pct"/>
            <w:shd w:val="clear" w:color="auto" w:fill="F2F2F2"/>
            <w:vAlign w:val="center"/>
            <w:hideMark/>
          </w:tcPr>
          <w:p w14:paraId="7E7B300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56ED6F1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Tools in use </w:t>
            </w:r>
          </w:p>
        </w:tc>
        <w:tc>
          <w:tcPr>
            <w:tcW w:w="658" w:type="pct"/>
            <w:shd w:val="clear" w:color="auto" w:fill="F2F2F2"/>
            <w:vAlign w:val="center"/>
            <w:hideMark/>
          </w:tcPr>
          <w:p w14:paraId="6DCB2E8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Can you please indicate relevant national documents where the tools and the related applicable rules are described?</w:t>
            </w:r>
          </w:p>
        </w:tc>
        <w:tc>
          <w:tcPr>
            <w:tcW w:w="708" w:type="pct"/>
            <w:shd w:val="clear" w:color="auto" w:fill="F2F2F2"/>
            <w:noWrap/>
            <w:vAlign w:val="center"/>
            <w:hideMark/>
          </w:tcPr>
          <w:p w14:paraId="26C3D55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41DC59B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D6AF65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B79ED5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F929B6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660FA9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17943F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431834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A84CEE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1B3C5E9" w14:textId="77777777" w:rsidTr="00237337">
        <w:trPr>
          <w:trHeight w:val="20"/>
        </w:trPr>
        <w:tc>
          <w:tcPr>
            <w:tcW w:w="252" w:type="pct"/>
            <w:shd w:val="clear" w:color="auto" w:fill="F2F2F2"/>
            <w:vAlign w:val="center"/>
            <w:hideMark/>
          </w:tcPr>
          <w:p w14:paraId="0F8C476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83</w:t>
            </w:r>
          </w:p>
        </w:tc>
        <w:tc>
          <w:tcPr>
            <w:tcW w:w="556" w:type="pct"/>
            <w:shd w:val="clear" w:color="auto" w:fill="F2F2F2"/>
            <w:vAlign w:val="center"/>
            <w:hideMark/>
          </w:tcPr>
          <w:p w14:paraId="139D313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1075ADD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Effectiveness of tools</w:t>
            </w:r>
          </w:p>
        </w:tc>
        <w:tc>
          <w:tcPr>
            <w:tcW w:w="658" w:type="pct"/>
            <w:shd w:val="clear" w:color="auto" w:fill="F2F2F2"/>
            <w:vAlign w:val="center"/>
            <w:hideMark/>
          </w:tcPr>
          <w:p w14:paraId="0D9A3CE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degree do you consider the following tools to be effective in combating organised crime or other serious crimes when investigating organised crime groups?*</w:t>
            </w:r>
          </w:p>
        </w:tc>
        <w:tc>
          <w:tcPr>
            <w:tcW w:w="708" w:type="pct"/>
            <w:shd w:val="clear" w:color="auto" w:fill="F2F2F2"/>
            <w:vAlign w:val="center"/>
            <w:hideMark/>
          </w:tcPr>
          <w:p w14:paraId="711EA40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*Controlled delivery (i.e. allowing suspicious shipments or cargo to leave, pass through or enter a jurisdiction with the knowledge and supervision of authorities)</w:t>
            </w:r>
            <w:r w:rsidRPr="001D5EAD">
              <w:rPr>
                <w:rFonts w:ascii="Verdana" w:hAnsi="Verdana"/>
                <w:noProof/>
                <w:sz w:val="16"/>
                <w:szCs w:val="16"/>
              </w:rPr>
              <w:br/>
              <w:t>*Hot pursuit</w:t>
            </w:r>
            <w:r w:rsidRPr="001D5EAD">
              <w:rPr>
                <w:rFonts w:ascii="Verdana" w:hAnsi="Verdana"/>
                <w:noProof/>
                <w:sz w:val="16"/>
                <w:szCs w:val="16"/>
              </w:rPr>
              <w:br/>
              <w:t xml:space="preserve">*Surveillance – Audio surveillance (e.g. Phone tapping; VOIP; Listening devices) </w:t>
            </w:r>
            <w:r w:rsidRPr="001D5EAD">
              <w:rPr>
                <w:rFonts w:ascii="Verdana" w:hAnsi="Verdana"/>
                <w:noProof/>
                <w:sz w:val="16"/>
                <w:szCs w:val="16"/>
              </w:rPr>
              <w:br/>
              <w:t>*Surveillance – Visual surveillance (e.g. Hidden video-surveillance devices; body-worn video devices ; CCTV)</w:t>
            </w:r>
            <w:r w:rsidRPr="001D5EAD">
              <w:rPr>
                <w:rFonts w:ascii="Verdana" w:hAnsi="Verdana"/>
                <w:noProof/>
                <w:sz w:val="16"/>
                <w:szCs w:val="16"/>
              </w:rPr>
              <w:br/>
              <w:t>*Surveillance – Tracking surveillance (e.g. GPS/transponders; mobile phones; radio-frequency identification devices (RFID); biometric info technology)</w:t>
            </w:r>
            <w:r w:rsidRPr="001D5EAD">
              <w:rPr>
                <w:rFonts w:ascii="Verdana" w:hAnsi="Verdana"/>
                <w:noProof/>
                <w:sz w:val="16"/>
                <w:szCs w:val="16"/>
              </w:rPr>
              <w:br/>
              <w:t>*Surveillance – Data surveillance (e.g. computer/internet (spyware); mobile phones; keystroke monitoring)</w:t>
            </w:r>
            <w:r w:rsidRPr="001D5EAD">
              <w:rPr>
                <w:rFonts w:ascii="Verdana" w:hAnsi="Verdana"/>
                <w:noProof/>
                <w:sz w:val="16"/>
                <w:szCs w:val="16"/>
              </w:rPr>
              <w:br/>
              <w:t>*Undercover/covert operations</w:t>
            </w:r>
            <w:r w:rsidRPr="001D5EAD">
              <w:rPr>
                <w:rFonts w:ascii="Verdana" w:hAnsi="Verdana"/>
                <w:noProof/>
                <w:sz w:val="16"/>
                <w:szCs w:val="16"/>
              </w:rPr>
              <w:br/>
              <w:t>*Use of informants – Members of the public</w:t>
            </w:r>
            <w:r w:rsidRPr="001D5EAD">
              <w:rPr>
                <w:rFonts w:ascii="Verdana" w:hAnsi="Verdana"/>
                <w:noProof/>
                <w:sz w:val="16"/>
                <w:szCs w:val="16"/>
              </w:rPr>
              <w:br/>
              <w:t>*Use of informants – Victim of a crime</w:t>
            </w:r>
            <w:r w:rsidRPr="001D5EAD">
              <w:rPr>
                <w:rFonts w:ascii="Verdana" w:hAnsi="Verdana"/>
                <w:noProof/>
                <w:sz w:val="16"/>
                <w:szCs w:val="16"/>
              </w:rPr>
              <w:br/>
              <w:t>*Use of informants – Members of an Organised Crime Group (OCG)</w:t>
            </w:r>
            <w:r w:rsidRPr="001D5EAD">
              <w:rPr>
                <w:rFonts w:ascii="Verdana" w:hAnsi="Verdana"/>
                <w:noProof/>
                <w:sz w:val="16"/>
                <w:szCs w:val="16"/>
              </w:rPr>
              <w:br/>
              <w:t>*Use of informants – Other police officers</w:t>
            </w:r>
            <w:r w:rsidRPr="001D5EAD">
              <w:rPr>
                <w:rFonts w:ascii="Verdana" w:hAnsi="Verdana"/>
                <w:noProof/>
                <w:sz w:val="16"/>
                <w:szCs w:val="16"/>
              </w:rPr>
              <w:br/>
              <w:t>*Witness protection</w:t>
            </w:r>
          </w:p>
        </w:tc>
        <w:tc>
          <w:tcPr>
            <w:tcW w:w="291" w:type="pct"/>
            <w:shd w:val="clear" w:color="auto" w:fill="F2F2F2"/>
            <w:noWrap/>
            <w:vAlign w:val="center"/>
            <w:hideMark/>
          </w:tcPr>
          <w:p w14:paraId="3F86CED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1BB1B7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218EDD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168E32A"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FDF938D"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F2C8B7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AF069F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41E190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FE639F2" w14:textId="77777777" w:rsidTr="00237337">
        <w:trPr>
          <w:trHeight w:val="20"/>
        </w:trPr>
        <w:tc>
          <w:tcPr>
            <w:tcW w:w="252" w:type="pct"/>
            <w:shd w:val="clear" w:color="auto" w:fill="F2F2F2"/>
            <w:vAlign w:val="center"/>
            <w:hideMark/>
          </w:tcPr>
          <w:p w14:paraId="48BC72B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84</w:t>
            </w:r>
          </w:p>
        </w:tc>
        <w:tc>
          <w:tcPr>
            <w:tcW w:w="556" w:type="pct"/>
            <w:shd w:val="clear" w:color="auto" w:fill="F2F2F2"/>
            <w:vAlign w:val="center"/>
            <w:hideMark/>
          </w:tcPr>
          <w:p w14:paraId="0089554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2F99889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Effectiveness of tools</w:t>
            </w:r>
          </w:p>
        </w:tc>
        <w:tc>
          <w:tcPr>
            <w:tcW w:w="658" w:type="pct"/>
            <w:shd w:val="clear" w:color="auto" w:fill="F2F2F2"/>
            <w:vAlign w:val="center"/>
            <w:hideMark/>
          </w:tcPr>
          <w:p w14:paraId="3019F61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Are there any investigative tools currently available in your country that you would like to change - if so, how?</w:t>
            </w:r>
          </w:p>
        </w:tc>
        <w:tc>
          <w:tcPr>
            <w:tcW w:w="708" w:type="pct"/>
            <w:shd w:val="clear" w:color="auto" w:fill="F2F2F2"/>
            <w:noWrap/>
            <w:vAlign w:val="center"/>
            <w:hideMark/>
          </w:tcPr>
          <w:p w14:paraId="6F03225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6649527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25ED5BD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DE96BA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ED394A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5FA79E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5224A7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F90552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F1FBEC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95673A5" w14:textId="77777777" w:rsidTr="00237337">
        <w:trPr>
          <w:trHeight w:val="20"/>
        </w:trPr>
        <w:tc>
          <w:tcPr>
            <w:tcW w:w="252" w:type="pct"/>
            <w:shd w:val="clear" w:color="auto" w:fill="F2F2F2"/>
            <w:vAlign w:val="center"/>
            <w:hideMark/>
          </w:tcPr>
          <w:p w14:paraId="4E49E37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85</w:t>
            </w:r>
          </w:p>
        </w:tc>
        <w:tc>
          <w:tcPr>
            <w:tcW w:w="556" w:type="pct"/>
            <w:shd w:val="clear" w:color="auto" w:fill="F2F2F2"/>
            <w:vAlign w:val="center"/>
            <w:hideMark/>
          </w:tcPr>
          <w:p w14:paraId="03A80AF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60B8C10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Effectiveness of tools</w:t>
            </w:r>
          </w:p>
        </w:tc>
        <w:tc>
          <w:tcPr>
            <w:tcW w:w="658" w:type="pct"/>
            <w:shd w:val="clear" w:color="auto" w:fill="F2F2F2"/>
            <w:vAlign w:val="center"/>
            <w:hideMark/>
          </w:tcPr>
          <w:p w14:paraId="2AD1FE9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Are there any investigative tools NOT currently available in your country that you would like to be able to use?</w:t>
            </w:r>
          </w:p>
        </w:tc>
        <w:tc>
          <w:tcPr>
            <w:tcW w:w="708" w:type="pct"/>
            <w:shd w:val="clear" w:color="auto" w:fill="F2F2F2"/>
            <w:noWrap/>
            <w:vAlign w:val="center"/>
            <w:hideMark/>
          </w:tcPr>
          <w:p w14:paraId="5520A08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5FBC15D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D9DCF8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A2FA81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515054B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1CEF2E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B4A775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2D2220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26F0D1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6E5F608" w14:textId="77777777" w:rsidTr="00237337">
        <w:trPr>
          <w:trHeight w:val="20"/>
        </w:trPr>
        <w:tc>
          <w:tcPr>
            <w:tcW w:w="252" w:type="pct"/>
            <w:shd w:val="clear" w:color="auto" w:fill="F2F2F2"/>
            <w:vAlign w:val="center"/>
            <w:hideMark/>
          </w:tcPr>
          <w:p w14:paraId="549F393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86</w:t>
            </w:r>
          </w:p>
        </w:tc>
        <w:tc>
          <w:tcPr>
            <w:tcW w:w="556" w:type="pct"/>
            <w:shd w:val="clear" w:color="auto" w:fill="F2F2F2"/>
            <w:vAlign w:val="center"/>
            <w:hideMark/>
          </w:tcPr>
          <w:p w14:paraId="7B62B64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14F72CE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Effectiveness of tools</w:t>
            </w:r>
          </w:p>
        </w:tc>
        <w:tc>
          <w:tcPr>
            <w:tcW w:w="658" w:type="pct"/>
            <w:shd w:val="clear" w:color="auto" w:fill="F2F2F2"/>
            <w:vAlign w:val="center"/>
            <w:hideMark/>
          </w:tcPr>
          <w:p w14:paraId="6981E6B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Do you consider existing national safeguards as appropriate to protect the rights of the individuals when using the investigative tools listed above?*</w:t>
            </w:r>
          </w:p>
        </w:tc>
        <w:tc>
          <w:tcPr>
            <w:tcW w:w="708" w:type="pct"/>
            <w:shd w:val="clear" w:color="auto" w:fill="F2F2F2"/>
            <w:vAlign w:val="center"/>
            <w:hideMark/>
          </w:tcPr>
          <w:p w14:paraId="377DDE8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*Yes</w:t>
            </w:r>
            <w:r w:rsidRPr="001D5EAD">
              <w:rPr>
                <w:rFonts w:ascii="Verdana" w:hAnsi="Verdana"/>
                <w:noProof/>
                <w:sz w:val="16"/>
                <w:szCs w:val="16"/>
              </w:rPr>
              <w:br/>
              <w:t>*No</w:t>
            </w:r>
            <w:r w:rsidRPr="001D5EAD">
              <w:rPr>
                <w:rFonts w:ascii="Verdana" w:hAnsi="Verdana"/>
                <w:noProof/>
                <w:sz w:val="16"/>
                <w:szCs w:val="16"/>
              </w:rPr>
              <w:br/>
              <w:t>*Don't know</w:t>
            </w:r>
          </w:p>
        </w:tc>
        <w:tc>
          <w:tcPr>
            <w:tcW w:w="291" w:type="pct"/>
            <w:shd w:val="clear" w:color="auto" w:fill="F2F2F2"/>
            <w:noWrap/>
            <w:vAlign w:val="center"/>
            <w:hideMark/>
          </w:tcPr>
          <w:p w14:paraId="72CF33F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120970C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F3891C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83D796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968274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BB7E97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98390A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751599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CE964C9" w14:textId="77777777" w:rsidTr="00237337">
        <w:trPr>
          <w:trHeight w:val="20"/>
        </w:trPr>
        <w:tc>
          <w:tcPr>
            <w:tcW w:w="252" w:type="pct"/>
            <w:shd w:val="clear" w:color="auto" w:fill="F2F2F2"/>
            <w:vAlign w:val="center"/>
            <w:hideMark/>
          </w:tcPr>
          <w:p w14:paraId="5F1C490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87</w:t>
            </w:r>
          </w:p>
        </w:tc>
        <w:tc>
          <w:tcPr>
            <w:tcW w:w="556" w:type="pct"/>
            <w:shd w:val="clear" w:color="auto" w:fill="F2F2F2"/>
            <w:vAlign w:val="center"/>
            <w:hideMark/>
          </w:tcPr>
          <w:p w14:paraId="5B2A6D4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INVESTIGATIVE TOOLS USED AT THE NATIONAL LEVEL TO COMBAT ORGANISED CRIME</w:t>
            </w:r>
          </w:p>
        </w:tc>
        <w:tc>
          <w:tcPr>
            <w:tcW w:w="507" w:type="pct"/>
            <w:shd w:val="clear" w:color="auto" w:fill="F2F2F2"/>
            <w:vAlign w:val="center"/>
            <w:hideMark/>
          </w:tcPr>
          <w:p w14:paraId="05AE3D0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Effectiveness of tools</w:t>
            </w:r>
          </w:p>
        </w:tc>
        <w:tc>
          <w:tcPr>
            <w:tcW w:w="658" w:type="pct"/>
            <w:shd w:val="clear" w:color="auto" w:fill="F2F2F2"/>
            <w:vAlign w:val="center"/>
            <w:hideMark/>
          </w:tcPr>
          <w:p w14:paraId="08688E1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not, can you please explain why?</w:t>
            </w:r>
          </w:p>
        </w:tc>
        <w:tc>
          <w:tcPr>
            <w:tcW w:w="708" w:type="pct"/>
            <w:shd w:val="clear" w:color="auto" w:fill="F2F2F2"/>
            <w:vAlign w:val="center"/>
            <w:hideMark/>
          </w:tcPr>
          <w:p w14:paraId="2E1FB99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121F6FE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5B15DF6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127E8A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3161D8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2776E14"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AC6CB4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771771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6F1FFA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0AEBFE05" w14:textId="77777777" w:rsidTr="00237337">
        <w:trPr>
          <w:trHeight w:val="20"/>
        </w:trPr>
        <w:tc>
          <w:tcPr>
            <w:tcW w:w="252" w:type="pct"/>
            <w:shd w:val="clear" w:color="auto" w:fill="F2F2F2"/>
            <w:vAlign w:val="center"/>
            <w:hideMark/>
          </w:tcPr>
          <w:p w14:paraId="60CC58F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88</w:t>
            </w:r>
          </w:p>
        </w:tc>
        <w:tc>
          <w:tcPr>
            <w:tcW w:w="556" w:type="pct"/>
            <w:shd w:val="clear" w:color="auto" w:fill="F2F2F2"/>
            <w:vAlign w:val="center"/>
            <w:hideMark/>
          </w:tcPr>
          <w:p w14:paraId="1A7F10A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17AE53E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w:t>
            </w:r>
          </w:p>
        </w:tc>
        <w:tc>
          <w:tcPr>
            <w:tcW w:w="658" w:type="pct"/>
            <w:shd w:val="clear" w:color="auto" w:fill="F2F2F2"/>
            <w:vAlign w:val="center"/>
            <w:hideMark/>
          </w:tcPr>
          <w:p w14:paraId="15D55CC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in your view, is there a need for EU intervention to improve cross-border law enforcement operational cooperation to the following types of crimes?*</w:t>
            </w:r>
          </w:p>
        </w:tc>
        <w:tc>
          <w:tcPr>
            <w:tcW w:w="708" w:type="pct"/>
            <w:shd w:val="clear" w:color="auto" w:fill="F2F2F2"/>
            <w:vAlign w:val="center"/>
            <w:hideMark/>
          </w:tcPr>
          <w:p w14:paraId="3553DC16" w14:textId="77777777" w:rsidR="00545238" w:rsidRDefault="00545238" w:rsidP="00080E5C">
            <w:pPr>
              <w:spacing w:before="40" w:after="40"/>
              <w:rPr>
                <w:rFonts w:ascii="Verdana" w:hAnsi="Verdana"/>
                <w:noProof/>
                <w:sz w:val="16"/>
                <w:szCs w:val="16"/>
              </w:rPr>
            </w:pPr>
            <w:r w:rsidRPr="001D5EAD">
              <w:rPr>
                <w:rFonts w:ascii="Verdana" w:hAnsi="Verdana"/>
                <w:noProof/>
                <w:sz w:val="16"/>
                <w:szCs w:val="16"/>
              </w:rPr>
              <w:t xml:space="preserve">*Drugs </w:t>
            </w:r>
            <w:r w:rsidRPr="001D5EAD">
              <w:rPr>
                <w:rFonts w:ascii="Verdana" w:hAnsi="Verdana"/>
                <w:noProof/>
                <w:sz w:val="16"/>
                <w:szCs w:val="16"/>
              </w:rPr>
              <w:br/>
              <w:t>*Illicit tobacco trade</w:t>
            </w:r>
            <w:r w:rsidRPr="001D5EAD">
              <w:rPr>
                <w:rFonts w:ascii="Verdana" w:hAnsi="Verdana"/>
                <w:noProof/>
                <w:sz w:val="16"/>
                <w:szCs w:val="16"/>
              </w:rPr>
              <w:br/>
              <w:t>*Trafficking in human beings</w:t>
            </w:r>
            <w:r w:rsidRPr="001D5EAD">
              <w:rPr>
                <w:rFonts w:ascii="Verdana" w:hAnsi="Verdana"/>
                <w:noProof/>
                <w:sz w:val="16"/>
                <w:szCs w:val="16"/>
              </w:rPr>
              <w:br/>
              <w:t>*Financial crimes</w:t>
            </w:r>
            <w:r w:rsidRPr="001D5EAD">
              <w:rPr>
                <w:rFonts w:ascii="Verdana" w:hAnsi="Verdana"/>
                <w:noProof/>
                <w:sz w:val="16"/>
                <w:szCs w:val="16"/>
              </w:rPr>
              <w:br/>
              <w:t>*Cybercrime</w:t>
            </w:r>
            <w:r w:rsidRPr="001D5EAD">
              <w:rPr>
                <w:rFonts w:ascii="Verdana" w:hAnsi="Verdana"/>
                <w:noProof/>
                <w:sz w:val="16"/>
                <w:szCs w:val="16"/>
              </w:rPr>
              <w:br/>
              <w:t>*Organised property crime</w:t>
            </w:r>
            <w:r w:rsidRPr="001D5EAD">
              <w:rPr>
                <w:rFonts w:ascii="Verdana" w:hAnsi="Verdana"/>
                <w:noProof/>
                <w:sz w:val="16"/>
                <w:szCs w:val="16"/>
              </w:rPr>
              <w:br/>
              <w:t>*Environmental crime</w:t>
            </w:r>
            <w:r w:rsidRPr="001D5EAD">
              <w:rPr>
                <w:rFonts w:ascii="Verdana" w:hAnsi="Verdana"/>
                <w:noProof/>
                <w:sz w:val="16"/>
                <w:szCs w:val="16"/>
              </w:rPr>
              <w:br/>
              <w:t>*Trafficking of firearms</w:t>
            </w:r>
            <w:r w:rsidRPr="001D5EAD">
              <w:rPr>
                <w:rFonts w:ascii="Verdana" w:hAnsi="Verdana"/>
                <w:noProof/>
                <w:sz w:val="16"/>
                <w:szCs w:val="16"/>
              </w:rPr>
              <w:br/>
              <w:t xml:space="preserve">*Illegal immigration </w:t>
            </w:r>
            <w:r w:rsidRPr="001D5EAD">
              <w:rPr>
                <w:rFonts w:ascii="Verdana" w:hAnsi="Verdana"/>
                <w:noProof/>
                <w:sz w:val="16"/>
                <w:szCs w:val="16"/>
              </w:rPr>
              <w:br/>
              <w:t>*Terrorism</w:t>
            </w:r>
          </w:p>
          <w:p w14:paraId="6D2F0384" w14:textId="77777777" w:rsidR="00545238" w:rsidRPr="001D5EAD" w:rsidRDefault="00545238" w:rsidP="00080E5C">
            <w:pPr>
              <w:spacing w:before="40" w:after="40"/>
              <w:rPr>
                <w:rFonts w:ascii="Verdana" w:hAnsi="Verdana"/>
                <w:noProof/>
                <w:sz w:val="16"/>
                <w:szCs w:val="16"/>
              </w:rPr>
            </w:pPr>
          </w:p>
        </w:tc>
        <w:tc>
          <w:tcPr>
            <w:tcW w:w="291" w:type="pct"/>
            <w:shd w:val="clear" w:color="auto" w:fill="F2F2F2"/>
            <w:noWrap/>
            <w:vAlign w:val="center"/>
            <w:hideMark/>
          </w:tcPr>
          <w:p w14:paraId="3FA6E2C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055CD1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6A905E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D544B0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5CE56B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7E216F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797725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80B774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B8B9CAC" w14:textId="77777777" w:rsidTr="00237337">
        <w:trPr>
          <w:trHeight w:val="20"/>
        </w:trPr>
        <w:tc>
          <w:tcPr>
            <w:tcW w:w="252" w:type="pct"/>
            <w:shd w:val="clear" w:color="auto" w:fill="F2F2F2"/>
            <w:vAlign w:val="center"/>
            <w:hideMark/>
          </w:tcPr>
          <w:p w14:paraId="1A7CB8C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89</w:t>
            </w:r>
          </w:p>
        </w:tc>
        <w:tc>
          <w:tcPr>
            <w:tcW w:w="556" w:type="pct"/>
            <w:shd w:val="clear" w:color="auto" w:fill="F2F2F2"/>
            <w:vAlign w:val="center"/>
            <w:hideMark/>
          </w:tcPr>
          <w:p w14:paraId="3DC924D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6896828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w:t>
            </w:r>
          </w:p>
        </w:tc>
        <w:tc>
          <w:tcPr>
            <w:tcW w:w="658" w:type="pct"/>
            <w:shd w:val="clear" w:color="auto" w:fill="F2F2F2"/>
            <w:vAlign w:val="center"/>
            <w:hideMark/>
          </w:tcPr>
          <w:p w14:paraId="711A40A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in your view, is there a need for EU intervention to improve cross-border law enforcement operational cooperation to ensure public order and safety?*</w:t>
            </w:r>
          </w:p>
        </w:tc>
        <w:tc>
          <w:tcPr>
            <w:tcW w:w="708" w:type="pct"/>
            <w:shd w:val="clear" w:color="auto" w:fill="F2F2F2"/>
            <w:vAlign w:val="center"/>
            <w:hideMark/>
          </w:tcPr>
          <w:p w14:paraId="172EDE5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*Crises and disasters</w:t>
            </w:r>
            <w:r w:rsidRPr="001D5EAD">
              <w:rPr>
                <w:rFonts w:ascii="Verdana" w:hAnsi="Verdana"/>
                <w:noProof/>
                <w:sz w:val="16"/>
                <w:szCs w:val="16"/>
              </w:rPr>
              <w:br/>
              <w:t xml:space="preserve">*International sport/music/cultural events </w:t>
            </w:r>
            <w:r w:rsidRPr="001D5EAD">
              <w:rPr>
                <w:rFonts w:ascii="Verdana" w:hAnsi="Verdana"/>
                <w:noProof/>
                <w:sz w:val="16"/>
                <w:szCs w:val="16"/>
              </w:rPr>
              <w:br/>
              <w:t>*Flows of people moving for tourism</w:t>
            </w:r>
            <w:r w:rsidRPr="001D5EAD">
              <w:rPr>
                <w:rFonts w:ascii="Verdana" w:hAnsi="Verdana"/>
                <w:noProof/>
                <w:sz w:val="16"/>
                <w:szCs w:val="16"/>
              </w:rPr>
              <w:br/>
              <w:t>*Flows of people moving for work</w:t>
            </w:r>
            <w:r w:rsidRPr="001D5EAD">
              <w:rPr>
                <w:rFonts w:ascii="Verdana" w:hAnsi="Verdana"/>
                <w:noProof/>
                <w:sz w:val="16"/>
                <w:szCs w:val="16"/>
              </w:rPr>
              <w:br/>
              <w:t xml:space="preserve">*Protection of public figures </w:t>
            </w:r>
          </w:p>
        </w:tc>
        <w:tc>
          <w:tcPr>
            <w:tcW w:w="291" w:type="pct"/>
            <w:shd w:val="clear" w:color="auto" w:fill="F2F2F2"/>
            <w:noWrap/>
            <w:vAlign w:val="center"/>
            <w:hideMark/>
          </w:tcPr>
          <w:p w14:paraId="7C14BF1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2F3CF7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E6BCB40"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28610BC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E0C92C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366ACF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50631B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9ADCC8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C189227" w14:textId="77777777" w:rsidTr="00237337">
        <w:trPr>
          <w:trHeight w:val="20"/>
        </w:trPr>
        <w:tc>
          <w:tcPr>
            <w:tcW w:w="252" w:type="pct"/>
            <w:shd w:val="clear" w:color="auto" w:fill="F2F2F2"/>
            <w:vAlign w:val="center"/>
            <w:hideMark/>
          </w:tcPr>
          <w:p w14:paraId="36065F9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90</w:t>
            </w:r>
          </w:p>
        </w:tc>
        <w:tc>
          <w:tcPr>
            <w:tcW w:w="556" w:type="pct"/>
            <w:shd w:val="clear" w:color="auto" w:fill="F2F2F2"/>
            <w:vAlign w:val="center"/>
            <w:hideMark/>
          </w:tcPr>
          <w:p w14:paraId="2D8D9C9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2CBD0EF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w:t>
            </w:r>
          </w:p>
        </w:tc>
        <w:tc>
          <w:tcPr>
            <w:tcW w:w="658" w:type="pct"/>
            <w:shd w:val="clear" w:color="auto" w:fill="F2F2F2"/>
            <w:vAlign w:val="center"/>
            <w:hideMark/>
          </w:tcPr>
          <w:p w14:paraId="6BF3155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in your view, is there a need for EU intervention to improve cross-border information exchange among law enforcement authorities?*</w:t>
            </w:r>
          </w:p>
        </w:tc>
        <w:tc>
          <w:tcPr>
            <w:tcW w:w="708" w:type="pct"/>
            <w:shd w:val="clear" w:color="auto" w:fill="F2F2F2"/>
            <w:vAlign w:val="center"/>
            <w:hideMark/>
          </w:tcPr>
          <w:p w14:paraId="6786394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Very high extent</w:t>
            </w:r>
            <w:r w:rsidRPr="001D5EAD">
              <w:rPr>
                <w:rFonts w:ascii="Verdana" w:hAnsi="Verdana"/>
                <w:noProof/>
                <w:sz w:val="16"/>
                <w:szCs w:val="16"/>
              </w:rPr>
              <w:br/>
              <w:t>High extent</w:t>
            </w:r>
            <w:r w:rsidRPr="001D5EAD">
              <w:rPr>
                <w:rFonts w:ascii="Verdana" w:hAnsi="Verdana"/>
                <w:noProof/>
                <w:sz w:val="16"/>
                <w:szCs w:val="16"/>
              </w:rPr>
              <w:br/>
              <w:t>Moderate extent</w:t>
            </w:r>
            <w:r w:rsidRPr="001D5EAD">
              <w:rPr>
                <w:rFonts w:ascii="Verdana" w:hAnsi="Verdana"/>
                <w:noProof/>
                <w:sz w:val="16"/>
                <w:szCs w:val="16"/>
              </w:rPr>
              <w:br/>
              <w:t>Small extent</w:t>
            </w:r>
            <w:r w:rsidRPr="001D5EAD">
              <w:rPr>
                <w:rFonts w:ascii="Verdana" w:hAnsi="Verdana"/>
                <w:noProof/>
                <w:sz w:val="16"/>
                <w:szCs w:val="16"/>
              </w:rPr>
              <w:br/>
              <w:t>Not at all</w:t>
            </w:r>
            <w:r w:rsidRPr="001D5EAD">
              <w:rPr>
                <w:rFonts w:ascii="Verdana" w:hAnsi="Verdana"/>
                <w:noProof/>
                <w:sz w:val="16"/>
                <w:szCs w:val="16"/>
              </w:rPr>
              <w:br/>
              <w:t xml:space="preserve">Don't know </w:t>
            </w:r>
          </w:p>
        </w:tc>
        <w:tc>
          <w:tcPr>
            <w:tcW w:w="291" w:type="pct"/>
            <w:shd w:val="clear" w:color="auto" w:fill="F2F2F2"/>
            <w:noWrap/>
            <w:vAlign w:val="center"/>
            <w:hideMark/>
          </w:tcPr>
          <w:p w14:paraId="2350BCC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B67D40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93EA67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3847EB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CFF074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EC6265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2BA071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5AEC06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CD0069C" w14:textId="77777777" w:rsidTr="00237337">
        <w:trPr>
          <w:trHeight w:val="20"/>
        </w:trPr>
        <w:tc>
          <w:tcPr>
            <w:tcW w:w="252" w:type="pct"/>
            <w:shd w:val="clear" w:color="auto" w:fill="F2F2F2"/>
            <w:vAlign w:val="center"/>
            <w:hideMark/>
          </w:tcPr>
          <w:p w14:paraId="65ABAE8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91</w:t>
            </w:r>
          </w:p>
        </w:tc>
        <w:tc>
          <w:tcPr>
            <w:tcW w:w="556" w:type="pct"/>
            <w:shd w:val="clear" w:color="auto" w:fill="F2F2F2"/>
            <w:vAlign w:val="center"/>
            <w:hideMark/>
          </w:tcPr>
          <w:p w14:paraId="065301A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3974302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w:t>
            </w:r>
          </w:p>
        </w:tc>
        <w:tc>
          <w:tcPr>
            <w:tcW w:w="658" w:type="pct"/>
            <w:shd w:val="clear" w:color="auto" w:fill="F2F2F2"/>
            <w:vAlign w:val="center"/>
            <w:hideMark/>
          </w:tcPr>
          <w:p w14:paraId="3967132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in your view, is there a need for EU intervention to improve cross-border threat assessment/risk analysis?*</w:t>
            </w:r>
          </w:p>
        </w:tc>
        <w:tc>
          <w:tcPr>
            <w:tcW w:w="708" w:type="pct"/>
            <w:shd w:val="clear" w:color="auto" w:fill="F2F2F2"/>
            <w:vAlign w:val="center"/>
            <w:hideMark/>
          </w:tcPr>
          <w:p w14:paraId="42562BE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Very high extent</w:t>
            </w:r>
            <w:r w:rsidRPr="001D5EAD">
              <w:rPr>
                <w:rFonts w:ascii="Verdana" w:hAnsi="Verdana"/>
                <w:noProof/>
                <w:sz w:val="16"/>
                <w:szCs w:val="16"/>
              </w:rPr>
              <w:br/>
              <w:t>High extent</w:t>
            </w:r>
            <w:r w:rsidRPr="001D5EAD">
              <w:rPr>
                <w:rFonts w:ascii="Verdana" w:hAnsi="Verdana"/>
                <w:noProof/>
                <w:sz w:val="16"/>
                <w:szCs w:val="16"/>
              </w:rPr>
              <w:br/>
              <w:t>Moderate extent</w:t>
            </w:r>
            <w:r w:rsidRPr="001D5EAD">
              <w:rPr>
                <w:rFonts w:ascii="Verdana" w:hAnsi="Verdana"/>
                <w:noProof/>
                <w:sz w:val="16"/>
                <w:szCs w:val="16"/>
              </w:rPr>
              <w:br/>
              <w:t>Small extent</w:t>
            </w:r>
            <w:r w:rsidRPr="001D5EAD">
              <w:rPr>
                <w:rFonts w:ascii="Verdana" w:hAnsi="Verdana"/>
                <w:noProof/>
                <w:sz w:val="16"/>
                <w:szCs w:val="16"/>
              </w:rPr>
              <w:br/>
              <w:t>Not at all</w:t>
            </w:r>
            <w:r w:rsidRPr="001D5EAD">
              <w:rPr>
                <w:rFonts w:ascii="Verdana" w:hAnsi="Verdana"/>
                <w:noProof/>
                <w:sz w:val="16"/>
                <w:szCs w:val="16"/>
              </w:rPr>
              <w:br/>
              <w:t xml:space="preserve">Don't know </w:t>
            </w:r>
          </w:p>
        </w:tc>
        <w:tc>
          <w:tcPr>
            <w:tcW w:w="291" w:type="pct"/>
            <w:shd w:val="clear" w:color="auto" w:fill="F2F2F2"/>
            <w:noWrap/>
            <w:vAlign w:val="center"/>
            <w:hideMark/>
          </w:tcPr>
          <w:p w14:paraId="7EDF6FB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5CCCE8A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C05A17D"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3F10FDF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9EAF5F9"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5EB08C2"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4BBAFE6"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5F57F7F3" w14:textId="77777777" w:rsidR="00545238" w:rsidRPr="001D5EAD" w:rsidRDefault="00545238" w:rsidP="00080E5C">
            <w:pPr>
              <w:spacing w:before="40" w:after="40"/>
              <w:jc w:val="center"/>
              <w:rPr>
                <w:rFonts w:ascii="Verdana" w:hAnsi="Verdana"/>
                <w:noProof/>
                <w:sz w:val="16"/>
                <w:szCs w:val="16"/>
              </w:rPr>
            </w:pPr>
          </w:p>
        </w:tc>
      </w:tr>
      <w:tr w:rsidR="00545238" w:rsidRPr="001D5EAD" w14:paraId="790C1CA5" w14:textId="77777777" w:rsidTr="00237337">
        <w:trPr>
          <w:trHeight w:val="20"/>
        </w:trPr>
        <w:tc>
          <w:tcPr>
            <w:tcW w:w="252" w:type="pct"/>
            <w:shd w:val="clear" w:color="auto" w:fill="F2F2F2"/>
            <w:vAlign w:val="center"/>
            <w:hideMark/>
          </w:tcPr>
          <w:p w14:paraId="639A66A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92</w:t>
            </w:r>
          </w:p>
        </w:tc>
        <w:tc>
          <w:tcPr>
            <w:tcW w:w="556" w:type="pct"/>
            <w:shd w:val="clear" w:color="auto" w:fill="F2F2F2"/>
            <w:vAlign w:val="center"/>
            <w:hideMark/>
          </w:tcPr>
          <w:p w14:paraId="35605E7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4D15FB7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w:t>
            </w:r>
          </w:p>
        </w:tc>
        <w:tc>
          <w:tcPr>
            <w:tcW w:w="658" w:type="pct"/>
            <w:shd w:val="clear" w:color="auto" w:fill="F2F2F2"/>
            <w:vAlign w:val="center"/>
            <w:hideMark/>
          </w:tcPr>
          <w:p w14:paraId="5F5CC91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If you see the need for EU intervention, can you please explain what would be the added value of the intervention compared to what countries could achieve alone?</w:t>
            </w:r>
          </w:p>
        </w:tc>
        <w:tc>
          <w:tcPr>
            <w:tcW w:w="708" w:type="pct"/>
            <w:shd w:val="clear" w:color="auto" w:fill="F2F2F2"/>
            <w:vAlign w:val="center"/>
            <w:hideMark/>
          </w:tcPr>
          <w:p w14:paraId="059B4E6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321C619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5D9E92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3D34A1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2BCD95D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8FB2CC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6F0D06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F78465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42FCE5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383D5BC" w14:textId="77777777" w:rsidTr="00237337">
        <w:trPr>
          <w:trHeight w:val="20"/>
        </w:trPr>
        <w:tc>
          <w:tcPr>
            <w:tcW w:w="252" w:type="pct"/>
            <w:shd w:val="clear" w:color="auto" w:fill="F2F2F2"/>
            <w:vAlign w:val="center"/>
            <w:hideMark/>
          </w:tcPr>
          <w:p w14:paraId="60B3F0D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93</w:t>
            </w:r>
          </w:p>
        </w:tc>
        <w:tc>
          <w:tcPr>
            <w:tcW w:w="556" w:type="pct"/>
            <w:shd w:val="clear" w:color="auto" w:fill="F2F2F2"/>
            <w:vAlign w:val="center"/>
            <w:hideMark/>
          </w:tcPr>
          <w:p w14:paraId="722BF8C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1BF3770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662A433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xml:space="preserve">What type of measures the EU can adopt to improve cross-border threat assessment/risk analysis? </w:t>
            </w:r>
          </w:p>
        </w:tc>
        <w:tc>
          <w:tcPr>
            <w:tcW w:w="708" w:type="pct"/>
            <w:shd w:val="clear" w:color="auto" w:fill="F2F2F2"/>
            <w:vAlign w:val="center"/>
            <w:hideMark/>
          </w:tcPr>
          <w:p w14:paraId="7E62C3D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2DFF136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noWrap/>
            <w:vAlign w:val="center"/>
            <w:hideMark/>
          </w:tcPr>
          <w:p w14:paraId="2D980E3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D67205D"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3851605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4E980D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D00510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0327296"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2A629892" w14:textId="77777777" w:rsidR="00545238" w:rsidRPr="001D5EAD" w:rsidRDefault="00545238" w:rsidP="00080E5C">
            <w:pPr>
              <w:spacing w:before="40" w:after="40"/>
              <w:jc w:val="center"/>
              <w:rPr>
                <w:rFonts w:ascii="Verdana" w:hAnsi="Verdana"/>
                <w:noProof/>
                <w:sz w:val="16"/>
                <w:szCs w:val="16"/>
              </w:rPr>
            </w:pPr>
          </w:p>
        </w:tc>
      </w:tr>
      <w:tr w:rsidR="00545238" w:rsidRPr="001D5EAD" w14:paraId="15D3346F" w14:textId="77777777" w:rsidTr="00237337">
        <w:trPr>
          <w:trHeight w:val="20"/>
        </w:trPr>
        <w:tc>
          <w:tcPr>
            <w:tcW w:w="252" w:type="pct"/>
            <w:shd w:val="clear" w:color="auto" w:fill="F2F2F2"/>
            <w:vAlign w:val="center"/>
            <w:hideMark/>
          </w:tcPr>
          <w:p w14:paraId="13AB541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94</w:t>
            </w:r>
          </w:p>
        </w:tc>
        <w:tc>
          <w:tcPr>
            <w:tcW w:w="556" w:type="pct"/>
            <w:shd w:val="clear" w:color="auto" w:fill="F2F2F2"/>
            <w:vAlign w:val="center"/>
            <w:hideMark/>
          </w:tcPr>
          <w:p w14:paraId="2EC65C3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0ACD4E2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013B03C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do you think the following options can contribute to improving cross-border law enforcement cooperation between countries?*</w:t>
            </w:r>
          </w:p>
        </w:tc>
        <w:tc>
          <w:tcPr>
            <w:tcW w:w="708" w:type="pct"/>
            <w:shd w:val="clear" w:color="auto" w:fill="F2F2F2"/>
            <w:vAlign w:val="center"/>
            <w:hideMark/>
          </w:tcPr>
          <w:p w14:paraId="500CE78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*Consolidation, streamlining and clarification of the EU legal framework providing the basis for law enforcement cooperation</w:t>
            </w:r>
            <w:r w:rsidRPr="001D5EAD">
              <w:rPr>
                <w:rFonts w:ascii="Verdana" w:hAnsi="Verdana"/>
                <w:noProof/>
                <w:sz w:val="16"/>
                <w:szCs w:val="16"/>
              </w:rPr>
              <w:br/>
              <w:t>*Modernisation of the EU legal framework providing the basis for law enforcement cooperation (e.g. by providing provisions to cover the use of recent technological developments)</w:t>
            </w:r>
            <w:r w:rsidRPr="001D5EAD">
              <w:rPr>
                <w:rFonts w:ascii="Verdana" w:hAnsi="Verdana"/>
                <w:noProof/>
                <w:sz w:val="16"/>
                <w:szCs w:val="16"/>
              </w:rPr>
              <w:br/>
              <w:t>*Definition of minimum EU standards for organised crime investigations</w:t>
            </w:r>
            <w:r w:rsidRPr="001D5EAD">
              <w:rPr>
                <w:rFonts w:ascii="Verdana" w:hAnsi="Verdana"/>
                <w:noProof/>
                <w:sz w:val="16"/>
                <w:szCs w:val="16"/>
              </w:rPr>
              <w:br/>
              <w:t>*Creation of a single set of rules for the same actions, whether carried out by the police or by customs authorities</w:t>
            </w:r>
            <w:r w:rsidRPr="001D5EAD">
              <w:rPr>
                <w:rFonts w:ascii="Verdana" w:hAnsi="Verdana"/>
                <w:noProof/>
                <w:sz w:val="16"/>
                <w:szCs w:val="16"/>
              </w:rPr>
              <w:br/>
              <w:t>*Setting up new operational initiatives for law enforcement cooperation</w:t>
            </w:r>
            <w:r w:rsidRPr="001D5EAD">
              <w:rPr>
                <w:rFonts w:ascii="Verdana" w:hAnsi="Verdana"/>
                <w:noProof/>
                <w:sz w:val="16"/>
                <w:szCs w:val="16"/>
              </w:rPr>
              <w:br/>
              <w:t>*Design of new recommendations, guidelines and good practices for law enforcement cooperation</w:t>
            </w:r>
          </w:p>
        </w:tc>
        <w:tc>
          <w:tcPr>
            <w:tcW w:w="291" w:type="pct"/>
            <w:shd w:val="clear" w:color="auto" w:fill="F2F2F2"/>
            <w:noWrap/>
            <w:vAlign w:val="center"/>
            <w:hideMark/>
          </w:tcPr>
          <w:p w14:paraId="1A1BC22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5F4EEE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07DAA0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3FF0720F"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654870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3CD391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313F28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F4B464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73EC66A" w14:textId="77777777" w:rsidTr="00237337">
        <w:trPr>
          <w:trHeight w:val="20"/>
        </w:trPr>
        <w:tc>
          <w:tcPr>
            <w:tcW w:w="252" w:type="pct"/>
            <w:shd w:val="clear" w:color="auto" w:fill="F2F2F2"/>
            <w:vAlign w:val="center"/>
            <w:hideMark/>
          </w:tcPr>
          <w:p w14:paraId="628F53B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95</w:t>
            </w:r>
          </w:p>
        </w:tc>
        <w:tc>
          <w:tcPr>
            <w:tcW w:w="556" w:type="pct"/>
            <w:shd w:val="clear" w:color="auto" w:fill="F2F2F2"/>
            <w:vAlign w:val="center"/>
            <w:hideMark/>
          </w:tcPr>
          <w:p w14:paraId="2F8BD26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2213660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5D3CEAC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provide further details to explain your answer</w:t>
            </w:r>
          </w:p>
        </w:tc>
        <w:tc>
          <w:tcPr>
            <w:tcW w:w="708" w:type="pct"/>
            <w:shd w:val="clear" w:color="auto" w:fill="F2F2F2"/>
            <w:vAlign w:val="center"/>
            <w:hideMark/>
          </w:tcPr>
          <w:p w14:paraId="05070FB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7AF3716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852F2B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135E5B1"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1BB98C46"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38470C2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18AA334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47CD41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53E29A1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490C6F7" w14:textId="77777777" w:rsidTr="00237337">
        <w:trPr>
          <w:trHeight w:val="20"/>
        </w:trPr>
        <w:tc>
          <w:tcPr>
            <w:tcW w:w="252" w:type="pct"/>
            <w:shd w:val="clear" w:color="auto" w:fill="F2F2F2"/>
            <w:vAlign w:val="center"/>
            <w:hideMark/>
          </w:tcPr>
          <w:p w14:paraId="7E4EAAB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96</w:t>
            </w:r>
          </w:p>
        </w:tc>
        <w:tc>
          <w:tcPr>
            <w:tcW w:w="556" w:type="pct"/>
            <w:shd w:val="clear" w:color="auto" w:fill="F2F2F2"/>
            <w:vAlign w:val="center"/>
            <w:hideMark/>
          </w:tcPr>
          <w:p w14:paraId="2AF8495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1223134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66A7883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list any other changes or steps do you think should be taken to improve cross-border law enforcement cooperation between countries</w:t>
            </w:r>
          </w:p>
        </w:tc>
        <w:tc>
          <w:tcPr>
            <w:tcW w:w="708" w:type="pct"/>
            <w:shd w:val="clear" w:color="auto" w:fill="F2F2F2"/>
            <w:vAlign w:val="center"/>
            <w:hideMark/>
          </w:tcPr>
          <w:p w14:paraId="4421CF1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6012A42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62F931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A2A413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32153B8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39A056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6CF472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8EA205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18E7ED8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7BE6EFE" w14:textId="77777777" w:rsidTr="00237337">
        <w:trPr>
          <w:trHeight w:val="20"/>
        </w:trPr>
        <w:tc>
          <w:tcPr>
            <w:tcW w:w="252" w:type="pct"/>
            <w:shd w:val="clear" w:color="auto" w:fill="F2F2F2"/>
            <w:vAlign w:val="center"/>
            <w:hideMark/>
          </w:tcPr>
          <w:p w14:paraId="112DA09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97</w:t>
            </w:r>
          </w:p>
        </w:tc>
        <w:tc>
          <w:tcPr>
            <w:tcW w:w="556" w:type="pct"/>
            <w:shd w:val="clear" w:color="auto" w:fill="F2F2F2"/>
            <w:vAlign w:val="center"/>
            <w:hideMark/>
          </w:tcPr>
          <w:p w14:paraId="1E757BF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1C20BF4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2F567111"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do you think EU intervention to harmonise the definitions and procedures relating to the following investigative tools would improve cross border cooperation?*</w:t>
            </w:r>
          </w:p>
        </w:tc>
        <w:tc>
          <w:tcPr>
            <w:tcW w:w="708" w:type="pct"/>
            <w:shd w:val="clear" w:color="auto" w:fill="F2F2F2"/>
            <w:vAlign w:val="center"/>
            <w:hideMark/>
          </w:tcPr>
          <w:p w14:paraId="223C591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*Controlled delivery (i.e. allowing suspicious shipments or cargo to leave, pass through or enter a jurisdiction with the knowledge and supervision of authorities)</w:t>
            </w:r>
            <w:r w:rsidRPr="001D5EAD">
              <w:rPr>
                <w:rFonts w:ascii="Verdana" w:hAnsi="Verdana"/>
                <w:noProof/>
                <w:sz w:val="16"/>
                <w:szCs w:val="16"/>
              </w:rPr>
              <w:br/>
              <w:t>*Hot pursuit</w:t>
            </w:r>
            <w:r w:rsidRPr="001D5EAD">
              <w:rPr>
                <w:rFonts w:ascii="Verdana" w:hAnsi="Verdana"/>
                <w:noProof/>
                <w:sz w:val="16"/>
                <w:szCs w:val="16"/>
              </w:rPr>
              <w:br/>
              <w:t xml:space="preserve">*Surveillance – Audio surveillance (e.g. Phone tapping; VOIP; Listening devices) </w:t>
            </w:r>
            <w:r w:rsidRPr="001D5EAD">
              <w:rPr>
                <w:rFonts w:ascii="Verdana" w:hAnsi="Verdana"/>
                <w:noProof/>
                <w:sz w:val="16"/>
                <w:szCs w:val="16"/>
              </w:rPr>
              <w:br/>
              <w:t>*Surveillance – Visual surveillance (e.g. Hidden video-surveillance devices; body-worn video devices ; CCTV)</w:t>
            </w:r>
            <w:r w:rsidRPr="001D5EAD">
              <w:rPr>
                <w:rFonts w:ascii="Verdana" w:hAnsi="Verdana"/>
                <w:noProof/>
                <w:sz w:val="16"/>
                <w:szCs w:val="16"/>
              </w:rPr>
              <w:br/>
              <w:t>*Surveillance – Tracking surveillance (e.g. GPS/transponders; mobile phones; radio-frequency identification devices (RFID); biometric info technology)</w:t>
            </w:r>
            <w:r w:rsidRPr="001D5EAD">
              <w:rPr>
                <w:rFonts w:ascii="Verdana" w:hAnsi="Verdana"/>
                <w:noProof/>
                <w:sz w:val="16"/>
                <w:szCs w:val="16"/>
              </w:rPr>
              <w:br/>
              <w:t>*Surveillance – Data surveillance (e.g. computer/internet (spyware); mobile phones; keystroke monitoring)</w:t>
            </w:r>
            <w:r w:rsidRPr="001D5EAD">
              <w:rPr>
                <w:rFonts w:ascii="Verdana" w:hAnsi="Verdana"/>
                <w:noProof/>
                <w:sz w:val="16"/>
                <w:szCs w:val="16"/>
              </w:rPr>
              <w:br/>
              <w:t>*Undercover/covert operations</w:t>
            </w:r>
            <w:r w:rsidRPr="001D5EAD">
              <w:rPr>
                <w:rFonts w:ascii="Verdana" w:hAnsi="Verdana"/>
                <w:noProof/>
                <w:sz w:val="16"/>
                <w:szCs w:val="16"/>
              </w:rPr>
              <w:br/>
              <w:t>*Use of informants – Members of the public</w:t>
            </w:r>
            <w:r w:rsidRPr="001D5EAD">
              <w:rPr>
                <w:rFonts w:ascii="Verdana" w:hAnsi="Verdana"/>
                <w:noProof/>
                <w:sz w:val="16"/>
                <w:szCs w:val="16"/>
              </w:rPr>
              <w:br/>
              <w:t>*Use of informants – Victim of a crime</w:t>
            </w:r>
            <w:r w:rsidRPr="001D5EAD">
              <w:rPr>
                <w:rFonts w:ascii="Verdana" w:hAnsi="Verdana"/>
                <w:noProof/>
                <w:sz w:val="16"/>
                <w:szCs w:val="16"/>
              </w:rPr>
              <w:br/>
              <w:t>*Use of informants – Members of an Organised Crime Group (OCG)</w:t>
            </w:r>
            <w:r w:rsidRPr="001D5EAD">
              <w:rPr>
                <w:rFonts w:ascii="Verdana" w:hAnsi="Verdana"/>
                <w:noProof/>
                <w:sz w:val="16"/>
                <w:szCs w:val="16"/>
              </w:rPr>
              <w:br/>
              <w:t>*Use of informants – Other police officers</w:t>
            </w:r>
            <w:r w:rsidRPr="001D5EAD">
              <w:rPr>
                <w:rFonts w:ascii="Verdana" w:hAnsi="Verdana"/>
                <w:noProof/>
                <w:sz w:val="16"/>
                <w:szCs w:val="16"/>
              </w:rPr>
              <w:br/>
              <w:t>*Witness protection</w:t>
            </w:r>
          </w:p>
        </w:tc>
        <w:tc>
          <w:tcPr>
            <w:tcW w:w="291" w:type="pct"/>
            <w:shd w:val="clear" w:color="auto" w:fill="F2F2F2"/>
            <w:noWrap/>
            <w:vAlign w:val="center"/>
            <w:hideMark/>
          </w:tcPr>
          <w:p w14:paraId="00329EE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105B0D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25E348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3311C9A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C72D940"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D05393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C70484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7A916AE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12767524" w14:textId="77777777" w:rsidTr="00237337">
        <w:trPr>
          <w:trHeight w:val="20"/>
        </w:trPr>
        <w:tc>
          <w:tcPr>
            <w:tcW w:w="252" w:type="pct"/>
            <w:shd w:val="clear" w:color="auto" w:fill="F2F2F2"/>
            <w:vAlign w:val="center"/>
            <w:hideMark/>
          </w:tcPr>
          <w:p w14:paraId="1FB4C8B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98</w:t>
            </w:r>
          </w:p>
        </w:tc>
        <w:tc>
          <w:tcPr>
            <w:tcW w:w="556" w:type="pct"/>
            <w:shd w:val="clear" w:color="auto" w:fill="F2F2F2"/>
            <w:vAlign w:val="center"/>
            <w:hideMark/>
          </w:tcPr>
          <w:p w14:paraId="7585B28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251FDEC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52B184F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provide further details to explain your answer</w:t>
            </w:r>
          </w:p>
        </w:tc>
        <w:tc>
          <w:tcPr>
            <w:tcW w:w="708" w:type="pct"/>
            <w:shd w:val="clear" w:color="auto" w:fill="F2F2F2"/>
            <w:vAlign w:val="center"/>
            <w:hideMark/>
          </w:tcPr>
          <w:p w14:paraId="7F47561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6EBF9AE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7A79B2A"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3F87A1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6E70AA68"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34640C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92F186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4EC7539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4FDDFE6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75B3E5B" w14:textId="77777777" w:rsidTr="00237337">
        <w:trPr>
          <w:trHeight w:val="20"/>
        </w:trPr>
        <w:tc>
          <w:tcPr>
            <w:tcW w:w="252" w:type="pct"/>
            <w:shd w:val="clear" w:color="auto" w:fill="F2F2F2"/>
            <w:vAlign w:val="center"/>
            <w:hideMark/>
          </w:tcPr>
          <w:p w14:paraId="65789BE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99</w:t>
            </w:r>
          </w:p>
        </w:tc>
        <w:tc>
          <w:tcPr>
            <w:tcW w:w="556" w:type="pct"/>
            <w:shd w:val="clear" w:color="auto" w:fill="F2F2F2"/>
            <w:vAlign w:val="center"/>
            <w:hideMark/>
          </w:tcPr>
          <w:p w14:paraId="5F00CA3F"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3C5BC5F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27C6E1A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list any other investigative tools you think should have common definitions or approaches at the EU level?</w:t>
            </w:r>
          </w:p>
        </w:tc>
        <w:tc>
          <w:tcPr>
            <w:tcW w:w="708" w:type="pct"/>
            <w:shd w:val="clear" w:color="auto" w:fill="F2F2F2"/>
            <w:vAlign w:val="center"/>
            <w:hideMark/>
          </w:tcPr>
          <w:p w14:paraId="13CBE21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0FAC7F9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7A6ABE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01D88A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810FA7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E6561C1"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6263E5A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D6DD2E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6940D5E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4D116320" w14:textId="77777777" w:rsidTr="00237337">
        <w:trPr>
          <w:trHeight w:val="20"/>
        </w:trPr>
        <w:tc>
          <w:tcPr>
            <w:tcW w:w="252" w:type="pct"/>
            <w:shd w:val="clear" w:color="auto" w:fill="F2F2F2"/>
            <w:vAlign w:val="center"/>
            <w:hideMark/>
          </w:tcPr>
          <w:p w14:paraId="02742CC9" w14:textId="77777777" w:rsidR="00545238" w:rsidRPr="00986833" w:rsidRDefault="00545238" w:rsidP="00080E5C">
            <w:pPr>
              <w:spacing w:before="40" w:after="40"/>
              <w:rPr>
                <w:rFonts w:ascii="Verdana" w:hAnsi="Verdana"/>
                <w:noProof/>
                <w:sz w:val="12"/>
                <w:szCs w:val="12"/>
              </w:rPr>
            </w:pPr>
            <w:r w:rsidRPr="00986833">
              <w:rPr>
                <w:rFonts w:ascii="Verdana" w:hAnsi="Verdana"/>
                <w:noProof/>
                <w:sz w:val="12"/>
                <w:szCs w:val="12"/>
              </w:rPr>
              <w:t>100</w:t>
            </w:r>
          </w:p>
        </w:tc>
        <w:tc>
          <w:tcPr>
            <w:tcW w:w="556" w:type="pct"/>
            <w:shd w:val="clear" w:color="auto" w:fill="F2F2F2"/>
            <w:vAlign w:val="center"/>
            <w:hideMark/>
          </w:tcPr>
          <w:p w14:paraId="3DE6DB1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5C6F9A15"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w:t>
            </w:r>
          </w:p>
        </w:tc>
        <w:tc>
          <w:tcPr>
            <w:tcW w:w="658" w:type="pct"/>
            <w:shd w:val="clear" w:color="auto" w:fill="F2F2F2"/>
            <w:vAlign w:val="center"/>
            <w:hideMark/>
          </w:tcPr>
          <w:p w14:paraId="40770639"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To what extent do you think there is a need for EU action to harmonise and standardise the cooperation measures and standards currently included in bi/tri/multilateral agreements?*</w:t>
            </w:r>
          </w:p>
        </w:tc>
        <w:tc>
          <w:tcPr>
            <w:tcW w:w="708" w:type="pct"/>
            <w:shd w:val="clear" w:color="auto" w:fill="F2F2F2"/>
            <w:noWrap/>
            <w:vAlign w:val="center"/>
            <w:hideMark/>
          </w:tcPr>
          <w:p w14:paraId="3136967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16364FC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3CA07B1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39FC2E0"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5304062E"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C6E07D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042EFFD3"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1A18F0C9"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49DA0C2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830E2E1" w14:textId="77777777" w:rsidTr="00237337">
        <w:trPr>
          <w:trHeight w:val="20"/>
        </w:trPr>
        <w:tc>
          <w:tcPr>
            <w:tcW w:w="252" w:type="pct"/>
            <w:shd w:val="clear" w:color="auto" w:fill="F2F2F2"/>
            <w:vAlign w:val="center"/>
            <w:hideMark/>
          </w:tcPr>
          <w:p w14:paraId="2F14A17C" w14:textId="77777777" w:rsidR="00545238" w:rsidRPr="00986833" w:rsidRDefault="00545238" w:rsidP="00080E5C">
            <w:pPr>
              <w:spacing w:before="40" w:after="40"/>
              <w:rPr>
                <w:rFonts w:ascii="Verdana" w:hAnsi="Verdana"/>
                <w:noProof/>
                <w:sz w:val="12"/>
                <w:szCs w:val="12"/>
              </w:rPr>
            </w:pPr>
            <w:r w:rsidRPr="00986833">
              <w:rPr>
                <w:rFonts w:ascii="Verdana" w:hAnsi="Verdana"/>
                <w:noProof/>
                <w:sz w:val="12"/>
                <w:szCs w:val="12"/>
              </w:rPr>
              <w:t>101</w:t>
            </w:r>
          </w:p>
        </w:tc>
        <w:tc>
          <w:tcPr>
            <w:tcW w:w="556" w:type="pct"/>
            <w:shd w:val="clear" w:color="auto" w:fill="F2F2F2"/>
            <w:vAlign w:val="center"/>
            <w:hideMark/>
          </w:tcPr>
          <w:p w14:paraId="4583EA3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70BDF7F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w:t>
            </w:r>
          </w:p>
        </w:tc>
        <w:tc>
          <w:tcPr>
            <w:tcW w:w="658" w:type="pct"/>
            <w:shd w:val="clear" w:color="auto" w:fill="F2F2F2"/>
            <w:vAlign w:val="center"/>
            <w:hideMark/>
          </w:tcPr>
          <w:p w14:paraId="42DF3F83"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provide further details to explain your answer</w:t>
            </w:r>
          </w:p>
        </w:tc>
        <w:tc>
          <w:tcPr>
            <w:tcW w:w="708" w:type="pct"/>
            <w:shd w:val="clear" w:color="auto" w:fill="F2F2F2"/>
            <w:vAlign w:val="center"/>
            <w:hideMark/>
          </w:tcPr>
          <w:p w14:paraId="09944AA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190095C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467EB41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5D04E39" w14:textId="77777777" w:rsidR="00545238" w:rsidRPr="001D5EAD" w:rsidRDefault="00545238" w:rsidP="00080E5C">
            <w:pPr>
              <w:spacing w:before="40" w:after="40"/>
              <w:jc w:val="center"/>
              <w:rPr>
                <w:rFonts w:ascii="Verdana" w:hAnsi="Verdana"/>
                <w:noProof/>
                <w:sz w:val="16"/>
                <w:szCs w:val="16"/>
              </w:rPr>
            </w:pPr>
          </w:p>
        </w:tc>
        <w:tc>
          <w:tcPr>
            <w:tcW w:w="292" w:type="pct"/>
            <w:shd w:val="clear" w:color="auto" w:fill="F2F2F2"/>
            <w:vAlign w:val="center"/>
            <w:hideMark/>
          </w:tcPr>
          <w:p w14:paraId="23558F1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245F298B"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1C97835"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59158ABB" w14:textId="77777777" w:rsidR="00545238" w:rsidRPr="001D5EAD" w:rsidRDefault="00545238" w:rsidP="00080E5C">
            <w:pPr>
              <w:spacing w:before="40" w:after="40"/>
              <w:jc w:val="center"/>
              <w:rPr>
                <w:rFonts w:ascii="Verdana" w:hAnsi="Verdana"/>
                <w:noProof/>
                <w:sz w:val="16"/>
                <w:szCs w:val="16"/>
              </w:rPr>
            </w:pPr>
          </w:p>
        </w:tc>
        <w:tc>
          <w:tcPr>
            <w:tcW w:w="281" w:type="pct"/>
            <w:shd w:val="clear" w:color="auto" w:fill="F2F2F2"/>
            <w:vAlign w:val="center"/>
            <w:hideMark/>
          </w:tcPr>
          <w:p w14:paraId="2A77FCF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23621CFC" w14:textId="77777777" w:rsidTr="00237337">
        <w:trPr>
          <w:trHeight w:val="20"/>
        </w:trPr>
        <w:tc>
          <w:tcPr>
            <w:tcW w:w="252" w:type="pct"/>
            <w:shd w:val="clear" w:color="auto" w:fill="F2F2F2"/>
            <w:vAlign w:val="center"/>
            <w:hideMark/>
          </w:tcPr>
          <w:p w14:paraId="667CA655" w14:textId="77777777" w:rsidR="00545238" w:rsidRPr="00986833" w:rsidRDefault="00545238" w:rsidP="00080E5C">
            <w:pPr>
              <w:spacing w:before="40" w:after="40"/>
              <w:rPr>
                <w:rFonts w:ascii="Verdana" w:hAnsi="Verdana"/>
                <w:noProof/>
                <w:sz w:val="12"/>
                <w:szCs w:val="12"/>
              </w:rPr>
            </w:pPr>
            <w:r w:rsidRPr="00986833">
              <w:rPr>
                <w:rFonts w:ascii="Verdana" w:hAnsi="Verdana"/>
                <w:noProof/>
                <w:sz w:val="12"/>
                <w:szCs w:val="12"/>
              </w:rPr>
              <w:t>102</w:t>
            </w:r>
          </w:p>
        </w:tc>
        <w:tc>
          <w:tcPr>
            <w:tcW w:w="556" w:type="pct"/>
            <w:shd w:val="clear" w:color="auto" w:fill="F2F2F2"/>
            <w:vAlign w:val="center"/>
            <w:hideMark/>
          </w:tcPr>
          <w:p w14:paraId="5705E77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188E93B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30C6474C"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EU action might bring law enforcement authorities in your country to get additional powers. To what extent do you think this requires additional safeguards to be adopted in your country?*</w:t>
            </w:r>
          </w:p>
        </w:tc>
        <w:tc>
          <w:tcPr>
            <w:tcW w:w="708" w:type="pct"/>
            <w:shd w:val="clear" w:color="auto" w:fill="F2F2F2"/>
            <w:vAlign w:val="center"/>
            <w:hideMark/>
          </w:tcPr>
          <w:p w14:paraId="41AA0AB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3369319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659F7EE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2D3A3EE"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7C44B6A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732012A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078D01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5D49F9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68FBEA8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7EC5D35A" w14:textId="77777777" w:rsidTr="00237337">
        <w:trPr>
          <w:trHeight w:val="20"/>
        </w:trPr>
        <w:tc>
          <w:tcPr>
            <w:tcW w:w="252" w:type="pct"/>
            <w:shd w:val="clear" w:color="auto" w:fill="F2F2F2"/>
            <w:vAlign w:val="center"/>
            <w:hideMark/>
          </w:tcPr>
          <w:p w14:paraId="05FEA965" w14:textId="77777777" w:rsidR="00545238" w:rsidRPr="00986833" w:rsidRDefault="00545238" w:rsidP="00080E5C">
            <w:pPr>
              <w:spacing w:before="40" w:after="40"/>
              <w:rPr>
                <w:rFonts w:ascii="Verdana" w:hAnsi="Verdana"/>
                <w:noProof/>
                <w:sz w:val="12"/>
                <w:szCs w:val="12"/>
              </w:rPr>
            </w:pPr>
            <w:r w:rsidRPr="00986833">
              <w:rPr>
                <w:rFonts w:ascii="Verdana" w:hAnsi="Verdana"/>
                <w:noProof/>
                <w:sz w:val="12"/>
                <w:szCs w:val="12"/>
              </w:rPr>
              <w:t>103</w:t>
            </w:r>
          </w:p>
        </w:tc>
        <w:tc>
          <w:tcPr>
            <w:tcW w:w="556" w:type="pct"/>
            <w:shd w:val="clear" w:color="auto" w:fill="F2F2F2"/>
            <w:vAlign w:val="center"/>
            <w:hideMark/>
          </w:tcPr>
          <w:p w14:paraId="15B543DD"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NEED FOR EU ACTION AND POSSIBLE SOLUTIONS</w:t>
            </w:r>
          </w:p>
        </w:tc>
        <w:tc>
          <w:tcPr>
            <w:tcW w:w="507" w:type="pct"/>
            <w:shd w:val="clear" w:color="auto" w:fill="F2F2F2"/>
            <w:vAlign w:val="center"/>
            <w:hideMark/>
          </w:tcPr>
          <w:p w14:paraId="65F9234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Policy Options</w:t>
            </w:r>
          </w:p>
        </w:tc>
        <w:tc>
          <w:tcPr>
            <w:tcW w:w="658" w:type="pct"/>
            <w:shd w:val="clear" w:color="auto" w:fill="F2F2F2"/>
            <w:vAlign w:val="center"/>
            <w:hideMark/>
          </w:tcPr>
          <w:p w14:paraId="21CBBBF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Could you please illustrate the types of safeguards that you think should be adopted?</w:t>
            </w:r>
          </w:p>
        </w:tc>
        <w:tc>
          <w:tcPr>
            <w:tcW w:w="708" w:type="pct"/>
            <w:shd w:val="clear" w:color="auto" w:fill="F2F2F2"/>
            <w:vAlign w:val="center"/>
            <w:hideMark/>
          </w:tcPr>
          <w:p w14:paraId="1FF652F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47D9809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E27A0F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5156D15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AAAA817" w14:textId="77777777" w:rsidR="00545238" w:rsidRPr="001D5EAD" w:rsidRDefault="00545238" w:rsidP="00080E5C">
            <w:pPr>
              <w:spacing w:before="40" w:after="40"/>
              <w:jc w:val="center"/>
              <w:rPr>
                <w:rFonts w:ascii="Verdana" w:hAnsi="Verdana"/>
                <w:noProof/>
                <w:sz w:val="16"/>
                <w:szCs w:val="16"/>
              </w:rPr>
            </w:pPr>
          </w:p>
        </w:tc>
        <w:tc>
          <w:tcPr>
            <w:tcW w:w="291" w:type="pct"/>
            <w:shd w:val="clear" w:color="auto" w:fill="F2F2F2"/>
            <w:vAlign w:val="center"/>
            <w:hideMark/>
          </w:tcPr>
          <w:p w14:paraId="4FFF42E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0EB5D1B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03B056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234A91BD"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36DF304B" w14:textId="77777777" w:rsidTr="00237337">
        <w:trPr>
          <w:trHeight w:val="20"/>
        </w:trPr>
        <w:tc>
          <w:tcPr>
            <w:tcW w:w="252" w:type="pct"/>
            <w:shd w:val="clear" w:color="auto" w:fill="F2F2F2"/>
            <w:vAlign w:val="center"/>
            <w:hideMark/>
          </w:tcPr>
          <w:p w14:paraId="064A1FC8" w14:textId="77777777" w:rsidR="00545238" w:rsidRPr="00986833" w:rsidRDefault="00545238" w:rsidP="00080E5C">
            <w:pPr>
              <w:spacing w:before="40" w:after="40"/>
              <w:rPr>
                <w:rFonts w:ascii="Verdana" w:hAnsi="Verdana"/>
                <w:noProof/>
                <w:sz w:val="12"/>
                <w:szCs w:val="12"/>
              </w:rPr>
            </w:pPr>
            <w:r w:rsidRPr="00986833">
              <w:rPr>
                <w:rFonts w:ascii="Verdana" w:hAnsi="Verdana"/>
                <w:noProof/>
                <w:sz w:val="12"/>
                <w:szCs w:val="12"/>
              </w:rPr>
              <w:t>104</w:t>
            </w:r>
          </w:p>
        </w:tc>
        <w:tc>
          <w:tcPr>
            <w:tcW w:w="556" w:type="pct"/>
            <w:shd w:val="clear" w:color="auto" w:fill="F2F2F2"/>
            <w:vAlign w:val="center"/>
            <w:hideMark/>
          </w:tcPr>
          <w:p w14:paraId="64B1E756"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507" w:type="pct"/>
            <w:shd w:val="clear" w:color="auto" w:fill="F2F2F2"/>
            <w:vAlign w:val="center"/>
            <w:hideMark/>
          </w:tcPr>
          <w:p w14:paraId="1804CA7A"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0AD863F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Please include any additional contribution you would like to make to the study</w:t>
            </w:r>
          </w:p>
        </w:tc>
        <w:tc>
          <w:tcPr>
            <w:tcW w:w="708" w:type="pct"/>
            <w:shd w:val="clear" w:color="auto" w:fill="F2F2F2"/>
            <w:vAlign w:val="center"/>
            <w:hideMark/>
          </w:tcPr>
          <w:p w14:paraId="2A7EE22E"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open text</w:t>
            </w:r>
          </w:p>
        </w:tc>
        <w:tc>
          <w:tcPr>
            <w:tcW w:w="291" w:type="pct"/>
            <w:shd w:val="clear" w:color="auto" w:fill="F2F2F2"/>
            <w:noWrap/>
            <w:vAlign w:val="center"/>
            <w:hideMark/>
          </w:tcPr>
          <w:p w14:paraId="60B7B91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0344213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67BAF28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09F6093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3ECB94D6"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319AF22"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B60799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2F24EE8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611BF3B0" w14:textId="77777777" w:rsidTr="00237337">
        <w:trPr>
          <w:trHeight w:val="20"/>
        </w:trPr>
        <w:tc>
          <w:tcPr>
            <w:tcW w:w="252" w:type="pct"/>
            <w:shd w:val="clear" w:color="auto" w:fill="F2F2F2"/>
            <w:vAlign w:val="center"/>
            <w:hideMark/>
          </w:tcPr>
          <w:p w14:paraId="2B4C8E21" w14:textId="77777777" w:rsidR="00545238" w:rsidRPr="00986833" w:rsidRDefault="00545238" w:rsidP="00080E5C">
            <w:pPr>
              <w:spacing w:before="40" w:after="40"/>
              <w:rPr>
                <w:rFonts w:ascii="Verdana" w:hAnsi="Verdana"/>
                <w:noProof/>
                <w:sz w:val="12"/>
                <w:szCs w:val="12"/>
              </w:rPr>
            </w:pPr>
            <w:r w:rsidRPr="00986833">
              <w:rPr>
                <w:rFonts w:ascii="Verdana" w:hAnsi="Verdana"/>
                <w:noProof/>
                <w:sz w:val="12"/>
                <w:szCs w:val="12"/>
              </w:rPr>
              <w:t>105</w:t>
            </w:r>
          </w:p>
        </w:tc>
        <w:tc>
          <w:tcPr>
            <w:tcW w:w="556" w:type="pct"/>
            <w:shd w:val="clear" w:color="auto" w:fill="F2F2F2"/>
            <w:vAlign w:val="center"/>
            <w:hideMark/>
          </w:tcPr>
          <w:p w14:paraId="32F55C8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507" w:type="pct"/>
            <w:shd w:val="clear" w:color="auto" w:fill="F2F2F2"/>
            <w:vAlign w:val="center"/>
            <w:hideMark/>
          </w:tcPr>
          <w:p w14:paraId="09EABCE0"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General</w:t>
            </w:r>
          </w:p>
        </w:tc>
        <w:tc>
          <w:tcPr>
            <w:tcW w:w="658" w:type="pct"/>
            <w:shd w:val="clear" w:color="auto" w:fill="F2F2F2"/>
            <w:vAlign w:val="center"/>
            <w:hideMark/>
          </w:tcPr>
          <w:p w14:paraId="0D5C821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Would you like to be involved in the next consultation activities related to this study (interviews and focus groups)?*</w:t>
            </w:r>
          </w:p>
        </w:tc>
        <w:tc>
          <w:tcPr>
            <w:tcW w:w="708" w:type="pct"/>
            <w:shd w:val="clear" w:color="auto" w:fill="F2F2F2"/>
            <w:vAlign w:val="center"/>
            <w:hideMark/>
          </w:tcPr>
          <w:p w14:paraId="30F78658"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*Yes</w:t>
            </w:r>
            <w:r w:rsidRPr="001D5EAD">
              <w:rPr>
                <w:rFonts w:ascii="Verdana" w:hAnsi="Verdana"/>
                <w:noProof/>
                <w:sz w:val="16"/>
                <w:szCs w:val="16"/>
              </w:rPr>
              <w:br/>
              <w:t>*No</w:t>
            </w:r>
          </w:p>
        </w:tc>
        <w:tc>
          <w:tcPr>
            <w:tcW w:w="291" w:type="pct"/>
            <w:shd w:val="clear" w:color="auto" w:fill="F2F2F2"/>
            <w:noWrap/>
            <w:vAlign w:val="center"/>
            <w:hideMark/>
          </w:tcPr>
          <w:p w14:paraId="22E9BD9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noWrap/>
            <w:vAlign w:val="center"/>
            <w:hideMark/>
          </w:tcPr>
          <w:p w14:paraId="7C1AA7E9"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25A88AF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2" w:type="pct"/>
            <w:shd w:val="clear" w:color="auto" w:fill="F2F2F2"/>
            <w:vAlign w:val="center"/>
            <w:hideMark/>
          </w:tcPr>
          <w:p w14:paraId="4DE8AA6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1DE2ED8"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3B8173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91" w:type="pct"/>
            <w:shd w:val="clear" w:color="auto" w:fill="F2F2F2"/>
            <w:vAlign w:val="center"/>
            <w:hideMark/>
          </w:tcPr>
          <w:p w14:paraId="785F97D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c>
          <w:tcPr>
            <w:tcW w:w="281" w:type="pct"/>
            <w:shd w:val="clear" w:color="auto" w:fill="F2F2F2"/>
            <w:vAlign w:val="center"/>
            <w:hideMark/>
          </w:tcPr>
          <w:p w14:paraId="0650B427"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x</w:t>
            </w:r>
          </w:p>
        </w:tc>
      </w:tr>
      <w:tr w:rsidR="00545238" w:rsidRPr="001D5EAD" w14:paraId="5FF51B4A" w14:textId="77777777" w:rsidTr="00237337">
        <w:trPr>
          <w:trHeight w:val="126"/>
        </w:trPr>
        <w:tc>
          <w:tcPr>
            <w:tcW w:w="2680" w:type="pct"/>
            <w:gridSpan w:val="5"/>
            <w:shd w:val="clear" w:color="auto" w:fill="F2F2F2"/>
            <w:vAlign w:val="center"/>
            <w:hideMark/>
          </w:tcPr>
          <w:p w14:paraId="086097A2"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p w14:paraId="7CA5DC84"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p w14:paraId="0209BCC7"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p w14:paraId="4A9BC57B" w14:textId="77777777" w:rsidR="00545238" w:rsidRPr="001D5EAD" w:rsidRDefault="00545238" w:rsidP="00080E5C">
            <w:pPr>
              <w:spacing w:before="40" w:after="40"/>
              <w:rPr>
                <w:rFonts w:ascii="Verdana" w:hAnsi="Verdana"/>
                <w:noProof/>
                <w:sz w:val="16"/>
                <w:szCs w:val="16"/>
              </w:rPr>
            </w:pPr>
            <w:r w:rsidRPr="001D5EAD">
              <w:rPr>
                <w:rFonts w:ascii="Verdana" w:hAnsi="Verdana"/>
                <w:noProof/>
                <w:sz w:val="16"/>
                <w:szCs w:val="16"/>
              </w:rPr>
              <w:t> </w:t>
            </w:r>
          </w:p>
        </w:tc>
        <w:tc>
          <w:tcPr>
            <w:tcW w:w="291" w:type="pct"/>
            <w:shd w:val="clear" w:color="auto" w:fill="F2F2F2"/>
            <w:noWrap/>
            <w:vAlign w:val="center"/>
            <w:hideMark/>
          </w:tcPr>
          <w:p w14:paraId="54F3D97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94</w:t>
            </w:r>
          </w:p>
        </w:tc>
        <w:tc>
          <w:tcPr>
            <w:tcW w:w="291" w:type="pct"/>
            <w:shd w:val="clear" w:color="auto" w:fill="F2F2F2"/>
            <w:noWrap/>
            <w:vAlign w:val="center"/>
            <w:hideMark/>
          </w:tcPr>
          <w:p w14:paraId="29E9F27C"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87</w:t>
            </w:r>
          </w:p>
        </w:tc>
        <w:tc>
          <w:tcPr>
            <w:tcW w:w="291" w:type="pct"/>
            <w:shd w:val="clear" w:color="auto" w:fill="F2F2F2"/>
            <w:noWrap/>
            <w:vAlign w:val="center"/>
            <w:hideMark/>
          </w:tcPr>
          <w:p w14:paraId="0F08537F"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72</w:t>
            </w:r>
          </w:p>
        </w:tc>
        <w:tc>
          <w:tcPr>
            <w:tcW w:w="292" w:type="pct"/>
            <w:shd w:val="clear" w:color="auto" w:fill="F2F2F2"/>
            <w:noWrap/>
            <w:vAlign w:val="center"/>
            <w:hideMark/>
          </w:tcPr>
          <w:p w14:paraId="4D77D773"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32</w:t>
            </w:r>
          </w:p>
        </w:tc>
        <w:tc>
          <w:tcPr>
            <w:tcW w:w="291" w:type="pct"/>
            <w:shd w:val="clear" w:color="auto" w:fill="F2F2F2"/>
            <w:noWrap/>
            <w:vAlign w:val="center"/>
            <w:hideMark/>
          </w:tcPr>
          <w:p w14:paraId="099125FB"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50</w:t>
            </w:r>
          </w:p>
        </w:tc>
        <w:tc>
          <w:tcPr>
            <w:tcW w:w="291" w:type="pct"/>
            <w:shd w:val="clear" w:color="auto" w:fill="F2F2F2"/>
            <w:noWrap/>
            <w:vAlign w:val="center"/>
            <w:hideMark/>
          </w:tcPr>
          <w:p w14:paraId="206AC170"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80</w:t>
            </w:r>
          </w:p>
        </w:tc>
        <w:tc>
          <w:tcPr>
            <w:tcW w:w="291" w:type="pct"/>
            <w:shd w:val="clear" w:color="auto" w:fill="F2F2F2"/>
            <w:noWrap/>
            <w:vAlign w:val="center"/>
            <w:hideMark/>
          </w:tcPr>
          <w:p w14:paraId="3A8BA274"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80</w:t>
            </w:r>
          </w:p>
        </w:tc>
        <w:tc>
          <w:tcPr>
            <w:tcW w:w="281" w:type="pct"/>
            <w:shd w:val="clear" w:color="auto" w:fill="F2F2F2"/>
            <w:noWrap/>
            <w:vAlign w:val="center"/>
            <w:hideMark/>
          </w:tcPr>
          <w:p w14:paraId="19E421E5" w14:textId="77777777" w:rsidR="00545238" w:rsidRPr="001D5EAD" w:rsidRDefault="00545238" w:rsidP="00080E5C">
            <w:pPr>
              <w:spacing w:before="40" w:after="40"/>
              <w:jc w:val="center"/>
              <w:rPr>
                <w:rFonts w:ascii="Verdana" w:hAnsi="Verdana"/>
                <w:noProof/>
                <w:sz w:val="16"/>
                <w:szCs w:val="16"/>
              </w:rPr>
            </w:pPr>
            <w:r w:rsidRPr="001D5EAD">
              <w:rPr>
                <w:rFonts w:ascii="Verdana" w:hAnsi="Verdana"/>
                <w:noProof/>
                <w:sz w:val="16"/>
                <w:szCs w:val="16"/>
              </w:rPr>
              <w:t>94</w:t>
            </w:r>
          </w:p>
        </w:tc>
      </w:tr>
    </w:tbl>
    <w:p w14:paraId="5924E290" w14:textId="77777777" w:rsidR="00545238" w:rsidRDefault="00545238" w:rsidP="00545238">
      <w:pPr>
        <w:pStyle w:val="Body"/>
        <w:jc w:val="center"/>
        <w:rPr>
          <w:i/>
          <w:noProof/>
          <w:color w:val="7F7F7F" w:themeColor="text1" w:themeTint="80"/>
          <w:sz w:val="18"/>
          <w:szCs w:val="18"/>
        </w:rPr>
        <w:sectPr w:rsidR="00545238" w:rsidSect="00CC7EC2">
          <w:headerReference w:type="even" r:id="rId57"/>
          <w:headerReference w:type="default" r:id="rId58"/>
          <w:footerReference w:type="even" r:id="rId59"/>
          <w:footerReference w:type="default" r:id="rId60"/>
          <w:headerReference w:type="first" r:id="rId61"/>
          <w:footerReference w:type="first" r:id="rId62"/>
          <w:pgSz w:w="16838" w:h="11906" w:orient="landscape"/>
          <w:pgMar w:top="1134" w:right="1134" w:bottom="1134" w:left="1134" w:header="709" w:footer="709" w:gutter="0"/>
          <w:cols w:space="720"/>
          <w:titlePg/>
          <w:docGrid w:linePitch="272"/>
        </w:sectPr>
      </w:pPr>
    </w:p>
    <w:p w14:paraId="771491BD" w14:textId="77777777" w:rsidR="00545238" w:rsidRDefault="00545238" w:rsidP="00545238">
      <w:pPr>
        <w:pStyle w:val="Body"/>
        <w:jc w:val="center"/>
        <w:rPr>
          <w:i/>
          <w:noProof/>
          <w:color w:val="7F7F7F" w:themeColor="text1" w:themeTint="80"/>
          <w:sz w:val="18"/>
          <w:szCs w:val="18"/>
        </w:rPr>
      </w:pPr>
      <w:r w:rsidRPr="00327691">
        <w:rPr>
          <w:i/>
          <w:noProof/>
          <w:color w:val="7F7F7F" w:themeColor="text1" w:themeTint="80"/>
          <w:sz w:val="18"/>
          <w:szCs w:val="18"/>
        </w:rPr>
        <w:t xml:space="preserve">Source: </w:t>
      </w:r>
      <w:r>
        <w:rPr>
          <w:i/>
          <w:noProof/>
          <w:color w:val="7F7F7F" w:themeColor="text1" w:themeTint="80"/>
          <w:sz w:val="18"/>
          <w:szCs w:val="18"/>
        </w:rPr>
        <w:t xml:space="preserve">Elaboration by the Study </w:t>
      </w:r>
      <w:r w:rsidRPr="009C0147">
        <w:rPr>
          <w:i/>
          <w:noProof/>
          <w:color w:val="7F7F7F" w:themeColor="text1" w:themeTint="80"/>
          <w:sz w:val="18"/>
          <w:szCs w:val="18"/>
        </w:rPr>
        <w:t>to support the preparation of an impact assessment on EU policy initiatives facilitating cross-border law enforcement cooperation</w:t>
      </w:r>
    </w:p>
    <w:p w14:paraId="6B280149" w14:textId="77777777" w:rsidR="00775720" w:rsidRDefault="00775720" w:rsidP="00545238">
      <w:pPr>
        <w:pStyle w:val="Body"/>
        <w:jc w:val="center"/>
        <w:rPr>
          <w:i/>
          <w:noProof/>
          <w:color w:val="7F7F7F" w:themeColor="text1" w:themeTint="80"/>
          <w:sz w:val="18"/>
          <w:szCs w:val="18"/>
        </w:rPr>
      </w:pPr>
    </w:p>
    <w:p w14:paraId="78C630A6" w14:textId="77777777" w:rsidR="00141DCF" w:rsidRDefault="00141DCF">
      <w:pPr>
        <w:spacing w:after="160" w:line="259" w:lineRule="auto"/>
        <w:rPr>
          <w:rFonts w:ascii="Verdana" w:hAnsi="Verdana"/>
          <w:b/>
          <w:bCs/>
          <w:noProof/>
          <w:sz w:val="18"/>
          <w:szCs w:val="18"/>
        </w:rPr>
      </w:pPr>
      <w:r>
        <w:rPr>
          <w:rFonts w:ascii="Verdana" w:hAnsi="Verdana"/>
          <w:b/>
          <w:bCs/>
          <w:noProof/>
          <w:sz w:val="18"/>
          <w:szCs w:val="18"/>
        </w:rPr>
        <w:br w:type="page"/>
      </w:r>
    </w:p>
    <w:p w14:paraId="2B9FC797" w14:textId="1A0FE8A4" w:rsidR="00BC02CC" w:rsidRDefault="00BC02CC" w:rsidP="00CC542F">
      <w:pPr>
        <w:spacing w:after="120" w:line="240" w:lineRule="auto"/>
        <w:jc w:val="both"/>
        <w:rPr>
          <w:rFonts w:ascii="Times New Roman" w:hAnsi="Times New Roman" w:cs="Times New Roman"/>
          <w:noProof/>
          <w:sz w:val="24"/>
          <w:szCs w:val="24"/>
        </w:rPr>
      </w:pPr>
    </w:p>
    <w:p w14:paraId="69E136B5" w14:textId="77777777" w:rsidR="00960FAC" w:rsidRDefault="00960FAC" w:rsidP="00CC542F">
      <w:pPr>
        <w:spacing w:after="120" w:line="240" w:lineRule="auto"/>
        <w:jc w:val="both"/>
        <w:rPr>
          <w:b/>
          <w:noProof/>
          <w:szCs w:val="24"/>
        </w:rPr>
      </w:pPr>
    </w:p>
    <w:p w14:paraId="7FFC9BDC" w14:textId="77777777" w:rsidR="00960FAC" w:rsidRDefault="00960FAC" w:rsidP="00CC542F">
      <w:pPr>
        <w:spacing w:after="120" w:line="240" w:lineRule="auto"/>
        <w:jc w:val="both"/>
        <w:rPr>
          <w:b/>
          <w:noProof/>
          <w:szCs w:val="24"/>
        </w:rPr>
      </w:pPr>
    </w:p>
    <w:p w14:paraId="18F44C86" w14:textId="77777777" w:rsidR="000868EB" w:rsidRDefault="000868EB">
      <w:pPr>
        <w:pStyle w:val="Heading1"/>
        <w:numPr>
          <w:ilvl w:val="0"/>
          <w:numId w:val="0"/>
        </w:numPr>
        <w:ind w:left="480"/>
        <w:jc w:val="center"/>
        <w:rPr>
          <w:noProof/>
          <w:sz w:val="28"/>
          <w:szCs w:val="24"/>
        </w:rPr>
        <w:sectPr w:rsidR="000868EB" w:rsidSect="0018362E">
          <w:headerReference w:type="even" r:id="rId63"/>
          <w:headerReference w:type="default" r:id="rId64"/>
          <w:footerReference w:type="even" r:id="rId65"/>
          <w:footerReference w:type="default" r:id="rId66"/>
          <w:headerReference w:type="first" r:id="rId67"/>
          <w:footerReference w:type="first" r:id="rId68"/>
          <w:pgSz w:w="11906" w:h="16838"/>
          <w:pgMar w:top="1134" w:right="1134" w:bottom="1134" w:left="1134" w:header="710" w:footer="710" w:gutter="0"/>
          <w:cols w:space="720"/>
          <w:titlePg/>
          <w:docGrid w:linePitch="272"/>
        </w:sectPr>
      </w:pPr>
    </w:p>
    <w:p w14:paraId="6F285F0F" w14:textId="5ECB53B4" w:rsidR="00960FAC" w:rsidRDefault="00960FAC" w:rsidP="00AE777C">
      <w:pPr>
        <w:pStyle w:val="AnnexHeading1"/>
        <w:rPr>
          <w:noProof/>
        </w:rPr>
      </w:pPr>
      <w:bookmarkStart w:id="211" w:name="_Toc83801058"/>
      <w:r w:rsidRPr="00237337">
        <w:rPr>
          <w:noProof/>
        </w:rPr>
        <w:t xml:space="preserve">Annex </w:t>
      </w:r>
      <w:r w:rsidR="00034212">
        <w:rPr>
          <w:noProof/>
        </w:rPr>
        <w:t>7</w:t>
      </w:r>
      <w:r w:rsidRPr="00237337">
        <w:rPr>
          <w:noProof/>
        </w:rPr>
        <w:t>: Discarded options</w:t>
      </w:r>
      <w:bookmarkEnd w:id="211"/>
    </w:p>
    <w:p w14:paraId="7AD3ACFE" w14:textId="77777777" w:rsidR="000868EB" w:rsidRPr="00141DCF" w:rsidRDefault="000868EB" w:rsidP="00237337">
      <w:pPr>
        <w:pStyle w:val="Body"/>
        <w:spacing w:after="120"/>
        <w:jc w:val="both"/>
        <w:rPr>
          <w:rFonts w:ascii="Times New Roman" w:hAnsi="Times New Roman"/>
          <w:noProof/>
          <w:sz w:val="24"/>
          <w:szCs w:val="24"/>
          <w:lang w:val="en-US"/>
        </w:rPr>
      </w:pPr>
      <w:r w:rsidRPr="00141DCF">
        <w:rPr>
          <w:rFonts w:ascii="Times New Roman" w:hAnsi="Times New Roman"/>
          <w:noProof/>
          <w:sz w:val="24"/>
          <w:szCs w:val="24"/>
          <w:lang w:val="en-US"/>
        </w:rPr>
        <w:t xml:space="preserve">In line with the </w:t>
      </w:r>
      <w:r w:rsidRPr="00141DCF">
        <w:rPr>
          <w:rFonts w:ascii="Times New Roman" w:hAnsi="Times New Roman"/>
          <w:i/>
          <w:iCs/>
          <w:noProof/>
          <w:sz w:val="24"/>
          <w:szCs w:val="24"/>
          <w:lang w:val="en-US"/>
        </w:rPr>
        <w:t>Better Regulation Guidelines</w:t>
      </w:r>
      <w:r w:rsidRPr="00141DCF">
        <w:rPr>
          <w:rFonts w:ascii="Times New Roman" w:hAnsi="Times New Roman"/>
          <w:noProof/>
          <w:sz w:val="24"/>
          <w:szCs w:val="24"/>
          <w:lang w:val="en-US"/>
        </w:rPr>
        <w:t>, a long list of policy options was prepared following the problem assessment, the assessment of the EU's right to act and the identification of relevant policy options, taking into account the</w:t>
      </w:r>
      <w:r w:rsidRPr="00141DCF">
        <w:rPr>
          <w:rFonts w:ascii="Times New Roman" w:hAnsi="Times New Roman"/>
          <w:i/>
          <w:iCs/>
          <w:noProof/>
          <w:sz w:val="24"/>
          <w:szCs w:val="24"/>
          <w:lang w:val="en-US"/>
        </w:rPr>
        <w:t xml:space="preserve"> </w:t>
      </w:r>
      <w:r w:rsidRPr="00141DCF">
        <w:rPr>
          <w:rFonts w:ascii="Times New Roman" w:hAnsi="Times New Roman"/>
          <w:noProof/>
          <w:sz w:val="24"/>
          <w:szCs w:val="24"/>
          <w:lang w:val="en-US"/>
        </w:rPr>
        <w:t>evidence of specific problems, as well as good practices and suggestions by stakeholders.</w:t>
      </w:r>
    </w:p>
    <w:p w14:paraId="25A097DE" w14:textId="77777777" w:rsidR="000868EB" w:rsidRPr="00141DCF" w:rsidRDefault="000868EB" w:rsidP="00237337">
      <w:pPr>
        <w:pStyle w:val="Body"/>
        <w:spacing w:after="120"/>
        <w:jc w:val="both"/>
        <w:rPr>
          <w:rFonts w:ascii="Times New Roman" w:hAnsi="Times New Roman"/>
          <w:noProof/>
          <w:sz w:val="24"/>
          <w:szCs w:val="24"/>
          <w:lang w:val="en-US"/>
        </w:rPr>
      </w:pPr>
      <w:r w:rsidRPr="00141DCF">
        <w:rPr>
          <w:rFonts w:ascii="Times New Roman" w:hAnsi="Times New Roman"/>
          <w:noProof/>
          <w:sz w:val="24"/>
          <w:szCs w:val="24"/>
          <w:lang w:val="en-US"/>
        </w:rPr>
        <w:t>The long list of options was subject to a screening in order to identify the most effective and viable sub-options, which were subsequently clustered into two comprehensive policy options (in addition to the status quo / baseline policy option).</w:t>
      </w:r>
    </w:p>
    <w:p w14:paraId="1CEEE269" w14:textId="77777777" w:rsidR="000868EB" w:rsidRPr="00141DCF" w:rsidRDefault="000868EB" w:rsidP="00237337">
      <w:pPr>
        <w:pStyle w:val="Body"/>
        <w:spacing w:after="120"/>
        <w:jc w:val="both"/>
        <w:rPr>
          <w:rFonts w:ascii="Times New Roman" w:hAnsi="Times New Roman"/>
          <w:noProof/>
          <w:sz w:val="24"/>
          <w:szCs w:val="24"/>
          <w:lang w:val="en-US"/>
        </w:rPr>
      </w:pPr>
      <w:r w:rsidRPr="00141DCF">
        <w:rPr>
          <w:rFonts w:ascii="Times New Roman" w:hAnsi="Times New Roman"/>
          <w:noProof/>
          <w:sz w:val="24"/>
          <w:szCs w:val="24"/>
          <w:lang w:val="en-US"/>
        </w:rPr>
        <w:t>The screening was based on effectiveness and feasibility criteria.</w:t>
      </w:r>
    </w:p>
    <w:p w14:paraId="1370A9EB" w14:textId="77777777" w:rsidR="00960FAC" w:rsidRPr="00141DCF" w:rsidRDefault="000868EB" w:rsidP="00237337">
      <w:pPr>
        <w:pStyle w:val="Body"/>
        <w:jc w:val="both"/>
        <w:rPr>
          <w:rFonts w:ascii="Times New Roman" w:hAnsi="Times New Roman"/>
          <w:noProof/>
          <w:sz w:val="24"/>
          <w:szCs w:val="24"/>
          <w:lang w:val="en-US"/>
        </w:rPr>
      </w:pPr>
      <w:r w:rsidRPr="00141DCF">
        <w:rPr>
          <w:rFonts w:ascii="Times New Roman" w:hAnsi="Times New Roman"/>
          <w:noProof/>
          <w:sz w:val="24"/>
          <w:szCs w:val="24"/>
          <w:lang w:val="en-US"/>
        </w:rPr>
        <w:t xml:space="preserve">The findings of the assessment are presented in the table below. The sub-options that are of legislative nature are marked in </w:t>
      </w:r>
      <w:r w:rsidRPr="00141DCF">
        <w:rPr>
          <w:rFonts w:ascii="Times New Roman" w:hAnsi="Times New Roman"/>
          <w:b/>
          <w:bCs/>
          <w:noProof/>
          <w:sz w:val="24"/>
          <w:szCs w:val="24"/>
          <w:lang w:val="en-US"/>
        </w:rPr>
        <w:t>bold</w:t>
      </w:r>
      <w:r w:rsidRPr="00141DCF">
        <w:rPr>
          <w:rFonts w:ascii="Times New Roman" w:hAnsi="Times New Roman"/>
          <w:noProof/>
          <w:sz w:val="24"/>
          <w:szCs w:val="24"/>
          <w:lang w:val="en-US"/>
        </w:rPr>
        <w:t>.</w:t>
      </w:r>
    </w:p>
    <w:p w14:paraId="643352B1" w14:textId="77777777" w:rsidR="00A84FC7" w:rsidRPr="00237337" w:rsidRDefault="000868EB" w:rsidP="00237337">
      <w:pPr>
        <w:pStyle w:val="Caption"/>
        <w:jc w:val="center"/>
        <w:rPr>
          <w:noProof/>
          <w:lang w:val="en-GB"/>
        </w:rPr>
      </w:pPr>
      <w:r w:rsidRPr="00141DCF">
        <w:rPr>
          <w:rFonts w:ascii="Times New Roman" w:hAnsi="Times New Roman"/>
          <w:noProof/>
          <w:sz w:val="24"/>
          <w:szCs w:val="24"/>
          <w:lang w:val="en-GB"/>
        </w:rPr>
        <w:t>List of discarded sub-options (measures / elements)</w:t>
      </w:r>
    </w:p>
    <w:tbl>
      <w:tblPr>
        <w:tblStyle w:val="TableGrid"/>
        <w:tblpPr w:leftFromText="141" w:rightFromText="141" w:vertAnchor="text" w:tblpY="1"/>
        <w:tblOverlap w:val="never"/>
        <w:tblW w:w="14737" w:type="dxa"/>
        <w:tblLook w:val="04A0" w:firstRow="1" w:lastRow="0" w:firstColumn="1" w:lastColumn="0" w:noHBand="0" w:noVBand="1"/>
      </w:tblPr>
      <w:tblGrid>
        <w:gridCol w:w="846"/>
        <w:gridCol w:w="10064"/>
        <w:gridCol w:w="3827"/>
      </w:tblGrid>
      <w:tr w:rsidR="000868EB" w:rsidRPr="00E23C2F" w14:paraId="4ED8C5E1" w14:textId="77777777" w:rsidTr="00F50F5E">
        <w:trPr>
          <w:tblHeader/>
        </w:trPr>
        <w:tc>
          <w:tcPr>
            <w:tcW w:w="846" w:type="dxa"/>
            <w:shd w:val="clear" w:color="auto" w:fill="808080" w:themeFill="background1" w:themeFillShade="80"/>
          </w:tcPr>
          <w:p w14:paraId="1FF84497" w14:textId="77777777" w:rsidR="000868EB" w:rsidRPr="00EB090D" w:rsidRDefault="000868EB" w:rsidP="00F50F5E">
            <w:pPr>
              <w:spacing w:before="60" w:after="60"/>
              <w:rPr>
                <w:rFonts w:cstheme="minorHAnsi"/>
                <w:noProof/>
                <w:sz w:val="16"/>
                <w:szCs w:val="16"/>
                <w:lang w:val="en-US"/>
              </w:rPr>
            </w:pPr>
            <w:r w:rsidRPr="00EB090D">
              <w:rPr>
                <w:rFonts w:cstheme="minorHAnsi"/>
                <w:noProof/>
                <w:sz w:val="16"/>
                <w:szCs w:val="16"/>
                <w:lang w:val="en-US"/>
              </w:rPr>
              <w:t>Identifier</w:t>
            </w:r>
          </w:p>
        </w:tc>
        <w:tc>
          <w:tcPr>
            <w:tcW w:w="10064" w:type="dxa"/>
            <w:shd w:val="clear" w:color="auto" w:fill="808080" w:themeFill="background1" w:themeFillShade="80"/>
          </w:tcPr>
          <w:p w14:paraId="126C2B1A" w14:textId="77777777" w:rsidR="000868EB" w:rsidRPr="00EB090D" w:rsidRDefault="000868EB" w:rsidP="00F50F5E">
            <w:pPr>
              <w:spacing w:before="60" w:after="60"/>
              <w:rPr>
                <w:rFonts w:cstheme="minorHAnsi"/>
                <w:noProof/>
                <w:sz w:val="16"/>
                <w:szCs w:val="16"/>
                <w:lang w:val="en-US"/>
              </w:rPr>
            </w:pPr>
            <w:r w:rsidRPr="00EB090D">
              <w:rPr>
                <w:rFonts w:cstheme="minorHAnsi"/>
                <w:noProof/>
                <w:sz w:val="16"/>
                <w:szCs w:val="16"/>
                <w:lang w:val="en-US"/>
              </w:rPr>
              <w:t>Potential sub-options</w:t>
            </w:r>
          </w:p>
        </w:tc>
        <w:tc>
          <w:tcPr>
            <w:tcW w:w="3827" w:type="dxa"/>
            <w:shd w:val="clear" w:color="auto" w:fill="808080" w:themeFill="background1" w:themeFillShade="80"/>
          </w:tcPr>
          <w:p w14:paraId="5ABE3A8B" w14:textId="77777777" w:rsidR="000868EB" w:rsidRPr="00B92BEA" w:rsidRDefault="000868EB" w:rsidP="00F50F5E">
            <w:pPr>
              <w:spacing w:before="60" w:after="60"/>
              <w:rPr>
                <w:rFonts w:cstheme="minorHAnsi"/>
                <w:noProof/>
                <w:sz w:val="16"/>
                <w:szCs w:val="16"/>
                <w:lang w:val="en-US"/>
              </w:rPr>
            </w:pPr>
            <w:r w:rsidRPr="00B92BEA">
              <w:rPr>
                <w:rFonts w:cstheme="minorHAnsi"/>
                <w:noProof/>
                <w:sz w:val="16"/>
                <w:szCs w:val="16"/>
                <w:lang w:val="en-US"/>
              </w:rPr>
              <w:t>Reason for discarding the sub-option</w:t>
            </w:r>
          </w:p>
        </w:tc>
      </w:tr>
      <w:tr w:rsidR="000868EB" w:rsidRPr="00E23C2F" w14:paraId="5287AA4E" w14:textId="77777777" w:rsidTr="00F50F5E">
        <w:tc>
          <w:tcPr>
            <w:tcW w:w="14737" w:type="dxa"/>
            <w:gridSpan w:val="3"/>
            <w:shd w:val="clear" w:color="auto" w:fill="000000" w:themeFill="text1"/>
          </w:tcPr>
          <w:p w14:paraId="6D2C2B57" w14:textId="77777777" w:rsidR="000868EB" w:rsidRPr="00EB090D" w:rsidRDefault="000868EB" w:rsidP="00F50F5E">
            <w:pPr>
              <w:spacing w:before="60" w:after="60"/>
              <w:rPr>
                <w:rFonts w:cstheme="minorHAnsi"/>
                <w:noProof/>
                <w:color w:val="FFFFFF" w:themeColor="background1"/>
                <w:sz w:val="16"/>
                <w:szCs w:val="16"/>
                <w:lang w:val="en-US"/>
              </w:rPr>
            </w:pPr>
            <w:r w:rsidRPr="00EB090D">
              <w:rPr>
                <w:rFonts w:cstheme="minorHAnsi"/>
                <w:noProof/>
                <w:color w:val="FFFFFF" w:themeColor="background1"/>
                <w:sz w:val="16"/>
                <w:szCs w:val="16"/>
                <w:lang w:val="en-US"/>
              </w:rPr>
              <w:t>1. The access to and exchange of necessary information among law enforcement authorities is subject to legal, technical and structural challenges</w:t>
            </w:r>
            <w:r w:rsidRPr="00EB090D">
              <w:rPr>
                <w:rFonts w:cstheme="minorHAnsi"/>
                <w:noProof/>
                <w:color w:val="FFFFFF" w:themeColor="background1"/>
                <w:sz w:val="16"/>
                <w:szCs w:val="16"/>
                <w:lang w:val="en-US"/>
              </w:rPr>
              <w:tab/>
            </w:r>
            <w:r w:rsidRPr="00EB090D">
              <w:rPr>
                <w:rFonts w:cstheme="minorHAnsi"/>
                <w:noProof/>
                <w:color w:val="FFFFFF" w:themeColor="background1"/>
                <w:sz w:val="16"/>
                <w:szCs w:val="16"/>
                <w:lang w:val="en-US"/>
              </w:rPr>
              <w:tab/>
            </w:r>
          </w:p>
        </w:tc>
      </w:tr>
      <w:tr w:rsidR="000868EB" w:rsidRPr="00D26448" w14:paraId="64ED1015" w14:textId="77777777" w:rsidTr="00F50F5E">
        <w:tc>
          <w:tcPr>
            <w:tcW w:w="14737" w:type="dxa"/>
            <w:gridSpan w:val="3"/>
            <w:shd w:val="clear" w:color="auto" w:fill="305496"/>
          </w:tcPr>
          <w:p w14:paraId="399D5C5C" w14:textId="77777777" w:rsidR="000868EB" w:rsidRPr="00EB090D" w:rsidRDefault="000868EB" w:rsidP="00F50F5E">
            <w:pPr>
              <w:spacing w:before="60" w:after="60"/>
              <w:rPr>
                <w:rFonts w:cstheme="minorHAnsi"/>
                <w:noProof/>
                <w:color w:val="FFFFFF" w:themeColor="background1"/>
                <w:sz w:val="16"/>
                <w:szCs w:val="16"/>
                <w:lang w:val="en-US"/>
              </w:rPr>
            </w:pPr>
            <w:r w:rsidRPr="00EB090D">
              <w:rPr>
                <w:rFonts w:cstheme="minorHAnsi"/>
                <w:noProof/>
                <w:color w:val="FFFFFF" w:themeColor="background1"/>
                <w:sz w:val="16"/>
                <w:szCs w:val="16"/>
                <w:lang w:val="en-US"/>
              </w:rPr>
              <w:t>1.1 Law enforcement authorities face difficulties in interpreting and implementing relevant EU provisions</w:t>
            </w:r>
          </w:p>
        </w:tc>
      </w:tr>
      <w:tr w:rsidR="000868EB" w:rsidRPr="00E23C2F" w14:paraId="073D8C48" w14:textId="77777777" w:rsidTr="00F50F5E">
        <w:trPr>
          <w:trHeight w:val="358"/>
        </w:trPr>
        <w:tc>
          <w:tcPr>
            <w:tcW w:w="14737" w:type="dxa"/>
            <w:gridSpan w:val="3"/>
            <w:shd w:val="clear" w:color="auto" w:fill="D5DCE4" w:themeFill="text2" w:themeFillTint="33"/>
          </w:tcPr>
          <w:p w14:paraId="758EED96" w14:textId="77777777" w:rsidR="000868EB" w:rsidRPr="00EB090D" w:rsidRDefault="000868EB" w:rsidP="00F50F5E">
            <w:pPr>
              <w:spacing w:before="60" w:after="60"/>
              <w:rPr>
                <w:rFonts w:cstheme="minorHAnsi"/>
                <w:noProof/>
                <w:sz w:val="16"/>
                <w:szCs w:val="16"/>
                <w:lang w:val="en-US"/>
              </w:rPr>
            </w:pPr>
            <w:r w:rsidRPr="00EB090D">
              <w:rPr>
                <w:rFonts w:cstheme="minorHAnsi"/>
                <w:noProof/>
                <w:sz w:val="16"/>
                <w:szCs w:val="16"/>
                <w:lang w:val="en-US"/>
              </w:rPr>
              <w:t>The scope of application of some EU measures is unclear, including between (i) the SFD vs. CISA (i.e. preventative and/or repressive operations) and (ii) the SFD vs. the Naples II Convention (whether only police or also customs authorities can use both these measures)</w:t>
            </w:r>
          </w:p>
        </w:tc>
      </w:tr>
      <w:tr w:rsidR="000868EB" w:rsidRPr="00E23C2F" w14:paraId="01CAFA76" w14:textId="77777777" w:rsidTr="00F50F5E">
        <w:tc>
          <w:tcPr>
            <w:tcW w:w="14737" w:type="dxa"/>
            <w:gridSpan w:val="3"/>
            <w:shd w:val="clear" w:color="auto" w:fill="F2F2F2"/>
          </w:tcPr>
          <w:p w14:paraId="5F3B5223" w14:textId="77777777" w:rsidR="000868EB" w:rsidRPr="00EB090D" w:rsidRDefault="000868EB" w:rsidP="00F50F5E">
            <w:pPr>
              <w:spacing w:before="60" w:after="60"/>
              <w:rPr>
                <w:rFonts w:cstheme="minorHAnsi"/>
                <w:noProof/>
                <w:sz w:val="16"/>
                <w:szCs w:val="16"/>
                <w:lang w:val="en-US"/>
              </w:rPr>
            </w:pPr>
            <w:r w:rsidRPr="00EB090D">
              <w:rPr>
                <w:rFonts w:cstheme="minorHAnsi"/>
                <w:noProof/>
                <w:sz w:val="16"/>
                <w:szCs w:val="16"/>
                <w:lang w:val="en-US"/>
              </w:rPr>
              <w:t>The distinction between law enforcement authorities entitled to use the SFD and the Naples II Convention (notably police vs. customs) has proved ambiguous, since the competencies vary between law enforcement agencies and countries.</w:t>
            </w:r>
          </w:p>
        </w:tc>
      </w:tr>
      <w:tr w:rsidR="000868EB" w:rsidRPr="00E23C2F" w14:paraId="66BD3DA2" w14:textId="77777777" w:rsidTr="00F50F5E">
        <w:trPr>
          <w:trHeight w:val="2401"/>
        </w:trPr>
        <w:tc>
          <w:tcPr>
            <w:tcW w:w="846" w:type="dxa"/>
            <w:shd w:val="clear" w:color="auto" w:fill="FFFFFF" w:themeFill="background1"/>
            <w:noWrap/>
            <w:hideMark/>
          </w:tcPr>
          <w:p w14:paraId="62F72A00" w14:textId="77777777" w:rsidR="000868EB" w:rsidRPr="00DD38A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2</w:t>
            </w:r>
          </w:p>
        </w:tc>
        <w:tc>
          <w:tcPr>
            <w:tcW w:w="10064" w:type="dxa"/>
            <w:shd w:val="clear" w:color="auto" w:fill="FFFFFF" w:themeFill="background1"/>
            <w:hideMark/>
          </w:tcPr>
          <w:p w14:paraId="3F13377E" w14:textId="77777777" w:rsidR="000868EB" w:rsidRPr="00DD38A7" w:rsidRDefault="000868EB" w:rsidP="00F50F5E">
            <w:pPr>
              <w:spacing w:before="60" w:after="60"/>
              <w:rPr>
                <w:rFonts w:cstheme="minorHAnsi"/>
                <w:b/>
                <w:bCs/>
                <w:noProof/>
                <w:color w:val="000000"/>
                <w:sz w:val="16"/>
                <w:szCs w:val="16"/>
                <w:lang w:val="en-US" w:eastAsia="de-DE"/>
              </w:rPr>
            </w:pPr>
            <w:r w:rsidRPr="00DD38A7">
              <w:rPr>
                <w:rFonts w:cstheme="minorHAnsi"/>
                <w:b/>
                <w:bCs/>
                <w:noProof/>
                <w:color w:val="000000"/>
                <w:sz w:val="16"/>
                <w:szCs w:val="16"/>
                <w:lang w:val="en-US" w:eastAsia="de-DE"/>
              </w:rPr>
              <w:t xml:space="preserve">Provision of a definition of what competences the law enforcement authorities to which the new Law Enforcement Code is applicable need to have. </w:t>
            </w:r>
            <w:r w:rsidRPr="00DD38A7">
              <w:rPr>
                <w:rFonts w:cstheme="minorHAnsi"/>
                <w:b/>
                <w:bCs/>
                <w:noProof/>
                <w:color w:val="000000"/>
                <w:sz w:val="16"/>
                <w:szCs w:val="16"/>
                <w:lang w:val="en-US" w:eastAsia="de-DE"/>
              </w:rPr>
              <w:br/>
              <w:t>The Naples II Convention would be repealed and the current scope of the SFP would apply also to customs.</w:t>
            </w:r>
            <w:r w:rsidRPr="00DD38A7">
              <w:rPr>
                <w:rFonts w:cstheme="minorHAnsi"/>
                <w:b/>
                <w:bCs/>
                <w:noProof/>
                <w:color w:val="000000"/>
                <w:sz w:val="16"/>
                <w:szCs w:val="16"/>
                <w:lang w:val="en-US" w:eastAsia="de-DE"/>
              </w:rPr>
              <w:br/>
            </w:r>
            <w:r w:rsidRPr="00DD38A7">
              <w:rPr>
                <w:rFonts w:cstheme="minorHAnsi"/>
                <w:i/>
                <w:iCs/>
                <w:noProof/>
                <w:color w:val="000000"/>
                <w:sz w:val="16"/>
                <w:szCs w:val="16"/>
                <w:lang w:val="en-US" w:eastAsia="de-DE"/>
              </w:rPr>
              <w:t>Exemplary definition: The new Law Enforcement Code should apply to Police and all other law enforcement authorities authorised by national law to detect, prevent and investigate offences or criminal activities, to exercise authority and take coercive measures or to execute criminal penalties and to prevent threats to public security.</w:t>
            </w:r>
            <w:r>
              <w:rPr>
                <w:rFonts w:cstheme="minorHAnsi"/>
                <w:i/>
                <w:iCs/>
                <w:noProof/>
                <w:color w:val="000000"/>
                <w:sz w:val="16"/>
                <w:szCs w:val="16"/>
                <w:lang w:val="en-US" w:eastAsia="de-DE"/>
              </w:rPr>
              <w:t xml:space="preserve"> </w:t>
            </w:r>
            <w:r w:rsidRPr="00DD38A7">
              <w:rPr>
                <w:rFonts w:cstheme="minorHAnsi"/>
                <w:i/>
                <w:iCs/>
                <w:noProof/>
                <w:color w:val="000000"/>
                <w:sz w:val="16"/>
                <w:szCs w:val="16"/>
                <w:lang w:val="en-US" w:eastAsia="de-DE"/>
              </w:rPr>
              <w:t>In addition, the new Law Enforcement Code should apply to all Customs authorities primarily responsible for the supervision of the Union's international trade, thereby contributing to fair and open trade, to the implementation of the external aspects of the internal market, of the common trade policy and of the other common Union policies having a bearing on trade, and to overall supply chain security. Customs authorities shall put in place measures aimed, in particular, at the following:</w:t>
            </w:r>
            <w:r w:rsidRPr="00DD38A7">
              <w:rPr>
                <w:rFonts w:cstheme="minorHAnsi"/>
                <w:i/>
                <w:iCs/>
                <w:noProof/>
                <w:color w:val="000000"/>
                <w:sz w:val="16"/>
                <w:szCs w:val="16"/>
                <w:lang w:val="en-US" w:eastAsia="de-DE"/>
              </w:rPr>
              <w:br/>
              <w:t>(a) protecting the financial interests of the Union and its Member States;</w:t>
            </w:r>
            <w:r w:rsidRPr="00DD38A7">
              <w:rPr>
                <w:rFonts w:cstheme="minorHAnsi"/>
                <w:i/>
                <w:iCs/>
                <w:noProof/>
                <w:color w:val="000000"/>
                <w:sz w:val="16"/>
                <w:szCs w:val="16"/>
                <w:lang w:val="en-US" w:eastAsia="de-DE"/>
              </w:rPr>
              <w:br/>
              <w:t>(b) protecting the Union from unfair and illegal trade while supporting legitimate business activity;</w:t>
            </w:r>
            <w:r w:rsidRPr="00DD38A7">
              <w:rPr>
                <w:rFonts w:cstheme="minorHAnsi"/>
                <w:i/>
                <w:iCs/>
                <w:noProof/>
                <w:color w:val="000000"/>
                <w:sz w:val="16"/>
                <w:szCs w:val="16"/>
                <w:lang w:val="en-US" w:eastAsia="de-DE"/>
              </w:rPr>
              <w:br/>
              <w:t>(c) ensuring the security and safety of the Union and its residents, and the protection of the environment, where appropriate in close cooperation with other authorities; and</w:t>
            </w:r>
            <w:r w:rsidRPr="00DD38A7">
              <w:rPr>
                <w:rFonts w:cstheme="minorHAnsi"/>
                <w:i/>
                <w:iCs/>
                <w:noProof/>
                <w:color w:val="000000"/>
                <w:sz w:val="16"/>
                <w:szCs w:val="16"/>
                <w:lang w:val="en-US" w:eastAsia="de-DE"/>
              </w:rPr>
              <w:br/>
              <w:t>(d) maintaining a proper balance between customs controls and facilitation of legitimate trade.</w:t>
            </w:r>
          </w:p>
        </w:tc>
        <w:tc>
          <w:tcPr>
            <w:tcW w:w="3827" w:type="dxa"/>
            <w:shd w:val="clear" w:color="auto" w:fill="FFFFFF" w:themeFill="background1"/>
            <w:hideMark/>
          </w:tcPr>
          <w:p w14:paraId="5F44A00F" w14:textId="77777777" w:rsidR="000868EB" w:rsidRPr="00DD38A7" w:rsidRDefault="000868EB" w:rsidP="00F50F5E">
            <w:pPr>
              <w:spacing w:before="60" w:after="60"/>
              <w:rPr>
                <w:rFonts w:cstheme="minorHAnsi"/>
                <w:noProof/>
                <w:color w:val="000000"/>
                <w:sz w:val="16"/>
                <w:szCs w:val="16"/>
                <w:lang w:val="en-US" w:eastAsia="de-DE"/>
              </w:rPr>
            </w:pPr>
            <w:r w:rsidRPr="00DD38A7">
              <w:rPr>
                <w:rFonts w:cstheme="minorHAnsi"/>
                <w:noProof/>
                <w:color w:val="000000"/>
                <w:sz w:val="16"/>
                <w:szCs w:val="16"/>
                <w:lang w:val="en-US" w:eastAsia="de-DE"/>
              </w:rPr>
              <w:t>Evidence is not available to support the repeal of the Naples II Convention</w:t>
            </w:r>
          </w:p>
        </w:tc>
      </w:tr>
      <w:tr w:rsidR="000868EB" w:rsidRPr="00E23C2F" w14:paraId="5FDC27A2" w14:textId="77777777" w:rsidTr="00F50F5E">
        <w:trPr>
          <w:trHeight w:val="140"/>
        </w:trPr>
        <w:tc>
          <w:tcPr>
            <w:tcW w:w="14737" w:type="dxa"/>
            <w:gridSpan w:val="3"/>
            <w:shd w:val="clear" w:color="auto" w:fill="F2F2F2"/>
            <w:noWrap/>
          </w:tcPr>
          <w:p w14:paraId="04F2560F" w14:textId="77777777" w:rsidR="000868EB" w:rsidRPr="00DD38A7" w:rsidRDefault="000868EB" w:rsidP="00F50F5E">
            <w:pPr>
              <w:spacing w:before="60" w:after="60"/>
              <w:rPr>
                <w:rFonts w:cstheme="minorHAnsi"/>
                <w:noProof/>
                <w:color w:val="000000"/>
                <w:sz w:val="16"/>
                <w:szCs w:val="16"/>
                <w:lang w:val="en-US" w:eastAsia="de-DE"/>
              </w:rPr>
            </w:pPr>
            <w:r w:rsidRPr="000E3BB8">
              <w:rPr>
                <w:rFonts w:cstheme="minorHAnsi"/>
                <w:noProof/>
                <w:color w:val="000000"/>
                <w:sz w:val="16"/>
                <w:szCs w:val="16"/>
                <w:lang w:val="en-US" w:eastAsia="de-DE"/>
              </w:rPr>
              <w:t xml:space="preserve">It </w:t>
            </w:r>
            <w:r w:rsidRPr="00EB090D">
              <w:rPr>
                <w:rFonts w:cstheme="minorHAnsi"/>
                <w:noProof/>
                <w:color w:val="000000"/>
                <w:sz w:val="16"/>
                <w:szCs w:val="16"/>
                <w:lang w:val="en-US" w:eastAsia="de-DE"/>
              </w:rPr>
              <w:t>is not clear to which extent Articles 39 (CISA) and 46 (CISA) are still applicable and how to use these articles in relation to Article 12 of the SFD.</w:t>
            </w:r>
          </w:p>
        </w:tc>
      </w:tr>
      <w:tr w:rsidR="000868EB" w:rsidRPr="00E23C2F" w14:paraId="10FF496F" w14:textId="77777777" w:rsidTr="00F50F5E">
        <w:trPr>
          <w:trHeight w:val="1210"/>
        </w:trPr>
        <w:tc>
          <w:tcPr>
            <w:tcW w:w="846" w:type="dxa"/>
            <w:shd w:val="clear" w:color="auto" w:fill="FFFFFF" w:themeFill="background1"/>
            <w:noWrap/>
            <w:hideMark/>
          </w:tcPr>
          <w:p w14:paraId="1BE955CF" w14:textId="77777777" w:rsidR="000868EB" w:rsidRPr="00DD38A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3</w:t>
            </w:r>
          </w:p>
        </w:tc>
        <w:tc>
          <w:tcPr>
            <w:tcW w:w="10064" w:type="dxa"/>
            <w:shd w:val="clear" w:color="auto" w:fill="FFFFFF" w:themeFill="background1"/>
            <w:hideMark/>
          </w:tcPr>
          <w:p w14:paraId="618DA583" w14:textId="77777777" w:rsidR="000868EB" w:rsidRPr="00DD38A7" w:rsidRDefault="000868EB" w:rsidP="00F50F5E">
            <w:pPr>
              <w:spacing w:before="60" w:after="60"/>
              <w:rPr>
                <w:rFonts w:cstheme="minorHAnsi"/>
                <w:b/>
                <w:bCs/>
                <w:noProof/>
                <w:color w:val="000000"/>
                <w:sz w:val="16"/>
                <w:szCs w:val="16"/>
                <w:lang w:eastAsia="de-DE"/>
              </w:rPr>
            </w:pPr>
            <w:r w:rsidRPr="00DD38A7">
              <w:rPr>
                <w:rFonts w:cstheme="minorHAnsi"/>
                <w:b/>
                <w:bCs/>
                <w:noProof/>
                <w:color w:val="000000"/>
                <w:sz w:val="16"/>
                <w:szCs w:val="16"/>
                <w:lang w:val="en-US" w:eastAsia="de-DE"/>
              </w:rPr>
              <w:t xml:space="preserve">New provision, following the definition of the SFD (Art. 12). Subsequent full repeal of Articles 39 (CISA) and 46 (CISA) and Article 12 SFD. </w:t>
            </w:r>
            <w:r w:rsidRPr="00DD38A7">
              <w:rPr>
                <w:rFonts w:cstheme="minorHAnsi"/>
                <w:b/>
                <w:bCs/>
                <w:noProof/>
                <w:color w:val="000000"/>
                <w:sz w:val="16"/>
                <w:szCs w:val="16"/>
                <w:lang w:val="en-US" w:eastAsia="de-DE"/>
              </w:rPr>
              <w:br/>
            </w:r>
            <w:r w:rsidRPr="00DD38A7">
              <w:rPr>
                <w:rFonts w:cstheme="minorHAnsi"/>
                <w:i/>
                <w:iCs/>
                <w:noProof/>
                <w:color w:val="000000"/>
                <w:sz w:val="16"/>
                <w:szCs w:val="16"/>
                <w:lang w:eastAsia="de-DE"/>
              </w:rPr>
              <w:t>Definition in Article 12 of the SFD: [</w:t>
            </w:r>
            <w:r w:rsidRPr="00DD38A7">
              <w:rPr>
                <w:rFonts w:cstheme="minorHAnsi"/>
                <w:i/>
                <w:iCs/>
                <w:noProof/>
                <w:sz w:val="16"/>
                <w:szCs w:val="16"/>
                <w:lang w:eastAsia="de-DE"/>
              </w:rPr>
              <w:t>To be added</w:t>
            </w:r>
            <w:r w:rsidRPr="00DD38A7">
              <w:rPr>
                <w:rFonts w:cstheme="minorHAnsi"/>
                <w:i/>
                <w:iCs/>
                <w:noProof/>
                <w:color w:val="000000"/>
                <w:sz w:val="16"/>
                <w:szCs w:val="16"/>
                <w:lang w:eastAsia="de-DE"/>
              </w:rPr>
              <w:t>]</w:t>
            </w:r>
          </w:p>
        </w:tc>
        <w:tc>
          <w:tcPr>
            <w:tcW w:w="3827" w:type="dxa"/>
            <w:shd w:val="clear" w:color="auto" w:fill="FFFFFF" w:themeFill="background1"/>
            <w:hideMark/>
          </w:tcPr>
          <w:p w14:paraId="12137F17" w14:textId="77777777" w:rsidR="000868EB" w:rsidRPr="00DD38A7" w:rsidRDefault="000868EB" w:rsidP="00F50F5E">
            <w:pPr>
              <w:spacing w:before="60" w:after="60"/>
              <w:rPr>
                <w:rFonts w:cstheme="minorHAnsi"/>
                <w:noProof/>
                <w:color w:val="000000"/>
                <w:sz w:val="16"/>
                <w:szCs w:val="16"/>
                <w:lang w:val="en-US" w:eastAsia="de-DE"/>
              </w:rPr>
            </w:pPr>
            <w:r w:rsidRPr="00DD38A7">
              <w:rPr>
                <w:rFonts w:cstheme="minorHAnsi"/>
                <w:noProof/>
                <w:color w:val="000000"/>
                <w:sz w:val="16"/>
                <w:szCs w:val="16"/>
                <w:lang w:val="en-US" w:eastAsia="de-DE"/>
              </w:rPr>
              <w:t>The problem addressed through this sub-option is addressed through sub-option no. 1</w:t>
            </w:r>
            <w:r>
              <w:rPr>
                <w:rFonts w:cstheme="minorHAnsi"/>
                <w:noProof/>
                <w:color w:val="000000"/>
                <w:sz w:val="16"/>
                <w:szCs w:val="16"/>
                <w:lang w:val="en-US" w:eastAsia="de-DE"/>
              </w:rPr>
              <w:t>, which is included in PO2 and PO3</w:t>
            </w:r>
            <w:r w:rsidRPr="00DD38A7">
              <w:rPr>
                <w:rFonts w:cstheme="minorHAnsi"/>
                <w:noProof/>
                <w:color w:val="000000"/>
                <w:sz w:val="16"/>
                <w:szCs w:val="16"/>
                <w:lang w:val="en-US" w:eastAsia="de-DE"/>
              </w:rPr>
              <w:t xml:space="preserve">. This sub-option would only have been relevant if a completely new legislative instrument would have been developed, which is not the case (SFD will be </w:t>
            </w:r>
            <w:r>
              <w:rPr>
                <w:rFonts w:cstheme="minorHAnsi"/>
                <w:noProof/>
                <w:color w:val="000000"/>
                <w:sz w:val="16"/>
                <w:szCs w:val="16"/>
                <w:lang w:val="en-US" w:eastAsia="de-DE"/>
              </w:rPr>
              <w:t>amended</w:t>
            </w:r>
            <w:r w:rsidRPr="00DD38A7">
              <w:rPr>
                <w:rFonts w:cstheme="minorHAnsi"/>
                <w:noProof/>
                <w:color w:val="000000"/>
                <w:sz w:val="16"/>
                <w:szCs w:val="16"/>
                <w:lang w:val="en-US" w:eastAsia="de-DE"/>
              </w:rPr>
              <w:t>).</w:t>
            </w:r>
          </w:p>
        </w:tc>
      </w:tr>
      <w:tr w:rsidR="000868EB" w:rsidRPr="00E23C2F" w14:paraId="19284C3D" w14:textId="77777777" w:rsidTr="00F50F5E">
        <w:tc>
          <w:tcPr>
            <w:tcW w:w="14737" w:type="dxa"/>
            <w:gridSpan w:val="3"/>
            <w:shd w:val="clear" w:color="auto" w:fill="D5DCE4" w:themeFill="text2" w:themeFillTint="33"/>
          </w:tcPr>
          <w:p w14:paraId="2CB0E405" w14:textId="77777777" w:rsidR="000868EB" w:rsidRPr="00EB090D" w:rsidRDefault="000868EB" w:rsidP="00F50F5E">
            <w:pPr>
              <w:spacing w:before="60" w:after="60"/>
              <w:rPr>
                <w:rFonts w:cstheme="minorHAnsi"/>
                <w:noProof/>
                <w:sz w:val="16"/>
                <w:szCs w:val="16"/>
                <w:lang w:val="en-US"/>
              </w:rPr>
            </w:pPr>
            <w:r w:rsidRPr="00EB090D">
              <w:rPr>
                <w:rFonts w:cstheme="minorHAnsi"/>
                <w:noProof/>
                <w:sz w:val="16"/>
                <w:szCs w:val="16"/>
                <w:lang w:val="en-US"/>
              </w:rPr>
              <w:t>The distinction between urgent and non-urgent cases provided for in the SFD and the SFD forms to be used (on a voluntary basis) for information exchange is unclear and (unnecessarily) complex</w:t>
            </w:r>
          </w:p>
        </w:tc>
      </w:tr>
      <w:tr w:rsidR="000868EB" w:rsidRPr="00E23C2F" w14:paraId="6933328B" w14:textId="77777777" w:rsidTr="00F50F5E">
        <w:tc>
          <w:tcPr>
            <w:tcW w:w="14737" w:type="dxa"/>
            <w:gridSpan w:val="3"/>
            <w:shd w:val="clear" w:color="auto" w:fill="F2F2F2"/>
          </w:tcPr>
          <w:p w14:paraId="3A019162" w14:textId="77777777" w:rsidR="000868EB" w:rsidRPr="00EB090D" w:rsidRDefault="000868EB" w:rsidP="00F50F5E">
            <w:pPr>
              <w:spacing w:before="60" w:after="60"/>
              <w:rPr>
                <w:rFonts w:cstheme="minorHAnsi"/>
                <w:noProof/>
                <w:sz w:val="16"/>
                <w:szCs w:val="16"/>
                <w:lang w:val="en-US"/>
              </w:rPr>
            </w:pPr>
            <w:r w:rsidRPr="00EB090D">
              <w:rPr>
                <w:rFonts w:cstheme="minorHAnsi"/>
                <w:noProof/>
                <w:sz w:val="16"/>
                <w:szCs w:val="16"/>
                <w:lang w:val="en-US"/>
              </w:rPr>
              <w:t>The forms included in the SFD are time-consuming, labour intensive and not self-explanatory (both the form for the requesting MS and the requested MS). To be able complete the forms efficiently, LEAS need to know what information is available in other MS.</w:t>
            </w:r>
          </w:p>
        </w:tc>
      </w:tr>
      <w:tr w:rsidR="000868EB" w:rsidRPr="00E23C2F" w14:paraId="640258A2" w14:textId="77777777" w:rsidTr="00F50F5E">
        <w:trPr>
          <w:trHeight w:val="513"/>
        </w:trPr>
        <w:tc>
          <w:tcPr>
            <w:tcW w:w="846" w:type="dxa"/>
            <w:shd w:val="clear" w:color="auto" w:fill="auto"/>
            <w:noWrap/>
            <w:hideMark/>
          </w:tcPr>
          <w:p w14:paraId="6C26E572" w14:textId="77777777" w:rsidR="000868EB" w:rsidRPr="00DD38A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5</w:t>
            </w:r>
          </w:p>
        </w:tc>
        <w:tc>
          <w:tcPr>
            <w:tcW w:w="10064" w:type="dxa"/>
            <w:shd w:val="clear" w:color="auto" w:fill="auto"/>
            <w:hideMark/>
          </w:tcPr>
          <w:p w14:paraId="2B3D3649" w14:textId="77777777" w:rsidR="000868EB" w:rsidRPr="00DD38A7" w:rsidRDefault="000868EB" w:rsidP="00F50F5E">
            <w:pPr>
              <w:spacing w:before="60" w:after="60"/>
              <w:rPr>
                <w:rFonts w:cstheme="minorHAnsi"/>
                <w:noProof/>
                <w:color w:val="000000"/>
                <w:sz w:val="16"/>
                <w:szCs w:val="16"/>
                <w:lang w:val="en-US" w:eastAsia="de-DE"/>
              </w:rPr>
            </w:pPr>
            <w:r w:rsidRPr="00DD38A7">
              <w:rPr>
                <w:rFonts w:cstheme="minorHAnsi"/>
                <w:noProof/>
                <w:color w:val="000000"/>
                <w:sz w:val="16"/>
                <w:szCs w:val="16"/>
                <w:lang w:val="en-US" w:eastAsia="de-DE"/>
              </w:rPr>
              <w:t>Development and implementation of a functionality within SIENA that resembles Interpol’s i24/7 channel, including (1) a hit/not threshold; and (2) in case of a hit, the possibility to request further information</w:t>
            </w:r>
          </w:p>
        </w:tc>
        <w:tc>
          <w:tcPr>
            <w:tcW w:w="3827" w:type="dxa"/>
            <w:shd w:val="clear" w:color="auto" w:fill="auto"/>
            <w:hideMark/>
          </w:tcPr>
          <w:p w14:paraId="66584956" w14:textId="77777777" w:rsidR="000868EB" w:rsidRPr="00DD38A7"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Sub</w:t>
            </w:r>
            <w:r w:rsidRPr="00DD38A7">
              <w:rPr>
                <w:rFonts w:cstheme="minorHAnsi"/>
                <w:noProof/>
                <w:color w:val="000000"/>
                <w:sz w:val="16"/>
                <w:szCs w:val="16"/>
                <w:lang w:val="en-US" w:eastAsia="de-DE"/>
              </w:rPr>
              <w:t>-option merged with option no. 4</w:t>
            </w:r>
            <w:r>
              <w:rPr>
                <w:rFonts w:cstheme="minorHAnsi"/>
                <w:noProof/>
                <w:color w:val="000000"/>
                <w:sz w:val="16"/>
                <w:szCs w:val="16"/>
                <w:lang w:val="en-US" w:eastAsia="de-DE"/>
              </w:rPr>
              <w:t>6; discarded as an individual sub-option due to insufficient effectiveness as a measure on its own</w:t>
            </w:r>
          </w:p>
        </w:tc>
      </w:tr>
      <w:tr w:rsidR="000868EB" w:rsidRPr="00E23C2F" w14:paraId="3EFFEEE9" w14:textId="77777777" w:rsidTr="00F50F5E">
        <w:trPr>
          <w:trHeight w:val="552"/>
        </w:trPr>
        <w:tc>
          <w:tcPr>
            <w:tcW w:w="846" w:type="dxa"/>
            <w:shd w:val="clear" w:color="auto" w:fill="auto"/>
            <w:noWrap/>
            <w:hideMark/>
          </w:tcPr>
          <w:p w14:paraId="490F2A60" w14:textId="77777777" w:rsidR="000868EB" w:rsidRPr="00DD38A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9</w:t>
            </w:r>
          </w:p>
        </w:tc>
        <w:tc>
          <w:tcPr>
            <w:tcW w:w="10064" w:type="dxa"/>
            <w:shd w:val="clear" w:color="auto" w:fill="auto"/>
            <w:hideMark/>
          </w:tcPr>
          <w:p w14:paraId="65D97173" w14:textId="77777777" w:rsidR="000868EB" w:rsidRPr="00DD38A7" w:rsidRDefault="000868EB" w:rsidP="00F50F5E">
            <w:pPr>
              <w:spacing w:before="60" w:after="60"/>
              <w:rPr>
                <w:rFonts w:cstheme="minorHAnsi"/>
                <w:noProof/>
                <w:color w:val="000000"/>
                <w:sz w:val="16"/>
                <w:szCs w:val="16"/>
                <w:lang w:val="en-US" w:eastAsia="de-DE"/>
              </w:rPr>
            </w:pPr>
            <w:r w:rsidRPr="00DD38A7">
              <w:rPr>
                <w:rFonts w:cstheme="minorHAnsi"/>
                <w:noProof/>
                <w:color w:val="000000"/>
                <w:sz w:val="16"/>
                <w:szCs w:val="16"/>
                <w:lang w:val="en-US" w:eastAsia="de-DE"/>
              </w:rPr>
              <w:t>Development of a "central LEA app" – linked, but not limited to SIENA – that is aligned with MS' national legislation regarding functionalities, access rights etc., which the MS would be free - but not required - to use. The app could provide functionalities such as contact details of and direct messaging to relevant counterparts in other MS, a search functionality for cross-border case requests, a Wiki and glossary, training content (see above), including access to good practices, a Q&amp;A board / discussion forum</w:t>
            </w:r>
          </w:p>
        </w:tc>
        <w:tc>
          <w:tcPr>
            <w:tcW w:w="3827" w:type="dxa"/>
            <w:shd w:val="clear" w:color="auto" w:fill="auto"/>
            <w:hideMark/>
          </w:tcPr>
          <w:p w14:paraId="61E23B0B" w14:textId="77777777" w:rsidR="000868EB" w:rsidRPr="00DD38A7"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While there was clear appetite for such an app, the sub-option was discarded following the discussions in the 2</w:t>
            </w:r>
            <w:r w:rsidRPr="005E6EF5">
              <w:rPr>
                <w:rFonts w:cstheme="minorHAnsi"/>
                <w:noProof/>
                <w:color w:val="000000"/>
                <w:sz w:val="16"/>
                <w:szCs w:val="16"/>
                <w:vertAlign w:val="superscript"/>
                <w:lang w:val="en-US" w:eastAsia="de-DE"/>
              </w:rPr>
              <w:t>nd</w:t>
            </w:r>
            <w:r>
              <w:rPr>
                <w:rFonts w:cstheme="minorHAnsi"/>
                <w:noProof/>
                <w:color w:val="000000"/>
                <w:sz w:val="16"/>
                <w:szCs w:val="16"/>
                <w:lang w:val="en-US" w:eastAsia="de-DE"/>
              </w:rPr>
              <w:t xml:space="preserve"> technical meeting in May 2021 due to a lack of political feasibility.</w:t>
            </w:r>
          </w:p>
        </w:tc>
      </w:tr>
      <w:tr w:rsidR="000868EB" w:rsidRPr="00E23C2F" w14:paraId="64C4FC84" w14:textId="77777777" w:rsidTr="00F50F5E">
        <w:trPr>
          <w:trHeight w:val="1120"/>
        </w:trPr>
        <w:tc>
          <w:tcPr>
            <w:tcW w:w="846" w:type="dxa"/>
            <w:shd w:val="clear" w:color="auto" w:fill="auto"/>
            <w:noWrap/>
            <w:hideMark/>
          </w:tcPr>
          <w:p w14:paraId="7B7D3948" w14:textId="77777777" w:rsidR="000868EB" w:rsidRPr="00DD38A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10</w:t>
            </w:r>
          </w:p>
        </w:tc>
        <w:tc>
          <w:tcPr>
            <w:tcW w:w="10064" w:type="dxa"/>
            <w:shd w:val="clear" w:color="auto" w:fill="auto"/>
            <w:hideMark/>
          </w:tcPr>
          <w:p w14:paraId="0E0B7ACB" w14:textId="77777777" w:rsidR="000868EB" w:rsidRPr="005E6EF5" w:rsidRDefault="000868EB" w:rsidP="00F50F5E">
            <w:pPr>
              <w:spacing w:before="60" w:after="60"/>
              <w:rPr>
                <w:rFonts w:cstheme="minorHAnsi"/>
                <w:noProof/>
                <w:color w:val="000000"/>
                <w:sz w:val="16"/>
                <w:szCs w:val="16"/>
                <w:lang w:val="en-US" w:eastAsia="de-DE"/>
              </w:rPr>
            </w:pPr>
            <w:r w:rsidRPr="005E6EF5">
              <w:rPr>
                <w:rFonts w:cstheme="minorHAnsi"/>
                <w:b/>
                <w:bCs/>
                <w:noProof/>
                <w:color w:val="000000"/>
                <w:sz w:val="16"/>
                <w:szCs w:val="16"/>
                <w:lang w:val="en-US" w:eastAsia="de-DE"/>
              </w:rPr>
              <w:t xml:space="preserve">Introduction of a </w:t>
            </w:r>
            <w:r w:rsidRPr="005E6EF5">
              <w:rPr>
                <w:rFonts w:cstheme="minorHAnsi"/>
                <w:b/>
                <w:bCs/>
                <w:noProof/>
                <w:color w:val="000000"/>
                <w:sz w:val="16"/>
                <w:szCs w:val="16"/>
                <w:u w:val="single"/>
                <w:lang w:val="en-US" w:eastAsia="de-DE"/>
              </w:rPr>
              <w:t xml:space="preserve">requirement </w:t>
            </w:r>
            <w:r w:rsidRPr="005E6EF5">
              <w:rPr>
                <w:rFonts w:cstheme="minorHAnsi"/>
                <w:b/>
                <w:bCs/>
                <w:noProof/>
                <w:color w:val="000000"/>
                <w:sz w:val="16"/>
                <w:szCs w:val="16"/>
                <w:lang w:val="en-US" w:eastAsia="de-DE"/>
              </w:rPr>
              <w:t>to use a "central LEA app" (see non-legislative option),</w:t>
            </w:r>
            <w:r w:rsidRPr="005E6EF5">
              <w:rPr>
                <w:rFonts w:cstheme="minorHAnsi"/>
                <w:noProof/>
                <w:color w:val="000000"/>
                <w:sz w:val="16"/>
                <w:szCs w:val="16"/>
                <w:lang w:val="en-US" w:eastAsia="de-DE"/>
              </w:rPr>
              <w:t xml:space="preserve"> which:</w:t>
            </w:r>
            <w:r w:rsidRPr="005E6EF5">
              <w:rPr>
                <w:rFonts w:cstheme="minorHAnsi"/>
                <w:noProof/>
                <w:color w:val="000000"/>
                <w:sz w:val="16"/>
                <w:szCs w:val="16"/>
                <w:lang w:val="en-US" w:eastAsia="de-DE"/>
              </w:rPr>
              <w:br/>
              <w:t>• Enables mobile access;</w:t>
            </w:r>
            <w:r w:rsidRPr="005E6EF5">
              <w:rPr>
                <w:rFonts w:cstheme="minorHAnsi"/>
                <w:noProof/>
                <w:color w:val="000000"/>
                <w:sz w:val="16"/>
                <w:szCs w:val="16"/>
                <w:lang w:val="en-US" w:eastAsia="de-DE"/>
              </w:rPr>
              <w:br/>
              <w:t>• Facilitates direct information exchange;</w:t>
            </w:r>
            <w:r w:rsidRPr="005E6EF5">
              <w:rPr>
                <w:rFonts w:cstheme="minorHAnsi"/>
                <w:noProof/>
                <w:color w:val="000000"/>
                <w:sz w:val="16"/>
                <w:szCs w:val="16"/>
                <w:lang w:val="en-US" w:eastAsia="de-DE"/>
              </w:rPr>
              <w:br/>
              <w:t>• Provides LEA Knowledge Management.</w:t>
            </w:r>
            <w:r w:rsidRPr="005E6EF5">
              <w:rPr>
                <w:rFonts w:cstheme="minorHAnsi"/>
                <w:noProof/>
                <w:color w:val="000000"/>
                <w:sz w:val="16"/>
                <w:szCs w:val="16"/>
                <w:lang w:val="en-US" w:eastAsia="de-DE"/>
              </w:rPr>
              <w:br/>
              <w:t>In principle, the use of the app would be required in all situations referring to the preparation, implementation, and debriefing of cross-border law enforcement activities</w:t>
            </w:r>
          </w:p>
        </w:tc>
        <w:tc>
          <w:tcPr>
            <w:tcW w:w="3827" w:type="dxa"/>
            <w:shd w:val="clear" w:color="auto" w:fill="auto"/>
            <w:hideMark/>
          </w:tcPr>
          <w:p w14:paraId="69726621" w14:textId="77777777" w:rsidR="000868EB" w:rsidRPr="00DD38A7" w:rsidRDefault="000868EB" w:rsidP="00F50F5E">
            <w:pPr>
              <w:spacing w:before="60" w:after="60"/>
              <w:rPr>
                <w:rFonts w:cstheme="minorHAnsi"/>
                <w:b/>
                <w:bCs/>
                <w:noProof/>
                <w:color w:val="000000"/>
                <w:sz w:val="16"/>
                <w:szCs w:val="16"/>
                <w:lang w:val="en-US" w:eastAsia="de-DE"/>
              </w:rPr>
            </w:pPr>
            <w:r>
              <w:rPr>
                <w:rFonts w:cstheme="minorHAnsi"/>
                <w:noProof/>
                <w:color w:val="000000"/>
                <w:sz w:val="16"/>
                <w:szCs w:val="16"/>
                <w:lang w:val="en-US" w:eastAsia="de-DE"/>
              </w:rPr>
              <w:t>While there was clear appetite for such an app, the sub-option was discarded following the discussions in the 2</w:t>
            </w:r>
            <w:r w:rsidRPr="005E6EF5">
              <w:rPr>
                <w:rFonts w:cstheme="minorHAnsi"/>
                <w:noProof/>
                <w:color w:val="000000"/>
                <w:sz w:val="16"/>
                <w:szCs w:val="16"/>
                <w:vertAlign w:val="superscript"/>
                <w:lang w:val="en-US" w:eastAsia="de-DE"/>
              </w:rPr>
              <w:t>nd</w:t>
            </w:r>
            <w:r>
              <w:rPr>
                <w:rFonts w:cstheme="minorHAnsi"/>
                <w:noProof/>
                <w:color w:val="000000"/>
                <w:sz w:val="16"/>
                <w:szCs w:val="16"/>
                <w:lang w:val="en-US" w:eastAsia="de-DE"/>
              </w:rPr>
              <w:t xml:space="preserve"> technical meeting in May 2021 due to a lack of political feasibility.</w:t>
            </w:r>
          </w:p>
        </w:tc>
      </w:tr>
      <w:tr w:rsidR="000868EB" w:rsidRPr="00E23C2F" w14:paraId="63BA9BB4" w14:textId="77777777" w:rsidTr="00F50F5E">
        <w:tc>
          <w:tcPr>
            <w:tcW w:w="14737" w:type="dxa"/>
            <w:gridSpan w:val="3"/>
            <w:shd w:val="clear" w:color="auto" w:fill="F2F2F2"/>
          </w:tcPr>
          <w:p w14:paraId="74184FCF"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 notions of "non-urgent cases" and "other cases" as defined in the SFD forms (annexed to the SFD) for requesting/requested countries are unclear</w:t>
            </w:r>
          </w:p>
        </w:tc>
      </w:tr>
      <w:tr w:rsidR="000868EB" w:rsidRPr="00E23C2F" w14:paraId="29B41577" w14:textId="77777777" w:rsidTr="00F50F5E">
        <w:trPr>
          <w:trHeight w:val="303"/>
        </w:trPr>
        <w:tc>
          <w:tcPr>
            <w:tcW w:w="846" w:type="dxa"/>
            <w:shd w:val="clear" w:color="auto" w:fill="auto"/>
            <w:noWrap/>
            <w:hideMark/>
          </w:tcPr>
          <w:p w14:paraId="08F42AA0" w14:textId="77777777" w:rsidR="000868EB" w:rsidRPr="00DD38A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11</w:t>
            </w:r>
          </w:p>
        </w:tc>
        <w:tc>
          <w:tcPr>
            <w:tcW w:w="10064" w:type="dxa"/>
            <w:shd w:val="clear" w:color="auto" w:fill="auto"/>
            <w:hideMark/>
          </w:tcPr>
          <w:p w14:paraId="1A13F4A0" w14:textId="77777777" w:rsidR="000868EB" w:rsidRPr="005E6EF5" w:rsidRDefault="000868EB" w:rsidP="00F50F5E">
            <w:pPr>
              <w:spacing w:before="60" w:after="60"/>
              <w:rPr>
                <w:rFonts w:cstheme="minorHAnsi"/>
                <w:b/>
                <w:bCs/>
                <w:noProof/>
                <w:color w:val="000000"/>
                <w:sz w:val="16"/>
                <w:szCs w:val="16"/>
                <w:lang w:val="en-US" w:eastAsia="de-DE"/>
              </w:rPr>
            </w:pPr>
            <w:r w:rsidRPr="005E6EF5">
              <w:rPr>
                <w:rFonts w:cstheme="minorHAnsi"/>
                <w:b/>
                <w:bCs/>
                <w:noProof/>
                <w:color w:val="000000"/>
                <w:sz w:val="16"/>
                <w:szCs w:val="16"/>
                <w:lang w:val="en-US" w:eastAsia="de-DE"/>
              </w:rPr>
              <w:t xml:space="preserve">Amendment of the two SFD forms for information exchange to remove the category “other cases” </w:t>
            </w:r>
          </w:p>
        </w:tc>
        <w:tc>
          <w:tcPr>
            <w:tcW w:w="3827" w:type="dxa"/>
            <w:shd w:val="clear" w:color="auto" w:fill="auto"/>
            <w:hideMark/>
          </w:tcPr>
          <w:p w14:paraId="0A9C4FF5" w14:textId="77777777" w:rsidR="000868EB" w:rsidRPr="005E6EF5" w:rsidRDefault="000868EB" w:rsidP="00F50F5E">
            <w:pPr>
              <w:spacing w:before="60" w:after="60"/>
              <w:rPr>
                <w:rFonts w:cstheme="minorHAnsi"/>
                <w:noProof/>
                <w:color w:val="000000"/>
                <w:sz w:val="16"/>
                <w:szCs w:val="16"/>
                <w:lang w:val="en-US" w:eastAsia="de-DE"/>
              </w:rPr>
            </w:pPr>
            <w:r w:rsidRPr="005E6EF5">
              <w:rPr>
                <w:rFonts w:cstheme="minorHAnsi"/>
                <w:noProof/>
                <w:color w:val="000000"/>
                <w:sz w:val="16"/>
                <w:szCs w:val="16"/>
                <w:lang w:val="en-US" w:eastAsia="de-DE"/>
              </w:rPr>
              <w:t>Discarded due to inadequate expected effectiveness. The SFD forms are repealed under the retained policy options.</w:t>
            </w:r>
          </w:p>
        </w:tc>
      </w:tr>
      <w:tr w:rsidR="000868EB" w:rsidRPr="00E23C2F" w14:paraId="53E89860" w14:textId="77777777" w:rsidTr="00F50F5E">
        <w:trPr>
          <w:trHeight w:val="552"/>
        </w:trPr>
        <w:tc>
          <w:tcPr>
            <w:tcW w:w="846" w:type="dxa"/>
            <w:shd w:val="clear" w:color="auto" w:fill="auto"/>
            <w:noWrap/>
            <w:hideMark/>
          </w:tcPr>
          <w:p w14:paraId="7CA83731" w14:textId="77777777" w:rsidR="000868EB" w:rsidRPr="00DD38A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12</w:t>
            </w:r>
          </w:p>
        </w:tc>
        <w:tc>
          <w:tcPr>
            <w:tcW w:w="10064" w:type="dxa"/>
            <w:shd w:val="clear" w:color="auto" w:fill="auto"/>
            <w:hideMark/>
          </w:tcPr>
          <w:p w14:paraId="5C5A3F25" w14:textId="77777777" w:rsidR="000868EB" w:rsidRPr="005E6EF5" w:rsidRDefault="000868EB" w:rsidP="00F50F5E">
            <w:pPr>
              <w:spacing w:before="60" w:after="60"/>
              <w:rPr>
                <w:rFonts w:cstheme="minorHAnsi"/>
                <w:b/>
                <w:bCs/>
                <w:noProof/>
                <w:color w:val="000000"/>
                <w:sz w:val="16"/>
                <w:szCs w:val="16"/>
                <w:lang w:val="en-US" w:eastAsia="de-DE"/>
              </w:rPr>
            </w:pPr>
            <w:r w:rsidRPr="005E6EF5">
              <w:rPr>
                <w:rFonts w:cstheme="minorHAnsi"/>
                <w:b/>
                <w:bCs/>
                <w:noProof/>
                <w:color w:val="000000"/>
                <w:sz w:val="16"/>
                <w:szCs w:val="16"/>
                <w:lang w:val="en-US" w:eastAsia="de-DE"/>
              </w:rPr>
              <w:t xml:space="preserve">Amendment of the two SFD forms for information exchange to provide a definition of non-urgent cases </w:t>
            </w:r>
          </w:p>
        </w:tc>
        <w:tc>
          <w:tcPr>
            <w:tcW w:w="3827" w:type="dxa"/>
            <w:shd w:val="clear" w:color="auto" w:fill="auto"/>
            <w:hideMark/>
          </w:tcPr>
          <w:p w14:paraId="0D356176" w14:textId="77777777" w:rsidR="000868EB" w:rsidRPr="005E6EF5" w:rsidRDefault="000868EB" w:rsidP="00F50F5E">
            <w:pPr>
              <w:spacing w:before="60" w:after="60"/>
              <w:rPr>
                <w:rFonts w:cstheme="minorHAnsi"/>
                <w:noProof/>
                <w:color w:val="000000"/>
                <w:sz w:val="16"/>
                <w:szCs w:val="16"/>
                <w:lang w:val="en-US" w:eastAsia="de-DE"/>
              </w:rPr>
            </w:pPr>
            <w:r w:rsidRPr="005E6EF5">
              <w:rPr>
                <w:rFonts w:cstheme="minorHAnsi"/>
                <w:noProof/>
                <w:color w:val="000000"/>
                <w:sz w:val="16"/>
                <w:szCs w:val="16"/>
                <w:lang w:val="en-US" w:eastAsia="de-DE"/>
              </w:rPr>
              <w:t>Discarded due to inadequate expected effectiveness.  The SFD forms are repealed under the retained policy options.</w:t>
            </w:r>
          </w:p>
        </w:tc>
      </w:tr>
      <w:tr w:rsidR="000868EB" w:rsidRPr="00E23C2F" w14:paraId="27EC903A" w14:textId="77777777" w:rsidTr="00F50F5E">
        <w:trPr>
          <w:trHeight w:val="357"/>
        </w:trPr>
        <w:tc>
          <w:tcPr>
            <w:tcW w:w="846" w:type="dxa"/>
            <w:shd w:val="clear" w:color="auto" w:fill="auto"/>
            <w:noWrap/>
            <w:hideMark/>
          </w:tcPr>
          <w:p w14:paraId="1D2A70AC" w14:textId="77777777" w:rsidR="000868EB" w:rsidRPr="00DD38A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13</w:t>
            </w:r>
          </w:p>
        </w:tc>
        <w:tc>
          <w:tcPr>
            <w:tcW w:w="10064" w:type="dxa"/>
            <w:shd w:val="clear" w:color="auto" w:fill="auto"/>
            <w:hideMark/>
          </w:tcPr>
          <w:p w14:paraId="00312924" w14:textId="77777777" w:rsidR="000868EB" w:rsidRPr="00DD38A7" w:rsidRDefault="000868EB" w:rsidP="00F50F5E">
            <w:pPr>
              <w:spacing w:before="60" w:after="60"/>
              <w:rPr>
                <w:rFonts w:cstheme="minorHAnsi"/>
                <w:noProof/>
                <w:color w:val="000000"/>
                <w:sz w:val="16"/>
                <w:szCs w:val="16"/>
                <w:lang w:val="en-US" w:eastAsia="de-DE"/>
              </w:rPr>
            </w:pPr>
            <w:r w:rsidRPr="00DD38A7">
              <w:rPr>
                <w:rFonts w:cstheme="minorHAnsi"/>
                <w:noProof/>
                <w:color w:val="000000"/>
                <w:sz w:val="16"/>
                <w:szCs w:val="16"/>
                <w:lang w:val="en-US" w:eastAsia="de-DE"/>
              </w:rPr>
              <w:t>Commission guidance on the definition of the term "non-urgent" cases, including the provision of examples of "non-urgent cases"</w:t>
            </w:r>
          </w:p>
        </w:tc>
        <w:tc>
          <w:tcPr>
            <w:tcW w:w="3827" w:type="dxa"/>
            <w:shd w:val="clear" w:color="auto" w:fill="auto"/>
            <w:hideMark/>
          </w:tcPr>
          <w:p w14:paraId="7903F575" w14:textId="77777777" w:rsidR="000868EB" w:rsidRPr="00DD38A7" w:rsidRDefault="000868EB" w:rsidP="00F50F5E">
            <w:pPr>
              <w:spacing w:before="60" w:after="60"/>
              <w:rPr>
                <w:rFonts w:cstheme="minorHAnsi"/>
                <w:noProof/>
                <w:color w:val="000000"/>
                <w:sz w:val="16"/>
                <w:szCs w:val="16"/>
                <w:lang w:val="en-US" w:eastAsia="de-DE"/>
              </w:rPr>
            </w:pPr>
            <w:r w:rsidRPr="00DD38A7">
              <w:rPr>
                <w:rFonts w:cstheme="minorHAnsi"/>
                <w:noProof/>
                <w:color w:val="000000"/>
                <w:sz w:val="16"/>
                <w:szCs w:val="16"/>
                <w:lang w:val="en-US" w:eastAsia="de-DE"/>
              </w:rPr>
              <w:t>The term "other cases" will be removed</w:t>
            </w:r>
            <w:r>
              <w:rPr>
                <w:rFonts w:cstheme="minorHAnsi"/>
                <w:noProof/>
                <w:color w:val="000000"/>
                <w:sz w:val="16"/>
                <w:szCs w:val="16"/>
                <w:lang w:val="en-US" w:eastAsia="de-DE"/>
              </w:rPr>
              <w:t xml:space="preserve"> as part of the retained policy options, as this is expected to lead to greater effectiveness</w:t>
            </w:r>
            <w:r w:rsidRPr="00DD38A7">
              <w:rPr>
                <w:rFonts w:cstheme="minorHAnsi"/>
                <w:noProof/>
                <w:color w:val="000000"/>
                <w:sz w:val="16"/>
                <w:szCs w:val="16"/>
                <w:lang w:val="en-US" w:eastAsia="de-DE"/>
              </w:rPr>
              <w:t>, hence leaving no need to clarify non-urgent cases.</w:t>
            </w:r>
          </w:p>
        </w:tc>
      </w:tr>
      <w:tr w:rsidR="000868EB" w:rsidRPr="00E23C2F" w14:paraId="135830A6" w14:textId="77777777" w:rsidTr="00F50F5E">
        <w:tc>
          <w:tcPr>
            <w:tcW w:w="14737" w:type="dxa"/>
            <w:gridSpan w:val="3"/>
            <w:shd w:val="clear" w:color="auto" w:fill="F2F2F2"/>
          </w:tcPr>
          <w:p w14:paraId="3965D990"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 respect for the principle of equivalent access is not always ensured, especially regarding urgent cases</w:t>
            </w:r>
          </w:p>
        </w:tc>
      </w:tr>
      <w:tr w:rsidR="000868EB" w:rsidRPr="00E23C2F" w14:paraId="29980666" w14:textId="77777777" w:rsidTr="00F50F5E">
        <w:trPr>
          <w:trHeight w:val="639"/>
        </w:trPr>
        <w:tc>
          <w:tcPr>
            <w:tcW w:w="846" w:type="dxa"/>
            <w:shd w:val="clear" w:color="auto" w:fill="auto"/>
            <w:noWrap/>
            <w:hideMark/>
          </w:tcPr>
          <w:p w14:paraId="394F00C9" w14:textId="77777777" w:rsidR="000868EB" w:rsidRPr="00081E2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14</w:t>
            </w:r>
          </w:p>
        </w:tc>
        <w:tc>
          <w:tcPr>
            <w:tcW w:w="10064" w:type="dxa"/>
            <w:shd w:val="clear" w:color="auto" w:fill="auto"/>
            <w:hideMark/>
          </w:tcPr>
          <w:p w14:paraId="26DDE681" w14:textId="77777777" w:rsidR="000868EB" w:rsidRPr="00081E27" w:rsidRDefault="000868EB" w:rsidP="00F50F5E">
            <w:pPr>
              <w:spacing w:before="60" w:after="60"/>
              <w:rPr>
                <w:rFonts w:cstheme="minorHAnsi"/>
                <w:noProof/>
                <w:color w:val="000000"/>
                <w:sz w:val="16"/>
                <w:szCs w:val="16"/>
                <w:lang w:val="en-US" w:eastAsia="de-DE"/>
              </w:rPr>
            </w:pPr>
            <w:r w:rsidRPr="00081E27">
              <w:rPr>
                <w:rFonts w:cstheme="minorHAnsi"/>
                <w:noProof/>
                <w:color w:val="000000"/>
                <w:sz w:val="16"/>
                <w:szCs w:val="16"/>
                <w:lang w:val="en-US" w:eastAsia="de-DE"/>
              </w:rPr>
              <w:t xml:space="preserve">Commission Communication, addressing how to handle information requests. If the authorisation of a judicial authority is required for information requested by another Member State, then the requested law enforcement authority is encouraged to take on the responsibility to ask for this judicial authorization, instead of simply denying the provision of the data requested  </w:t>
            </w:r>
          </w:p>
        </w:tc>
        <w:tc>
          <w:tcPr>
            <w:tcW w:w="3827" w:type="dxa"/>
            <w:shd w:val="clear" w:color="auto" w:fill="auto"/>
            <w:hideMark/>
          </w:tcPr>
          <w:p w14:paraId="29E0A148" w14:textId="77777777" w:rsidR="000868EB" w:rsidRPr="00081E27" w:rsidRDefault="000868EB" w:rsidP="00F50F5E">
            <w:pPr>
              <w:spacing w:before="60" w:after="60"/>
              <w:rPr>
                <w:rFonts w:cstheme="minorHAnsi"/>
                <w:noProof/>
                <w:color w:val="000000"/>
                <w:sz w:val="16"/>
                <w:szCs w:val="16"/>
                <w:lang w:val="en-US" w:eastAsia="de-DE"/>
              </w:rPr>
            </w:pPr>
            <w:r w:rsidRPr="005E6EF5">
              <w:rPr>
                <w:rFonts w:cstheme="minorHAnsi"/>
                <w:noProof/>
                <w:color w:val="000000"/>
                <w:sz w:val="16"/>
                <w:szCs w:val="16"/>
                <w:lang w:val="en-US" w:eastAsia="de-DE"/>
              </w:rPr>
              <w:t xml:space="preserve">Discarded due to inadequate expected effectiveness. </w:t>
            </w:r>
          </w:p>
        </w:tc>
      </w:tr>
      <w:tr w:rsidR="000868EB" w:rsidRPr="00E23C2F" w14:paraId="21232FF7" w14:textId="77777777" w:rsidTr="00F50F5E">
        <w:trPr>
          <w:trHeight w:val="563"/>
        </w:trPr>
        <w:tc>
          <w:tcPr>
            <w:tcW w:w="846" w:type="dxa"/>
            <w:shd w:val="clear" w:color="auto" w:fill="auto"/>
            <w:noWrap/>
            <w:hideMark/>
          </w:tcPr>
          <w:p w14:paraId="483A3638" w14:textId="77777777" w:rsidR="000868EB" w:rsidRPr="00081E2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15</w:t>
            </w:r>
          </w:p>
        </w:tc>
        <w:tc>
          <w:tcPr>
            <w:tcW w:w="10064" w:type="dxa"/>
            <w:shd w:val="clear" w:color="auto" w:fill="auto"/>
            <w:hideMark/>
          </w:tcPr>
          <w:p w14:paraId="7C3EE0E6" w14:textId="77777777" w:rsidR="000868EB" w:rsidRPr="00081E27" w:rsidRDefault="000868EB" w:rsidP="00F50F5E">
            <w:pPr>
              <w:spacing w:before="60" w:after="60"/>
              <w:rPr>
                <w:rFonts w:cstheme="minorHAnsi"/>
                <w:b/>
                <w:bCs/>
                <w:noProof/>
                <w:color w:val="000000"/>
                <w:sz w:val="16"/>
                <w:szCs w:val="16"/>
                <w:lang w:val="en-US" w:eastAsia="de-DE"/>
              </w:rPr>
            </w:pPr>
            <w:r w:rsidRPr="00081E27">
              <w:rPr>
                <w:rFonts w:cstheme="minorHAnsi"/>
                <w:b/>
                <w:bCs/>
                <w:noProof/>
                <w:color w:val="000000"/>
                <w:sz w:val="16"/>
                <w:szCs w:val="16"/>
                <w:lang w:val="en-US" w:eastAsia="de-DE"/>
              </w:rPr>
              <w:t xml:space="preserve">New provision, establishing that if the authorisation of a judicial authority is required for information requested by another Member State, then the requested law enforcement authority shall take on the responsibility to ask for this judicial authorization, instead of simply denying the provision of the data requested  </w:t>
            </w:r>
          </w:p>
        </w:tc>
        <w:tc>
          <w:tcPr>
            <w:tcW w:w="3827" w:type="dxa"/>
            <w:shd w:val="clear" w:color="auto" w:fill="auto"/>
            <w:hideMark/>
          </w:tcPr>
          <w:p w14:paraId="1346E09A" w14:textId="77777777" w:rsidR="000868EB" w:rsidRPr="00081E27" w:rsidRDefault="000868EB" w:rsidP="00F50F5E">
            <w:pPr>
              <w:spacing w:before="60" w:after="60"/>
              <w:rPr>
                <w:rFonts w:cstheme="minorHAnsi"/>
                <w:b/>
                <w:bCs/>
                <w:noProof/>
                <w:color w:val="000000"/>
                <w:sz w:val="16"/>
                <w:szCs w:val="16"/>
                <w:lang w:val="en-US" w:eastAsia="de-DE"/>
              </w:rPr>
            </w:pPr>
            <w:r w:rsidRPr="005E6EF5">
              <w:rPr>
                <w:rFonts w:cstheme="minorHAnsi"/>
                <w:noProof/>
                <w:color w:val="000000"/>
                <w:sz w:val="16"/>
                <w:szCs w:val="16"/>
                <w:lang w:val="en-US" w:eastAsia="de-DE"/>
              </w:rPr>
              <w:t xml:space="preserve">Discarded due to inadequate expected effectiveness.  </w:t>
            </w:r>
          </w:p>
        </w:tc>
      </w:tr>
      <w:tr w:rsidR="000868EB" w:rsidRPr="00E23C2F" w14:paraId="6F786434" w14:textId="77777777" w:rsidTr="00F50F5E">
        <w:tc>
          <w:tcPr>
            <w:tcW w:w="14737" w:type="dxa"/>
            <w:gridSpan w:val="3"/>
            <w:shd w:val="clear" w:color="auto" w:fill="F2F2F2"/>
          </w:tcPr>
          <w:p w14:paraId="5DF3DD29" w14:textId="77777777" w:rsidR="000868EB" w:rsidRPr="00FF7F56" w:rsidRDefault="000868EB" w:rsidP="00F50F5E">
            <w:pPr>
              <w:spacing w:before="60" w:after="60"/>
              <w:rPr>
                <w:rFonts w:cstheme="minorHAnsi"/>
                <w:noProof/>
                <w:sz w:val="16"/>
                <w:szCs w:val="16"/>
                <w:lang w:val="en-US"/>
              </w:rPr>
            </w:pPr>
            <w:r w:rsidRPr="00FF7F56">
              <w:rPr>
                <w:rFonts w:cstheme="minorHAnsi"/>
                <w:noProof/>
                <w:sz w:val="16"/>
                <w:szCs w:val="16"/>
                <w:lang w:val="en-US"/>
              </w:rPr>
              <w:t>The respect for the principle of availability is not always ensured</w:t>
            </w:r>
          </w:p>
        </w:tc>
      </w:tr>
      <w:tr w:rsidR="000868EB" w:rsidRPr="00E23C2F" w14:paraId="2F32E70E" w14:textId="77777777" w:rsidTr="00F50F5E">
        <w:trPr>
          <w:trHeight w:val="603"/>
        </w:trPr>
        <w:tc>
          <w:tcPr>
            <w:tcW w:w="846" w:type="dxa"/>
            <w:shd w:val="clear" w:color="auto" w:fill="auto"/>
            <w:noWrap/>
            <w:hideMark/>
          </w:tcPr>
          <w:p w14:paraId="78A917D2" w14:textId="77777777" w:rsidR="000868EB" w:rsidRPr="00081E2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16</w:t>
            </w:r>
          </w:p>
        </w:tc>
        <w:tc>
          <w:tcPr>
            <w:tcW w:w="10064" w:type="dxa"/>
            <w:shd w:val="clear" w:color="auto" w:fill="auto"/>
          </w:tcPr>
          <w:p w14:paraId="0A03DA17" w14:textId="77777777" w:rsidR="000868EB" w:rsidRPr="00081E27" w:rsidRDefault="000868EB" w:rsidP="00F50F5E">
            <w:pPr>
              <w:spacing w:before="60" w:after="60"/>
              <w:rPr>
                <w:rFonts w:cstheme="minorHAnsi"/>
                <w:noProof/>
                <w:color w:val="000000"/>
                <w:sz w:val="16"/>
                <w:szCs w:val="16"/>
                <w:lang w:val="en-US" w:eastAsia="de-DE"/>
              </w:rPr>
            </w:pPr>
            <w:r w:rsidRPr="00081E27">
              <w:rPr>
                <w:rFonts w:cstheme="minorHAnsi"/>
                <w:noProof/>
                <w:color w:val="000000"/>
                <w:sz w:val="16"/>
                <w:szCs w:val="16"/>
                <w:lang w:val="en-US" w:eastAsia="de-DE"/>
              </w:rPr>
              <w:t>Commission Communication on how to fill in the SFD form request form. The MS will be encouraged that the request sets out the factual reasons to believe that the relevant information and intelligence is available in another MS and explain the purpose for which the information and intelligence is sought in another MS and the connection between the purpose and the person who is the subject of the information and intelligence in order to avoid “fishing” (by e.g. sending a request for a cross-border check with a copy to all MS)</w:t>
            </w:r>
          </w:p>
        </w:tc>
        <w:tc>
          <w:tcPr>
            <w:tcW w:w="3827" w:type="dxa"/>
            <w:shd w:val="clear" w:color="auto" w:fill="auto"/>
          </w:tcPr>
          <w:p w14:paraId="50D24F24" w14:textId="77777777" w:rsidR="000868EB" w:rsidRPr="00081E27" w:rsidRDefault="000868EB" w:rsidP="00F50F5E">
            <w:pPr>
              <w:spacing w:before="60" w:after="60"/>
              <w:rPr>
                <w:rFonts w:cstheme="minorHAnsi"/>
                <w:noProof/>
                <w:color w:val="000000"/>
                <w:sz w:val="16"/>
                <w:szCs w:val="16"/>
                <w:lang w:val="en-US" w:eastAsia="de-DE"/>
              </w:rPr>
            </w:pPr>
            <w:r w:rsidRPr="005E6EF5">
              <w:rPr>
                <w:rFonts w:cstheme="minorHAnsi"/>
                <w:noProof/>
                <w:color w:val="000000"/>
                <w:sz w:val="16"/>
                <w:szCs w:val="16"/>
                <w:lang w:val="en-US" w:eastAsia="de-DE"/>
              </w:rPr>
              <w:t>Discarded due to inadequate expected effectiveness.  The SFD forms are repealed under the retained policy options.</w:t>
            </w:r>
          </w:p>
        </w:tc>
      </w:tr>
      <w:tr w:rsidR="000868EB" w:rsidRPr="00041CBF" w14:paraId="2207600D" w14:textId="77777777" w:rsidTr="00F50F5E">
        <w:trPr>
          <w:trHeight w:val="813"/>
        </w:trPr>
        <w:tc>
          <w:tcPr>
            <w:tcW w:w="846" w:type="dxa"/>
            <w:shd w:val="clear" w:color="auto" w:fill="auto"/>
            <w:noWrap/>
            <w:hideMark/>
          </w:tcPr>
          <w:p w14:paraId="4ED6C8CB" w14:textId="77777777" w:rsidR="000868EB" w:rsidRPr="00081E2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17</w:t>
            </w:r>
          </w:p>
        </w:tc>
        <w:tc>
          <w:tcPr>
            <w:tcW w:w="10064" w:type="dxa"/>
            <w:shd w:val="clear" w:color="auto" w:fill="auto"/>
          </w:tcPr>
          <w:p w14:paraId="20E2033E" w14:textId="77777777" w:rsidR="000868EB" w:rsidRPr="00081E27" w:rsidRDefault="000868EB" w:rsidP="00F50F5E">
            <w:pPr>
              <w:spacing w:before="60" w:after="60"/>
              <w:rPr>
                <w:rFonts w:cstheme="minorHAnsi"/>
                <w:b/>
                <w:bCs/>
                <w:noProof/>
                <w:color w:val="000000"/>
                <w:sz w:val="16"/>
                <w:szCs w:val="16"/>
                <w:lang w:val="en-US" w:eastAsia="de-DE"/>
              </w:rPr>
            </w:pPr>
            <w:r w:rsidRPr="00081E27">
              <w:rPr>
                <w:rFonts w:cstheme="minorHAnsi"/>
                <w:b/>
                <w:bCs/>
                <w:noProof/>
                <w:color w:val="000000"/>
                <w:sz w:val="16"/>
                <w:szCs w:val="16"/>
                <w:lang w:val="en-US" w:eastAsia="de-DE"/>
              </w:rPr>
              <w:t>Amendment of the SFD request form (and, subsequently, the form in SIENA). The request shall set out factual reasons to believe that the relevant information and intelligence is available in another MS and explain the purpose for which the information and intelligence is sought in another MS and the connection between the purpose and the person who is the subject of the information and intelligence in order to avoid “fishing” (by e.g. sending a request for a cross-border check with a copy to all MS)</w:t>
            </w:r>
          </w:p>
        </w:tc>
        <w:tc>
          <w:tcPr>
            <w:tcW w:w="3827" w:type="dxa"/>
            <w:shd w:val="clear" w:color="auto" w:fill="auto"/>
          </w:tcPr>
          <w:p w14:paraId="19A31FCB" w14:textId="77777777" w:rsidR="000868EB" w:rsidRPr="00081E27" w:rsidRDefault="000868EB" w:rsidP="00F50F5E">
            <w:pPr>
              <w:spacing w:before="60" w:after="60"/>
              <w:rPr>
                <w:rFonts w:cstheme="minorHAnsi"/>
                <w:b/>
                <w:bCs/>
                <w:noProof/>
                <w:color w:val="000000"/>
                <w:sz w:val="16"/>
                <w:szCs w:val="16"/>
                <w:lang w:val="en-US" w:eastAsia="de-DE"/>
              </w:rPr>
            </w:pPr>
            <w:r w:rsidRPr="005E6EF5">
              <w:rPr>
                <w:rFonts w:cstheme="minorHAnsi"/>
                <w:noProof/>
                <w:color w:val="000000"/>
                <w:sz w:val="16"/>
                <w:szCs w:val="16"/>
                <w:lang w:val="en-US" w:eastAsia="de-DE"/>
              </w:rPr>
              <w:t>Discarded due to inadequate expected effectiveness.  The SFD forms are repealed under the retained policy options.</w:t>
            </w:r>
            <w:r>
              <w:rPr>
                <w:rFonts w:cstheme="minorHAnsi"/>
                <w:noProof/>
                <w:color w:val="000000"/>
                <w:sz w:val="16"/>
                <w:szCs w:val="16"/>
                <w:lang w:val="en-US" w:eastAsia="de-DE"/>
              </w:rPr>
              <w:t xml:space="preserve"> A similar sub-option has been retained, which does not make reference to the SFD form.</w:t>
            </w:r>
          </w:p>
        </w:tc>
      </w:tr>
      <w:tr w:rsidR="000868EB" w:rsidRPr="00041CBF" w14:paraId="68B1C1CC" w14:textId="77777777" w:rsidTr="00F50F5E">
        <w:tc>
          <w:tcPr>
            <w:tcW w:w="14737" w:type="dxa"/>
            <w:gridSpan w:val="3"/>
            <w:shd w:val="clear" w:color="auto" w:fill="F2F2F2"/>
          </w:tcPr>
          <w:p w14:paraId="0FFC9A22"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 choice of channel for information exchange lies with the Member States, leading to a duplication of requests in some cases</w:t>
            </w:r>
          </w:p>
        </w:tc>
      </w:tr>
      <w:tr w:rsidR="000868EB" w:rsidRPr="009D2E26" w14:paraId="009D2B56" w14:textId="77777777" w:rsidTr="00F50F5E">
        <w:trPr>
          <w:trHeight w:val="63"/>
        </w:trPr>
        <w:tc>
          <w:tcPr>
            <w:tcW w:w="846" w:type="dxa"/>
            <w:shd w:val="clear" w:color="auto" w:fill="auto"/>
            <w:noWrap/>
            <w:hideMark/>
          </w:tcPr>
          <w:p w14:paraId="066498D6" w14:textId="77777777" w:rsidR="000868EB" w:rsidRPr="009D2E26" w:rsidRDefault="000868EB" w:rsidP="00F50F5E">
            <w:pPr>
              <w:spacing w:before="60" w:after="60"/>
              <w:jc w:val="center"/>
              <w:rPr>
                <w:rFonts w:cstheme="minorHAnsi"/>
                <w:noProof/>
                <w:color w:val="000000"/>
                <w:sz w:val="16"/>
                <w:szCs w:val="16"/>
                <w:lang w:eastAsia="de-DE"/>
              </w:rPr>
            </w:pPr>
            <w:r w:rsidRPr="009D2E26">
              <w:rPr>
                <w:rFonts w:cstheme="minorHAnsi"/>
                <w:noProof/>
                <w:color w:val="000000"/>
                <w:sz w:val="16"/>
                <w:szCs w:val="16"/>
                <w:lang w:eastAsia="de-DE"/>
              </w:rPr>
              <w:t>n/a</w:t>
            </w:r>
          </w:p>
        </w:tc>
        <w:tc>
          <w:tcPr>
            <w:tcW w:w="10064" w:type="dxa"/>
            <w:shd w:val="clear" w:color="auto" w:fill="auto"/>
            <w:hideMark/>
          </w:tcPr>
          <w:p w14:paraId="5C480888" w14:textId="77777777" w:rsidR="000868EB" w:rsidRPr="009D2E26" w:rsidRDefault="000868EB" w:rsidP="00F50F5E">
            <w:pPr>
              <w:spacing w:before="60" w:after="60"/>
              <w:rPr>
                <w:rFonts w:cstheme="minorHAnsi"/>
                <w:noProof/>
                <w:color w:val="000000"/>
                <w:sz w:val="16"/>
                <w:szCs w:val="16"/>
                <w:lang w:val="en-US" w:eastAsia="de-DE"/>
              </w:rPr>
            </w:pPr>
            <w:r w:rsidRPr="009D2E26">
              <w:rPr>
                <w:rFonts w:cstheme="minorHAnsi"/>
                <w:noProof/>
                <w:color w:val="000000"/>
                <w:sz w:val="16"/>
                <w:szCs w:val="16"/>
                <w:lang w:val="en-US" w:eastAsia="de-DE"/>
              </w:rPr>
              <w:t>n/a</w:t>
            </w:r>
          </w:p>
        </w:tc>
        <w:tc>
          <w:tcPr>
            <w:tcW w:w="3827" w:type="dxa"/>
            <w:shd w:val="clear" w:color="auto" w:fill="auto"/>
            <w:hideMark/>
          </w:tcPr>
          <w:p w14:paraId="527C2B7D" w14:textId="77777777" w:rsidR="000868EB" w:rsidRPr="009D2E26" w:rsidRDefault="000868EB" w:rsidP="00F50F5E">
            <w:pPr>
              <w:spacing w:before="60" w:after="60"/>
              <w:rPr>
                <w:rFonts w:cstheme="minorHAnsi"/>
                <w:noProof/>
                <w:color w:val="000000"/>
                <w:sz w:val="16"/>
                <w:szCs w:val="16"/>
                <w:lang w:val="en-US" w:eastAsia="de-DE"/>
              </w:rPr>
            </w:pPr>
            <w:r w:rsidRPr="009D2E26">
              <w:rPr>
                <w:rFonts w:cstheme="minorHAnsi"/>
                <w:noProof/>
                <w:color w:val="000000"/>
                <w:sz w:val="16"/>
                <w:szCs w:val="16"/>
                <w:lang w:val="en-US" w:eastAsia="de-DE"/>
              </w:rPr>
              <w:t>n/a</w:t>
            </w:r>
          </w:p>
        </w:tc>
      </w:tr>
      <w:tr w:rsidR="000868EB" w:rsidRPr="00E23C2F" w14:paraId="59DA9A23" w14:textId="77777777" w:rsidTr="00F50F5E">
        <w:tc>
          <w:tcPr>
            <w:tcW w:w="14737" w:type="dxa"/>
            <w:gridSpan w:val="3"/>
            <w:shd w:val="clear" w:color="auto" w:fill="44546A" w:themeFill="text2"/>
          </w:tcPr>
          <w:p w14:paraId="28943C50" w14:textId="77777777" w:rsidR="000868EB" w:rsidRPr="00DD4DB2" w:rsidRDefault="000868EB" w:rsidP="00F50F5E">
            <w:pPr>
              <w:spacing w:before="60" w:after="60"/>
              <w:rPr>
                <w:rFonts w:cstheme="minorHAnsi"/>
                <w:b/>
                <w:bCs/>
                <w:noProof/>
                <w:color w:val="FFFFFF" w:themeColor="background1"/>
                <w:sz w:val="16"/>
                <w:szCs w:val="16"/>
                <w:lang w:val="en-US"/>
              </w:rPr>
            </w:pPr>
            <w:r w:rsidRPr="00DD4DB2">
              <w:rPr>
                <w:rFonts w:cstheme="minorHAnsi"/>
                <w:bCs/>
                <w:noProof/>
                <w:color w:val="FFFFFF" w:themeColor="background1"/>
                <w:sz w:val="16"/>
                <w:szCs w:val="16"/>
                <w:lang w:val="en-US"/>
              </w:rPr>
              <w:t>1.2 Technical driver: Law enforcement authorities have insufficient knowledge of existing mechanisms, skill gaps and outdated IT infrastructure</w:t>
            </w:r>
          </w:p>
        </w:tc>
      </w:tr>
      <w:tr w:rsidR="000868EB" w:rsidRPr="00E23C2F" w14:paraId="75A6D638" w14:textId="77777777" w:rsidTr="00F50F5E">
        <w:tc>
          <w:tcPr>
            <w:tcW w:w="14737" w:type="dxa"/>
            <w:gridSpan w:val="3"/>
            <w:shd w:val="clear" w:color="auto" w:fill="D5DCE4" w:themeFill="text2" w:themeFillTint="33"/>
          </w:tcPr>
          <w:p w14:paraId="32580439"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National LEAs have limited awareness and knowledge of relevant databases</w:t>
            </w:r>
          </w:p>
        </w:tc>
      </w:tr>
      <w:tr w:rsidR="000868EB" w:rsidRPr="00E23C2F" w14:paraId="55A11C42" w14:textId="77777777" w:rsidTr="00F50F5E">
        <w:tc>
          <w:tcPr>
            <w:tcW w:w="14737" w:type="dxa"/>
            <w:gridSpan w:val="3"/>
            <w:shd w:val="clear" w:color="auto" w:fill="F2F2F2"/>
          </w:tcPr>
          <w:p w14:paraId="1C75288B"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It is currently not clear to law enforcement officials what channels should be used for information exchange in what circumstances. Law enforcement officers thus spend a lot of (undue) time to understand what channels should be used in specific cases</w:t>
            </w:r>
          </w:p>
        </w:tc>
      </w:tr>
      <w:tr w:rsidR="000868EB" w:rsidRPr="00D26448" w14:paraId="68E9807F" w14:textId="77777777" w:rsidTr="00F50F5E">
        <w:trPr>
          <w:trHeight w:val="743"/>
        </w:trPr>
        <w:tc>
          <w:tcPr>
            <w:tcW w:w="846" w:type="dxa"/>
            <w:shd w:val="clear" w:color="auto" w:fill="auto"/>
            <w:noWrap/>
            <w:hideMark/>
          </w:tcPr>
          <w:p w14:paraId="20C5FFEC" w14:textId="77777777" w:rsidR="000868EB" w:rsidRPr="00081E27" w:rsidRDefault="000868EB" w:rsidP="00F50F5E">
            <w:pPr>
              <w:spacing w:before="60" w:after="60"/>
              <w:jc w:val="center"/>
              <w:rPr>
                <w:rFonts w:cstheme="minorHAnsi"/>
                <w:noProof/>
                <w:color w:val="000000"/>
                <w:sz w:val="16"/>
                <w:szCs w:val="16"/>
                <w:lang w:eastAsia="de-DE"/>
              </w:rPr>
            </w:pPr>
            <w:r w:rsidRPr="00081E27">
              <w:rPr>
                <w:rFonts w:cstheme="minorHAnsi"/>
                <w:noProof/>
                <w:color w:val="000000"/>
                <w:sz w:val="16"/>
                <w:szCs w:val="16"/>
                <w:lang w:eastAsia="de-DE"/>
              </w:rPr>
              <w:t>2</w:t>
            </w:r>
            <w:r>
              <w:rPr>
                <w:rFonts w:cstheme="minorHAnsi"/>
                <w:noProof/>
                <w:color w:val="000000"/>
                <w:sz w:val="16"/>
                <w:szCs w:val="16"/>
                <w:lang w:eastAsia="de-DE"/>
              </w:rPr>
              <w:t>0</w:t>
            </w:r>
          </w:p>
        </w:tc>
        <w:tc>
          <w:tcPr>
            <w:tcW w:w="10064" w:type="dxa"/>
            <w:shd w:val="clear" w:color="auto" w:fill="auto"/>
            <w:hideMark/>
          </w:tcPr>
          <w:p w14:paraId="66F7C272" w14:textId="77777777" w:rsidR="000868EB" w:rsidRPr="00081E27" w:rsidRDefault="000868EB" w:rsidP="00F50F5E">
            <w:pPr>
              <w:spacing w:before="60" w:after="60"/>
              <w:rPr>
                <w:rFonts w:cstheme="minorHAnsi"/>
                <w:noProof/>
                <w:color w:val="000000"/>
                <w:sz w:val="16"/>
                <w:szCs w:val="16"/>
                <w:lang w:val="en-US" w:eastAsia="de-DE"/>
              </w:rPr>
            </w:pPr>
            <w:r w:rsidRPr="00081E27">
              <w:rPr>
                <w:rFonts w:cstheme="minorHAnsi"/>
                <w:noProof/>
                <w:color w:val="000000"/>
                <w:sz w:val="16"/>
                <w:szCs w:val="16"/>
                <w:lang w:val="en-US" w:eastAsia="de-DE"/>
              </w:rPr>
              <w:t>Commission Communication encouraging the MS to include training on the channels for information exchange in the basis police training and provide guidance on the channels via Intranet</w:t>
            </w:r>
            <w:r w:rsidRPr="00081E27">
              <w:rPr>
                <w:rFonts w:cstheme="minorHAnsi"/>
                <w:noProof/>
                <w:color w:val="000000"/>
                <w:sz w:val="16"/>
                <w:szCs w:val="16"/>
                <w:lang w:val="en-US" w:eastAsia="de-DE"/>
              </w:rPr>
              <w:br/>
              <w:t>[</w:t>
            </w:r>
            <w:r w:rsidRPr="00081E27">
              <w:rPr>
                <w:rFonts w:cstheme="minorHAnsi"/>
                <w:i/>
                <w:iCs/>
                <w:noProof/>
                <w:color w:val="000000"/>
                <w:sz w:val="16"/>
                <w:szCs w:val="16"/>
                <w:lang w:val="en-US" w:eastAsia="de-DE"/>
              </w:rPr>
              <w:t xml:space="preserve">Good practice from </w:t>
            </w:r>
            <w:r>
              <w:rPr>
                <w:rFonts w:cstheme="minorHAnsi"/>
                <w:i/>
                <w:iCs/>
                <w:noProof/>
                <w:color w:val="000000"/>
                <w:sz w:val="16"/>
                <w:szCs w:val="16"/>
                <w:lang w:val="en-US" w:eastAsia="de-DE"/>
              </w:rPr>
              <w:t>one MS</w:t>
            </w:r>
            <w:r w:rsidRPr="00081E27">
              <w:rPr>
                <w:rFonts w:cstheme="minorHAnsi"/>
                <w:i/>
                <w:iCs/>
                <w:noProof/>
                <w:color w:val="000000"/>
                <w:sz w:val="16"/>
                <w:szCs w:val="16"/>
                <w:lang w:val="en-US" w:eastAsia="de-DE"/>
              </w:rPr>
              <w:t>: Guidelines regarding the channels for information exchange (accessible for staff members of the Integrated Police via the Intranet and is included in the basic police training)</w:t>
            </w:r>
            <w:r w:rsidRPr="00081E27">
              <w:rPr>
                <w:rFonts w:cstheme="minorHAnsi"/>
                <w:noProof/>
                <w:color w:val="000000"/>
                <w:sz w:val="16"/>
                <w:szCs w:val="16"/>
                <w:lang w:val="en-US" w:eastAsia="de-DE"/>
              </w:rPr>
              <w:t>.]</w:t>
            </w:r>
          </w:p>
        </w:tc>
        <w:tc>
          <w:tcPr>
            <w:tcW w:w="3827" w:type="dxa"/>
            <w:shd w:val="clear" w:color="auto" w:fill="auto"/>
            <w:hideMark/>
          </w:tcPr>
          <w:p w14:paraId="49EB74B8" w14:textId="77777777" w:rsidR="000868EB" w:rsidRPr="00081E27" w:rsidRDefault="000868EB" w:rsidP="00F50F5E">
            <w:pPr>
              <w:spacing w:before="60" w:after="60"/>
              <w:rPr>
                <w:rFonts w:cstheme="minorHAnsi"/>
                <w:b/>
                <w:bCs/>
                <w:noProof/>
                <w:color w:val="000000"/>
                <w:sz w:val="16"/>
                <w:szCs w:val="16"/>
                <w:lang w:val="en-US" w:eastAsia="de-DE"/>
              </w:rPr>
            </w:pPr>
            <w:r w:rsidRPr="00081E27">
              <w:rPr>
                <w:rFonts w:cstheme="minorHAnsi"/>
                <w:b/>
                <w:bCs/>
                <w:noProof/>
                <w:color w:val="000000"/>
                <w:sz w:val="16"/>
                <w:szCs w:val="16"/>
                <w:lang w:val="en-US" w:eastAsia="de-DE"/>
              </w:rPr>
              <w:t>Discarded</w:t>
            </w:r>
            <w:r>
              <w:rPr>
                <w:rFonts w:cstheme="minorHAnsi"/>
                <w:b/>
                <w:bCs/>
                <w:noProof/>
                <w:color w:val="000000"/>
                <w:sz w:val="16"/>
                <w:szCs w:val="16"/>
                <w:lang w:val="en-US" w:eastAsia="de-DE"/>
              </w:rPr>
              <w:t xml:space="preserve"> as an individual sub-option. </w:t>
            </w:r>
            <w:r w:rsidRPr="00081E27">
              <w:rPr>
                <w:rFonts w:cstheme="minorHAnsi"/>
                <w:b/>
                <w:bCs/>
                <w:noProof/>
                <w:color w:val="000000"/>
                <w:sz w:val="16"/>
                <w:szCs w:val="16"/>
                <w:lang w:val="en-US" w:eastAsia="de-DE"/>
              </w:rPr>
              <w:t>Merged with sub-option 3</w:t>
            </w:r>
            <w:r>
              <w:rPr>
                <w:rFonts w:cstheme="minorHAnsi"/>
                <w:b/>
                <w:bCs/>
                <w:noProof/>
                <w:color w:val="000000"/>
                <w:sz w:val="16"/>
                <w:szCs w:val="16"/>
                <w:lang w:val="en-US" w:eastAsia="de-DE"/>
              </w:rPr>
              <w:t>4</w:t>
            </w:r>
            <w:r w:rsidRPr="00081E27">
              <w:rPr>
                <w:rFonts w:cstheme="minorHAnsi"/>
                <w:b/>
                <w:bCs/>
                <w:noProof/>
                <w:color w:val="000000"/>
                <w:sz w:val="16"/>
                <w:szCs w:val="16"/>
                <w:lang w:val="en-US" w:eastAsia="de-DE"/>
              </w:rPr>
              <w:t>.</w:t>
            </w:r>
          </w:p>
        </w:tc>
      </w:tr>
      <w:tr w:rsidR="000868EB" w:rsidRPr="00E23C2F" w14:paraId="7DE41EDD" w14:textId="77777777" w:rsidTr="00F50F5E">
        <w:trPr>
          <w:trHeight w:val="553"/>
        </w:trPr>
        <w:tc>
          <w:tcPr>
            <w:tcW w:w="846" w:type="dxa"/>
            <w:shd w:val="clear" w:color="auto" w:fill="auto"/>
            <w:noWrap/>
            <w:hideMark/>
          </w:tcPr>
          <w:p w14:paraId="60F3772E" w14:textId="77777777" w:rsidR="000868EB" w:rsidRPr="00081E27" w:rsidRDefault="000868EB" w:rsidP="00F50F5E">
            <w:pPr>
              <w:spacing w:before="60" w:after="60"/>
              <w:jc w:val="center"/>
              <w:rPr>
                <w:rFonts w:cstheme="minorHAnsi"/>
                <w:noProof/>
                <w:color w:val="000000"/>
                <w:sz w:val="16"/>
                <w:szCs w:val="16"/>
                <w:lang w:eastAsia="de-DE"/>
              </w:rPr>
            </w:pPr>
            <w:r w:rsidRPr="00081E27">
              <w:rPr>
                <w:rFonts w:cstheme="minorHAnsi"/>
                <w:noProof/>
                <w:color w:val="000000"/>
                <w:sz w:val="16"/>
                <w:szCs w:val="16"/>
                <w:lang w:eastAsia="de-DE"/>
              </w:rPr>
              <w:t>2</w:t>
            </w:r>
            <w:r>
              <w:rPr>
                <w:rFonts w:cstheme="minorHAnsi"/>
                <w:noProof/>
                <w:color w:val="000000"/>
                <w:sz w:val="16"/>
                <w:szCs w:val="16"/>
                <w:lang w:eastAsia="de-DE"/>
              </w:rPr>
              <w:t>2</w:t>
            </w:r>
          </w:p>
        </w:tc>
        <w:tc>
          <w:tcPr>
            <w:tcW w:w="10064" w:type="dxa"/>
            <w:shd w:val="clear" w:color="auto" w:fill="auto"/>
            <w:hideMark/>
          </w:tcPr>
          <w:p w14:paraId="773000E4" w14:textId="77777777" w:rsidR="000868EB" w:rsidRPr="00081E27" w:rsidRDefault="000868EB" w:rsidP="00F50F5E">
            <w:pPr>
              <w:spacing w:before="60" w:after="60"/>
              <w:rPr>
                <w:rFonts w:cstheme="minorHAnsi"/>
                <w:b/>
                <w:bCs/>
                <w:noProof/>
                <w:color w:val="000000"/>
                <w:sz w:val="16"/>
                <w:szCs w:val="16"/>
                <w:lang w:val="en-US" w:eastAsia="de-DE"/>
              </w:rPr>
            </w:pPr>
            <w:r w:rsidRPr="00081E27">
              <w:rPr>
                <w:rFonts w:cstheme="minorHAnsi"/>
                <w:b/>
                <w:bCs/>
                <w:noProof/>
                <w:color w:val="000000"/>
                <w:sz w:val="16"/>
                <w:szCs w:val="16"/>
                <w:lang w:val="en-US" w:eastAsia="de-DE"/>
              </w:rPr>
              <w:t>New provision, establishing that the requested Member State should, in those cases when SIENA is not used, reply through the same channel as was used for the request</w:t>
            </w:r>
          </w:p>
        </w:tc>
        <w:tc>
          <w:tcPr>
            <w:tcW w:w="3827" w:type="dxa"/>
            <w:shd w:val="clear" w:color="auto" w:fill="auto"/>
            <w:hideMark/>
          </w:tcPr>
          <w:p w14:paraId="079F1B39" w14:textId="77777777" w:rsidR="000868EB" w:rsidRPr="00F30E06" w:rsidRDefault="000868EB" w:rsidP="00F50F5E">
            <w:pPr>
              <w:spacing w:before="60" w:after="60"/>
              <w:rPr>
                <w:rFonts w:cstheme="minorHAnsi"/>
                <w:noProof/>
                <w:color w:val="000000"/>
                <w:sz w:val="16"/>
                <w:szCs w:val="16"/>
                <w:lang w:val="en-US" w:eastAsia="de-DE"/>
              </w:rPr>
            </w:pPr>
            <w:r w:rsidRPr="005E6EF5">
              <w:rPr>
                <w:rFonts w:cstheme="minorHAnsi"/>
                <w:noProof/>
                <w:color w:val="000000"/>
                <w:sz w:val="16"/>
                <w:szCs w:val="16"/>
                <w:lang w:val="en-US" w:eastAsia="de-DE"/>
              </w:rPr>
              <w:t xml:space="preserve">Discarded due to inadequate expected effectiveness. </w:t>
            </w:r>
            <w:r>
              <w:rPr>
                <w:rFonts w:cstheme="minorHAnsi"/>
                <w:noProof/>
                <w:color w:val="000000"/>
                <w:sz w:val="16"/>
                <w:szCs w:val="16"/>
                <w:lang w:val="en-US" w:eastAsia="de-DE"/>
              </w:rPr>
              <w:t>PO2 and PO3 include an element according to which SIENA is the preferred or default option, which is expected to achieve higher effectiveness.</w:t>
            </w:r>
          </w:p>
        </w:tc>
      </w:tr>
      <w:tr w:rsidR="000868EB" w:rsidRPr="00E23C2F" w14:paraId="7599381F" w14:textId="77777777" w:rsidTr="00F50F5E">
        <w:tc>
          <w:tcPr>
            <w:tcW w:w="14737" w:type="dxa"/>
            <w:gridSpan w:val="3"/>
            <w:shd w:val="clear" w:color="auto" w:fill="F2F2F2"/>
          </w:tcPr>
          <w:p w14:paraId="3380F73A"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Inadequate knowledge by national LEAs’ officers of how to use the platforms for law enforcement cooperation available to them</w:t>
            </w:r>
          </w:p>
        </w:tc>
      </w:tr>
      <w:tr w:rsidR="000868EB" w:rsidRPr="00E23C2F" w14:paraId="702928CE" w14:textId="77777777" w:rsidTr="00F50F5E">
        <w:trPr>
          <w:trHeight w:val="836"/>
        </w:trPr>
        <w:tc>
          <w:tcPr>
            <w:tcW w:w="846" w:type="dxa"/>
            <w:shd w:val="clear" w:color="auto" w:fill="auto"/>
            <w:noWrap/>
            <w:hideMark/>
          </w:tcPr>
          <w:p w14:paraId="120AE51E" w14:textId="77777777" w:rsidR="000868EB" w:rsidRPr="00081E27" w:rsidRDefault="000868EB" w:rsidP="00F50F5E">
            <w:pPr>
              <w:spacing w:before="60" w:after="60"/>
              <w:jc w:val="center"/>
              <w:rPr>
                <w:rFonts w:cstheme="minorHAnsi"/>
                <w:noProof/>
                <w:color w:val="000000"/>
                <w:sz w:val="16"/>
                <w:szCs w:val="16"/>
                <w:lang w:eastAsia="de-DE"/>
              </w:rPr>
            </w:pPr>
            <w:r w:rsidRPr="00081E27">
              <w:rPr>
                <w:rFonts w:cstheme="minorHAnsi"/>
                <w:noProof/>
                <w:color w:val="000000"/>
                <w:sz w:val="16"/>
                <w:szCs w:val="16"/>
                <w:lang w:eastAsia="de-DE"/>
              </w:rPr>
              <w:t>2</w:t>
            </w:r>
            <w:r>
              <w:rPr>
                <w:rFonts w:cstheme="minorHAnsi"/>
                <w:noProof/>
                <w:color w:val="000000"/>
                <w:sz w:val="16"/>
                <w:szCs w:val="16"/>
                <w:lang w:eastAsia="de-DE"/>
              </w:rPr>
              <w:t>5</w:t>
            </w:r>
          </w:p>
        </w:tc>
        <w:tc>
          <w:tcPr>
            <w:tcW w:w="10064" w:type="dxa"/>
            <w:shd w:val="clear" w:color="auto" w:fill="auto"/>
            <w:hideMark/>
          </w:tcPr>
          <w:p w14:paraId="47045A15" w14:textId="77777777" w:rsidR="000868EB" w:rsidRPr="00081E27" w:rsidRDefault="000868EB" w:rsidP="00F50F5E">
            <w:pPr>
              <w:spacing w:before="60" w:after="60"/>
              <w:rPr>
                <w:rFonts w:cstheme="minorHAnsi"/>
                <w:noProof/>
                <w:color w:val="000000"/>
                <w:sz w:val="16"/>
                <w:szCs w:val="16"/>
                <w:lang w:val="en-US" w:eastAsia="de-DE"/>
              </w:rPr>
            </w:pPr>
            <w:r w:rsidRPr="00081E27">
              <w:rPr>
                <w:rFonts w:cstheme="minorHAnsi"/>
                <w:noProof/>
                <w:color w:val="000000"/>
                <w:sz w:val="16"/>
                <w:szCs w:val="16"/>
                <w:lang w:val="en-US" w:eastAsia="de-DE"/>
              </w:rPr>
              <w:t>Development and implementation of an awareness raising and training campaign within the EU law enforcement community, e.g. via CEPOL:</w:t>
            </w:r>
            <w:r w:rsidRPr="00081E27">
              <w:rPr>
                <w:rFonts w:cstheme="minorHAnsi"/>
                <w:noProof/>
                <w:color w:val="000000"/>
                <w:sz w:val="16"/>
                <w:szCs w:val="16"/>
                <w:lang w:val="en-US" w:eastAsia="de-DE"/>
              </w:rPr>
              <w:br/>
              <w:t>• Web-based and printed leaflets, including workflows / flow charts;</w:t>
            </w:r>
            <w:r w:rsidRPr="00081E27">
              <w:rPr>
                <w:rFonts w:cstheme="minorHAnsi"/>
                <w:noProof/>
                <w:color w:val="000000"/>
                <w:sz w:val="16"/>
                <w:szCs w:val="16"/>
                <w:lang w:val="en-US" w:eastAsia="de-DE"/>
              </w:rPr>
              <w:br/>
              <w:t>• Short guidance videos in which workflows are explained in illustrative fashion;</w:t>
            </w:r>
            <w:r w:rsidRPr="00081E27">
              <w:rPr>
                <w:rFonts w:cstheme="minorHAnsi"/>
                <w:noProof/>
                <w:color w:val="000000"/>
                <w:sz w:val="16"/>
                <w:szCs w:val="16"/>
                <w:lang w:val="en-US" w:eastAsia="de-DE"/>
              </w:rPr>
              <w:br/>
              <w:t xml:space="preserve">• Training with mock versions of platforms </w:t>
            </w:r>
            <w:r w:rsidRPr="00081E27">
              <w:rPr>
                <w:rFonts w:cstheme="minorHAnsi"/>
                <w:noProof/>
                <w:color w:val="000000"/>
                <w:sz w:val="16"/>
                <w:szCs w:val="16"/>
                <w:lang w:val="en-US" w:eastAsia="de-DE"/>
              </w:rPr>
              <w:br/>
              <w:t>• A dedicated law enforcement training app that makes content accessible</w:t>
            </w:r>
          </w:p>
        </w:tc>
        <w:tc>
          <w:tcPr>
            <w:tcW w:w="3827" w:type="dxa"/>
            <w:hideMark/>
          </w:tcPr>
          <w:p w14:paraId="0D00BB96" w14:textId="77777777" w:rsidR="000868EB" w:rsidRPr="00081E27"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Discarded due to the expected lack of political feasibility of the training app.</w:t>
            </w:r>
          </w:p>
        </w:tc>
      </w:tr>
      <w:tr w:rsidR="000868EB" w:rsidRPr="00E23C2F" w14:paraId="44FCBE51" w14:textId="77777777" w:rsidTr="00F50F5E">
        <w:tc>
          <w:tcPr>
            <w:tcW w:w="14737" w:type="dxa"/>
            <w:gridSpan w:val="3"/>
            <w:shd w:val="clear" w:color="auto" w:fill="D5DCE4" w:themeFill="text2" w:themeFillTint="33"/>
          </w:tcPr>
          <w:p w14:paraId="760F5354"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There is limited availability of training for law enforcement staff involved in cross-border information exchanges and cooperation</w:t>
            </w:r>
          </w:p>
        </w:tc>
      </w:tr>
      <w:tr w:rsidR="000868EB" w:rsidRPr="00041CBF" w14:paraId="2ED48957" w14:textId="77777777" w:rsidTr="00F50F5E">
        <w:tc>
          <w:tcPr>
            <w:tcW w:w="14737" w:type="dxa"/>
            <w:gridSpan w:val="3"/>
            <w:shd w:val="clear" w:color="auto" w:fill="F2F2F2"/>
          </w:tcPr>
          <w:p w14:paraId="2F1E0C8F"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Current training is not held on a regular basis and does not take into account the latest changes in the EU law enforcement legislative framework</w:t>
            </w:r>
          </w:p>
        </w:tc>
      </w:tr>
      <w:tr w:rsidR="000868EB" w:rsidRPr="00D26448" w14:paraId="144B535C" w14:textId="77777777" w:rsidTr="00F50F5E">
        <w:trPr>
          <w:trHeight w:val="161"/>
        </w:trPr>
        <w:tc>
          <w:tcPr>
            <w:tcW w:w="846" w:type="dxa"/>
            <w:shd w:val="clear" w:color="auto" w:fill="auto"/>
            <w:noWrap/>
            <w:hideMark/>
          </w:tcPr>
          <w:p w14:paraId="2AA59BB5" w14:textId="77777777" w:rsidR="000868EB" w:rsidRPr="00081E27" w:rsidRDefault="000868EB" w:rsidP="00F50F5E">
            <w:pPr>
              <w:spacing w:before="60" w:after="60"/>
              <w:jc w:val="center"/>
              <w:rPr>
                <w:rFonts w:cstheme="minorHAnsi"/>
                <w:noProof/>
                <w:color w:val="000000"/>
                <w:sz w:val="16"/>
                <w:szCs w:val="16"/>
                <w:lang w:eastAsia="de-DE"/>
              </w:rPr>
            </w:pPr>
            <w:r w:rsidRPr="009D2E26">
              <w:rPr>
                <w:rFonts w:cstheme="minorHAnsi"/>
                <w:noProof/>
                <w:color w:val="000000"/>
                <w:sz w:val="16"/>
                <w:szCs w:val="16"/>
                <w:lang w:eastAsia="de-DE"/>
              </w:rPr>
              <w:t>n/a</w:t>
            </w:r>
          </w:p>
        </w:tc>
        <w:tc>
          <w:tcPr>
            <w:tcW w:w="10064" w:type="dxa"/>
            <w:shd w:val="clear" w:color="auto" w:fill="auto"/>
            <w:hideMark/>
          </w:tcPr>
          <w:p w14:paraId="2E534513" w14:textId="77777777" w:rsidR="000868EB" w:rsidRPr="00081E27" w:rsidRDefault="000868EB" w:rsidP="00F50F5E">
            <w:pPr>
              <w:spacing w:before="60" w:after="60"/>
              <w:rPr>
                <w:rFonts w:cstheme="minorHAnsi"/>
                <w:noProof/>
                <w:color w:val="000000"/>
                <w:sz w:val="16"/>
                <w:szCs w:val="16"/>
                <w:lang w:val="en-US" w:eastAsia="de-DE"/>
              </w:rPr>
            </w:pPr>
            <w:r w:rsidRPr="009D2E26">
              <w:rPr>
                <w:rFonts w:cstheme="minorHAnsi"/>
                <w:noProof/>
                <w:color w:val="000000"/>
                <w:sz w:val="16"/>
                <w:szCs w:val="16"/>
                <w:lang w:val="en-US" w:eastAsia="de-DE"/>
              </w:rPr>
              <w:t>n/a</w:t>
            </w:r>
          </w:p>
        </w:tc>
        <w:tc>
          <w:tcPr>
            <w:tcW w:w="3827" w:type="dxa"/>
            <w:shd w:val="clear" w:color="auto" w:fill="auto"/>
            <w:hideMark/>
          </w:tcPr>
          <w:p w14:paraId="4B8DA6F8" w14:textId="77777777" w:rsidR="000868EB" w:rsidRPr="00081E27" w:rsidRDefault="000868EB" w:rsidP="00F50F5E">
            <w:pPr>
              <w:spacing w:before="60" w:after="60"/>
              <w:rPr>
                <w:rFonts w:cstheme="minorHAnsi"/>
                <w:noProof/>
                <w:color w:val="000000"/>
                <w:sz w:val="16"/>
                <w:szCs w:val="16"/>
                <w:lang w:val="en-US" w:eastAsia="de-DE"/>
              </w:rPr>
            </w:pPr>
            <w:r w:rsidRPr="009D2E26">
              <w:rPr>
                <w:rFonts w:cstheme="minorHAnsi"/>
                <w:noProof/>
                <w:color w:val="000000"/>
                <w:sz w:val="16"/>
                <w:szCs w:val="16"/>
                <w:lang w:val="en-US" w:eastAsia="de-DE"/>
              </w:rPr>
              <w:t>n/a</w:t>
            </w:r>
          </w:p>
        </w:tc>
      </w:tr>
      <w:tr w:rsidR="000868EB" w:rsidRPr="00E23C2F" w14:paraId="5C003073" w14:textId="77777777" w:rsidTr="00F50F5E">
        <w:tc>
          <w:tcPr>
            <w:tcW w:w="14737" w:type="dxa"/>
            <w:gridSpan w:val="3"/>
            <w:shd w:val="clear" w:color="auto" w:fill="F2F2F2"/>
          </w:tcPr>
          <w:p w14:paraId="28C9AD0A"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 available training is often (only) voluntary</w:t>
            </w:r>
          </w:p>
        </w:tc>
      </w:tr>
      <w:tr w:rsidR="000868EB" w:rsidRPr="00E23C2F" w14:paraId="01757B86" w14:textId="77777777" w:rsidTr="00F50F5E">
        <w:trPr>
          <w:trHeight w:val="41"/>
        </w:trPr>
        <w:tc>
          <w:tcPr>
            <w:tcW w:w="846" w:type="dxa"/>
            <w:shd w:val="clear" w:color="auto" w:fill="auto"/>
            <w:noWrap/>
            <w:hideMark/>
          </w:tcPr>
          <w:p w14:paraId="0E4F8120" w14:textId="77777777" w:rsidR="000868EB" w:rsidRPr="00081E27" w:rsidRDefault="000868EB" w:rsidP="00F50F5E">
            <w:pPr>
              <w:spacing w:before="60" w:after="60"/>
              <w:jc w:val="center"/>
              <w:rPr>
                <w:rFonts w:cstheme="minorHAnsi"/>
                <w:noProof/>
                <w:color w:val="000000"/>
                <w:sz w:val="16"/>
                <w:szCs w:val="16"/>
                <w:lang w:eastAsia="de-DE"/>
              </w:rPr>
            </w:pPr>
            <w:r>
              <w:rPr>
                <w:rFonts w:cstheme="minorHAnsi"/>
                <w:noProof/>
                <w:color w:val="000000"/>
                <w:sz w:val="16"/>
                <w:szCs w:val="16"/>
                <w:lang w:eastAsia="de-DE"/>
              </w:rPr>
              <w:t>29</w:t>
            </w:r>
          </w:p>
        </w:tc>
        <w:tc>
          <w:tcPr>
            <w:tcW w:w="10064" w:type="dxa"/>
            <w:shd w:val="clear" w:color="auto" w:fill="auto"/>
            <w:hideMark/>
          </w:tcPr>
          <w:p w14:paraId="1B1957D5" w14:textId="77777777" w:rsidR="000868EB" w:rsidRPr="00081E27"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New requirement for the</w:t>
            </w:r>
            <w:r w:rsidRPr="00081E27">
              <w:rPr>
                <w:rFonts w:cstheme="minorHAnsi"/>
                <w:noProof/>
                <w:color w:val="000000"/>
                <w:sz w:val="16"/>
                <w:szCs w:val="16"/>
                <w:lang w:val="en-US" w:eastAsia="de-DE"/>
              </w:rPr>
              <w:t xml:space="preserve"> MS to provide a minimum number of hours of training on cross-border law enforcement aspects for officers annually</w:t>
            </w:r>
          </w:p>
        </w:tc>
        <w:tc>
          <w:tcPr>
            <w:tcW w:w="3827" w:type="dxa"/>
            <w:shd w:val="clear" w:color="auto" w:fill="auto"/>
            <w:hideMark/>
          </w:tcPr>
          <w:p w14:paraId="364B4A7D" w14:textId="77777777" w:rsidR="000868EB" w:rsidRPr="00081E27"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Discarded, as this would not be limited to those involved in cross-border cases and would be too far-reaching in view of the problems identified.</w:t>
            </w:r>
          </w:p>
        </w:tc>
      </w:tr>
      <w:tr w:rsidR="000868EB" w:rsidRPr="00E23C2F" w14:paraId="17BE9A3F" w14:textId="77777777" w:rsidTr="00F50F5E">
        <w:trPr>
          <w:trHeight w:val="300"/>
        </w:trPr>
        <w:tc>
          <w:tcPr>
            <w:tcW w:w="846" w:type="dxa"/>
            <w:shd w:val="clear" w:color="auto" w:fill="auto"/>
            <w:noWrap/>
            <w:hideMark/>
          </w:tcPr>
          <w:p w14:paraId="13107C8E" w14:textId="77777777" w:rsidR="000868EB" w:rsidRPr="00081E27" w:rsidRDefault="000868EB" w:rsidP="00F50F5E">
            <w:pPr>
              <w:spacing w:before="60" w:after="60"/>
              <w:jc w:val="center"/>
              <w:rPr>
                <w:rFonts w:cstheme="minorHAnsi"/>
                <w:noProof/>
                <w:color w:val="000000"/>
                <w:sz w:val="16"/>
                <w:szCs w:val="16"/>
                <w:lang w:eastAsia="de-DE"/>
              </w:rPr>
            </w:pPr>
            <w:r w:rsidRPr="00081E27">
              <w:rPr>
                <w:rFonts w:cstheme="minorHAnsi"/>
                <w:noProof/>
                <w:color w:val="000000"/>
                <w:sz w:val="16"/>
                <w:szCs w:val="16"/>
                <w:lang w:eastAsia="de-DE"/>
              </w:rPr>
              <w:t>3</w:t>
            </w:r>
            <w:r>
              <w:rPr>
                <w:rFonts w:cstheme="minorHAnsi"/>
                <w:noProof/>
                <w:color w:val="000000"/>
                <w:sz w:val="16"/>
                <w:szCs w:val="16"/>
                <w:lang w:eastAsia="de-DE"/>
              </w:rPr>
              <w:t>0</w:t>
            </w:r>
          </w:p>
        </w:tc>
        <w:tc>
          <w:tcPr>
            <w:tcW w:w="10064" w:type="dxa"/>
            <w:shd w:val="clear" w:color="auto" w:fill="auto"/>
          </w:tcPr>
          <w:p w14:paraId="7A8701E4" w14:textId="77777777" w:rsidR="000868EB" w:rsidRPr="00081E27" w:rsidRDefault="000868EB" w:rsidP="00F50F5E">
            <w:pPr>
              <w:spacing w:before="60" w:after="60"/>
              <w:rPr>
                <w:rFonts w:cstheme="minorHAnsi"/>
                <w:noProof/>
                <w:color w:val="000000"/>
                <w:sz w:val="16"/>
                <w:szCs w:val="16"/>
                <w:lang w:val="en-US" w:eastAsia="de-DE"/>
              </w:rPr>
            </w:pPr>
            <w:r w:rsidRPr="00081E27">
              <w:rPr>
                <w:rFonts w:cstheme="minorHAnsi"/>
                <w:noProof/>
                <w:color w:val="000000"/>
                <w:sz w:val="16"/>
                <w:szCs w:val="16"/>
                <w:lang w:val="en-US" w:eastAsia="de-DE"/>
              </w:rPr>
              <w:t>Commission Communication encouraging the MS to establish schemes that provide (non-monetary) incentives for officers to participate in relevant training, e.g.:</w:t>
            </w:r>
            <w:r w:rsidRPr="00081E27">
              <w:rPr>
                <w:rFonts w:cstheme="minorHAnsi"/>
                <w:noProof/>
                <w:color w:val="000000"/>
                <w:sz w:val="16"/>
                <w:szCs w:val="16"/>
                <w:lang w:val="en-US" w:eastAsia="de-DE"/>
              </w:rPr>
              <w:br/>
              <w:t>• Career development;</w:t>
            </w:r>
            <w:r w:rsidRPr="00081E27">
              <w:rPr>
                <w:rFonts w:cstheme="minorHAnsi"/>
                <w:noProof/>
                <w:color w:val="000000"/>
                <w:sz w:val="16"/>
                <w:szCs w:val="16"/>
                <w:lang w:val="en-US" w:eastAsia="de-DE"/>
              </w:rPr>
              <w:br/>
              <w:t>• Gaining expertise and experience;</w:t>
            </w:r>
            <w:r w:rsidRPr="00081E27">
              <w:rPr>
                <w:rFonts w:cstheme="minorHAnsi"/>
                <w:noProof/>
                <w:color w:val="000000"/>
                <w:sz w:val="16"/>
                <w:szCs w:val="16"/>
                <w:lang w:val="en-US" w:eastAsia="de-DE"/>
              </w:rPr>
              <w:br/>
              <w:t>• Development of specialist roles;</w:t>
            </w:r>
            <w:r w:rsidRPr="00081E27">
              <w:rPr>
                <w:rFonts w:cstheme="minorHAnsi"/>
                <w:noProof/>
                <w:color w:val="000000"/>
                <w:sz w:val="16"/>
                <w:szCs w:val="16"/>
                <w:lang w:val="en-US" w:eastAsia="de-DE"/>
              </w:rPr>
              <w:br/>
              <w:t>• Professional networking and connections.</w:t>
            </w:r>
          </w:p>
        </w:tc>
        <w:tc>
          <w:tcPr>
            <w:tcW w:w="3827" w:type="dxa"/>
            <w:shd w:val="clear" w:color="auto" w:fill="auto"/>
            <w:noWrap/>
          </w:tcPr>
          <w:p w14:paraId="286076E9" w14:textId="77777777" w:rsidR="000868EB" w:rsidRPr="00081E27"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Discarded due to the expected lack of political feasibility in combination with low effectiveness</w:t>
            </w:r>
          </w:p>
        </w:tc>
      </w:tr>
      <w:tr w:rsidR="000868EB" w:rsidRPr="00E23C2F" w14:paraId="7CBA2C42" w14:textId="77777777" w:rsidTr="00F50F5E">
        <w:tc>
          <w:tcPr>
            <w:tcW w:w="14737" w:type="dxa"/>
            <w:gridSpan w:val="3"/>
            <w:shd w:val="clear" w:color="auto" w:fill="F2F2F2"/>
          </w:tcPr>
          <w:p w14:paraId="06300EF3"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No specific training is foreseen for newcomers in the International Police Cooperation departments, including in the PCCCs and the SPOCs</w:t>
            </w:r>
          </w:p>
        </w:tc>
      </w:tr>
      <w:tr w:rsidR="000868EB" w:rsidRPr="00E23C2F" w14:paraId="1583E926" w14:textId="77777777" w:rsidTr="00F50F5E">
        <w:trPr>
          <w:trHeight w:val="733"/>
        </w:trPr>
        <w:tc>
          <w:tcPr>
            <w:tcW w:w="846" w:type="dxa"/>
            <w:shd w:val="clear" w:color="auto" w:fill="auto"/>
            <w:noWrap/>
            <w:hideMark/>
          </w:tcPr>
          <w:p w14:paraId="0D40D1B9" w14:textId="77777777" w:rsidR="000868EB" w:rsidRPr="00F474D5" w:rsidRDefault="000868EB" w:rsidP="00F50F5E">
            <w:pPr>
              <w:spacing w:before="60" w:after="60"/>
              <w:jc w:val="center"/>
              <w:rPr>
                <w:rFonts w:cstheme="minorHAnsi"/>
                <w:noProof/>
                <w:color w:val="000000"/>
                <w:sz w:val="16"/>
                <w:szCs w:val="16"/>
                <w:lang w:eastAsia="de-DE"/>
              </w:rPr>
            </w:pPr>
            <w:r w:rsidRPr="00F474D5">
              <w:rPr>
                <w:rFonts w:cstheme="minorHAnsi"/>
                <w:noProof/>
                <w:color w:val="000000"/>
                <w:sz w:val="16"/>
                <w:szCs w:val="16"/>
                <w:lang w:eastAsia="de-DE"/>
              </w:rPr>
              <w:t>3</w:t>
            </w:r>
            <w:r>
              <w:rPr>
                <w:rFonts w:cstheme="minorHAnsi"/>
                <w:noProof/>
                <w:color w:val="000000"/>
                <w:sz w:val="16"/>
                <w:szCs w:val="16"/>
                <w:lang w:eastAsia="de-DE"/>
              </w:rPr>
              <w:t>4</w:t>
            </w:r>
          </w:p>
        </w:tc>
        <w:tc>
          <w:tcPr>
            <w:tcW w:w="10064" w:type="dxa"/>
            <w:shd w:val="clear" w:color="auto" w:fill="auto"/>
            <w:hideMark/>
          </w:tcPr>
          <w:p w14:paraId="0ABA4F7F" w14:textId="77777777" w:rsidR="000868EB" w:rsidRPr="00F474D5" w:rsidRDefault="000868EB" w:rsidP="00F50F5E">
            <w:pPr>
              <w:spacing w:before="60" w:after="60"/>
              <w:rPr>
                <w:rFonts w:cstheme="minorHAnsi"/>
                <w:b/>
                <w:bCs/>
                <w:noProof/>
                <w:color w:val="000000"/>
                <w:sz w:val="16"/>
                <w:szCs w:val="16"/>
                <w:lang w:val="en-US" w:eastAsia="de-DE"/>
              </w:rPr>
            </w:pPr>
            <w:r w:rsidRPr="00F474D5">
              <w:rPr>
                <w:rFonts w:cstheme="minorHAnsi"/>
                <w:b/>
                <w:bCs/>
                <w:noProof/>
                <w:color w:val="000000"/>
                <w:sz w:val="16"/>
                <w:szCs w:val="16"/>
                <w:lang w:val="en-US" w:eastAsia="de-DE"/>
              </w:rPr>
              <w:t>New provision, establishing that the MS shall systemically provide an induction on cross-border law enforcement for newcomers.</w:t>
            </w:r>
            <w:r w:rsidRPr="00F474D5">
              <w:rPr>
                <w:rFonts w:cstheme="minorHAnsi"/>
                <w:b/>
                <w:bCs/>
                <w:noProof/>
                <w:color w:val="000000"/>
                <w:sz w:val="16"/>
                <w:szCs w:val="16"/>
                <w:lang w:val="en-US" w:eastAsia="de-DE"/>
              </w:rPr>
              <w:br/>
            </w:r>
            <w:r w:rsidRPr="00F474D5">
              <w:rPr>
                <w:rFonts w:cstheme="minorHAnsi"/>
                <w:noProof/>
                <w:color w:val="000000"/>
                <w:sz w:val="16"/>
                <w:szCs w:val="16"/>
                <w:lang w:val="en-US" w:eastAsia="de-DE"/>
              </w:rPr>
              <w:t>[</w:t>
            </w:r>
            <w:r w:rsidRPr="00F474D5">
              <w:rPr>
                <w:rFonts w:cstheme="minorHAnsi"/>
                <w:i/>
                <w:iCs/>
                <w:noProof/>
                <w:color w:val="000000"/>
                <w:sz w:val="16"/>
                <w:szCs w:val="16"/>
                <w:lang w:val="en-US" w:eastAsia="de-DE"/>
              </w:rPr>
              <w:t xml:space="preserve">Good practice from </w:t>
            </w:r>
            <w:r>
              <w:rPr>
                <w:rFonts w:cstheme="minorHAnsi"/>
                <w:i/>
                <w:iCs/>
                <w:noProof/>
                <w:color w:val="000000"/>
                <w:sz w:val="16"/>
                <w:szCs w:val="16"/>
                <w:lang w:val="en-US" w:eastAsia="de-DE"/>
              </w:rPr>
              <w:t>one MS</w:t>
            </w:r>
            <w:r w:rsidRPr="00F474D5">
              <w:rPr>
                <w:rFonts w:cstheme="minorHAnsi"/>
                <w:i/>
                <w:iCs/>
                <w:noProof/>
                <w:color w:val="000000"/>
                <w:sz w:val="16"/>
                <w:szCs w:val="16"/>
                <w:lang w:val="en-US" w:eastAsia="de-DE"/>
              </w:rPr>
              <w:t>: Common training approach for all police cadets with a view to improve the implementation of existing bilateral agreements, joint curricula in professional English, bilateral cooperation and cross-border regional cooperation, two pilot trainings in border regions or joint trainings/exercises on joint patrols, cross-border surveillance or hot pursuits</w:t>
            </w:r>
            <w:r w:rsidRPr="00F474D5">
              <w:rPr>
                <w:rFonts w:cstheme="minorHAnsi"/>
                <w:noProof/>
                <w:color w:val="000000"/>
                <w:sz w:val="16"/>
                <w:szCs w:val="16"/>
                <w:lang w:val="en-US" w:eastAsia="de-DE"/>
              </w:rPr>
              <w:t>]</w:t>
            </w:r>
          </w:p>
        </w:tc>
        <w:tc>
          <w:tcPr>
            <w:tcW w:w="3827" w:type="dxa"/>
            <w:shd w:val="clear" w:color="auto" w:fill="auto"/>
            <w:hideMark/>
          </w:tcPr>
          <w:p w14:paraId="288871D6" w14:textId="77777777" w:rsidR="000868EB" w:rsidRPr="00F474D5" w:rsidRDefault="000868EB" w:rsidP="00F50F5E">
            <w:pPr>
              <w:spacing w:before="60" w:after="60"/>
              <w:rPr>
                <w:rFonts w:cstheme="minorHAnsi"/>
                <w:b/>
                <w:bCs/>
                <w:noProof/>
                <w:color w:val="000000"/>
                <w:sz w:val="16"/>
                <w:szCs w:val="16"/>
                <w:lang w:val="en-US" w:eastAsia="de-DE"/>
              </w:rPr>
            </w:pPr>
            <w:r>
              <w:rPr>
                <w:rFonts w:cstheme="minorHAnsi"/>
                <w:noProof/>
                <w:color w:val="000000"/>
                <w:sz w:val="16"/>
                <w:szCs w:val="16"/>
                <w:lang w:val="en-US" w:eastAsia="de-DE"/>
              </w:rPr>
              <w:t>Discarded, as this would not be limited to those involved in cross-border cases</w:t>
            </w:r>
            <w:r w:rsidRPr="00D436E1">
              <w:rPr>
                <w:rFonts w:cstheme="minorHAnsi"/>
                <w:noProof/>
                <w:color w:val="000000"/>
                <w:sz w:val="16"/>
                <w:szCs w:val="16"/>
                <w:lang w:val="en-US" w:eastAsia="de-DE"/>
              </w:rPr>
              <w:t>, as it covers all newcomers. Sub-option 34 is determined to respect subsidiarity, while equally addressing the problems.</w:t>
            </w:r>
          </w:p>
        </w:tc>
      </w:tr>
      <w:tr w:rsidR="000868EB" w:rsidRPr="00E23C2F" w14:paraId="4C7A8563" w14:textId="77777777" w:rsidTr="00F50F5E">
        <w:tc>
          <w:tcPr>
            <w:tcW w:w="14737" w:type="dxa"/>
            <w:gridSpan w:val="3"/>
            <w:shd w:val="clear" w:color="auto" w:fill="D5DCE4" w:themeFill="text2" w:themeFillTint="33"/>
          </w:tcPr>
          <w:p w14:paraId="00941872"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Language barriers hamper the cross-border exchange of information</w:t>
            </w:r>
          </w:p>
        </w:tc>
      </w:tr>
      <w:tr w:rsidR="000868EB" w:rsidRPr="00E23C2F" w14:paraId="49C8F0CB" w14:textId="77777777" w:rsidTr="00F50F5E">
        <w:tc>
          <w:tcPr>
            <w:tcW w:w="14737" w:type="dxa"/>
            <w:gridSpan w:val="3"/>
            <w:shd w:val="clear" w:color="auto" w:fill="F2F2F2"/>
          </w:tcPr>
          <w:p w14:paraId="135BF4BF" w14:textId="77777777" w:rsidR="000868EB" w:rsidRPr="00D436E1" w:rsidRDefault="000868EB" w:rsidP="00F50F5E">
            <w:pPr>
              <w:spacing w:before="60" w:after="60"/>
              <w:rPr>
                <w:rFonts w:cstheme="minorHAnsi"/>
                <w:noProof/>
                <w:sz w:val="16"/>
                <w:szCs w:val="16"/>
                <w:lang w:val="en-US"/>
              </w:rPr>
            </w:pPr>
            <w:r w:rsidRPr="00D436E1">
              <w:rPr>
                <w:rFonts w:cstheme="minorHAnsi"/>
                <w:noProof/>
                <w:sz w:val="16"/>
                <w:szCs w:val="16"/>
                <w:lang w:val="en-US"/>
              </w:rPr>
              <w:t>National LEA staff dealing with international matters often report information in “rusty” English</w:t>
            </w:r>
          </w:p>
        </w:tc>
      </w:tr>
      <w:tr w:rsidR="000868EB" w:rsidRPr="00E23C2F" w14:paraId="21F49F3D" w14:textId="77777777" w:rsidTr="00F50F5E">
        <w:trPr>
          <w:trHeight w:val="300"/>
        </w:trPr>
        <w:tc>
          <w:tcPr>
            <w:tcW w:w="846" w:type="dxa"/>
            <w:shd w:val="clear" w:color="auto" w:fill="auto"/>
            <w:noWrap/>
            <w:hideMark/>
          </w:tcPr>
          <w:p w14:paraId="3CCA786F" w14:textId="77777777" w:rsidR="000868EB" w:rsidRPr="00F474D5" w:rsidRDefault="000868EB" w:rsidP="00F50F5E">
            <w:pPr>
              <w:spacing w:before="60" w:after="60"/>
              <w:jc w:val="center"/>
              <w:rPr>
                <w:rFonts w:cstheme="minorHAnsi"/>
                <w:noProof/>
                <w:color w:val="000000"/>
                <w:sz w:val="16"/>
                <w:szCs w:val="16"/>
                <w:lang w:eastAsia="de-DE"/>
              </w:rPr>
            </w:pPr>
            <w:r w:rsidRPr="00F474D5">
              <w:rPr>
                <w:rFonts w:cstheme="minorHAnsi"/>
                <w:noProof/>
                <w:color w:val="000000"/>
                <w:sz w:val="16"/>
                <w:szCs w:val="16"/>
                <w:lang w:eastAsia="de-DE"/>
              </w:rPr>
              <w:t>3</w:t>
            </w:r>
            <w:r>
              <w:rPr>
                <w:rFonts w:cstheme="minorHAnsi"/>
                <w:noProof/>
                <w:color w:val="000000"/>
                <w:sz w:val="16"/>
                <w:szCs w:val="16"/>
                <w:lang w:eastAsia="de-DE"/>
              </w:rPr>
              <w:t>6</w:t>
            </w:r>
          </w:p>
        </w:tc>
        <w:tc>
          <w:tcPr>
            <w:tcW w:w="10064" w:type="dxa"/>
            <w:shd w:val="clear" w:color="auto" w:fill="auto"/>
          </w:tcPr>
          <w:p w14:paraId="3E7B0840" w14:textId="77777777" w:rsidR="000868EB" w:rsidRPr="00D436E1" w:rsidRDefault="000868EB" w:rsidP="00F50F5E">
            <w:pPr>
              <w:spacing w:before="60" w:after="60"/>
              <w:rPr>
                <w:rFonts w:cstheme="minorHAnsi"/>
                <w:noProof/>
                <w:color w:val="000000"/>
                <w:sz w:val="16"/>
                <w:szCs w:val="16"/>
                <w:lang w:val="en-US" w:eastAsia="de-DE"/>
              </w:rPr>
            </w:pPr>
            <w:r w:rsidRPr="00D436E1">
              <w:rPr>
                <w:rFonts w:cstheme="minorHAnsi"/>
                <w:noProof/>
                <w:color w:val="000000"/>
                <w:sz w:val="16"/>
                <w:szCs w:val="16"/>
                <w:lang w:val="en-US" w:eastAsia="de-DE"/>
              </w:rPr>
              <w:t xml:space="preserve">Enhanced provision of English language training addressed at law enforcement officers by CEPOL.  </w:t>
            </w:r>
          </w:p>
        </w:tc>
        <w:tc>
          <w:tcPr>
            <w:tcW w:w="3827" w:type="dxa"/>
            <w:shd w:val="clear" w:color="auto" w:fill="auto"/>
            <w:noWrap/>
          </w:tcPr>
          <w:p w14:paraId="10F8557F" w14:textId="77777777" w:rsidR="000868EB" w:rsidRPr="00F474D5"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Discarded, as this would not be limited to those involved in cross-border cases and would be too far-reaching in view of the problems identified.</w:t>
            </w:r>
          </w:p>
        </w:tc>
      </w:tr>
      <w:tr w:rsidR="000868EB" w:rsidRPr="00E23C2F" w14:paraId="1446E752" w14:textId="77777777" w:rsidTr="00F50F5E">
        <w:tc>
          <w:tcPr>
            <w:tcW w:w="14737" w:type="dxa"/>
            <w:gridSpan w:val="3"/>
            <w:shd w:val="clear" w:color="auto" w:fill="D5DCE4" w:themeFill="text2" w:themeFillTint="33"/>
          </w:tcPr>
          <w:p w14:paraId="408DA02E"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 use of use of rudimentary search tools hampers the adoption of transliteration and “fuzzy logic” search</w:t>
            </w:r>
          </w:p>
        </w:tc>
      </w:tr>
      <w:tr w:rsidR="000868EB" w:rsidRPr="00E23C2F" w14:paraId="4628C7CA" w14:textId="77777777" w:rsidTr="00F50F5E">
        <w:tc>
          <w:tcPr>
            <w:tcW w:w="14737" w:type="dxa"/>
            <w:gridSpan w:val="3"/>
            <w:shd w:val="clear" w:color="auto" w:fill="F2F2F2"/>
          </w:tcPr>
          <w:p w14:paraId="7F24E9C3"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 lack of transliteration and fuzzy logic search options in national databases prevents officers to get a full picture about the person they are looking for in the systems through a unique query. This leads to an increased workload which slows down the search process</w:t>
            </w:r>
          </w:p>
        </w:tc>
      </w:tr>
      <w:tr w:rsidR="000868EB" w:rsidRPr="00E23C2F" w14:paraId="7DE6C67D" w14:textId="77777777" w:rsidTr="00F50F5E">
        <w:trPr>
          <w:trHeight w:val="300"/>
        </w:trPr>
        <w:tc>
          <w:tcPr>
            <w:tcW w:w="846" w:type="dxa"/>
            <w:shd w:val="clear" w:color="auto" w:fill="auto"/>
            <w:noWrap/>
            <w:hideMark/>
          </w:tcPr>
          <w:p w14:paraId="2585643B" w14:textId="77777777" w:rsidR="000868EB" w:rsidRPr="00F474D5" w:rsidRDefault="000868EB" w:rsidP="00F50F5E">
            <w:pPr>
              <w:spacing w:before="60" w:after="60"/>
              <w:jc w:val="center"/>
              <w:rPr>
                <w:rFonts w:cstheme="minorHAnsi"/>
                <w:noProof/>
                <w:color w:val="000000"/>
                <w:sz w:val="16"/>
                <w:szCs w:val="16"/>
                <w:lang w:eastAsia="de-DE"/>
              </w:rPr>
            </w:pPr>
            <w:r w:rsidRPr="00F474D5">
              <w:rPr>
                <w:rFonts w:cstheme="minorHAnsi"/>
                <w:noProof/>
                <w:color w:val="000000"/>
                <w:sz w:val="16"/>
                <w:szCs w:val="16"/>
                <w:lang w:eastAsia="de-DE"/>
              </w:rPr>
              <w:t>4</w:t>
            </w:r>
            <w:r>
              <w:rPr>
                <w:rFonts w:cstheme="minorHAnsi"/>
                <w:noProof/>
                <w:color w:val="000000"/>
                <w:sz w:val="16"/>
                <w:szCs w:val="16"/>
                <w:lang w:eastAsia="de-DE"/>
              </w:rPr>
              <w:t>0</w:t>
            </w:r>
          </w:p>
        </w:tc>
        <w:tc>
          <w:tcPr>
            <w:tcW w:w="10064" w:type="dxa"/>
            <w:shd w:val="clear" w:color="auto" w:fill="auto"/>
          </w:tcPr>
          <w:p w14:paraId="0962E8BB" w14:textId="77777777" w:rsidR="000868EB" w:rsidRPr="00F474D5" w:rsidRDefault="000868EB" w:rsidP="00F50F5E">
            <w:pPr>
              <w:spacing w:before="60" w:after="60"/>
              <w:rPr>
                <w:rFonts w:cstheme="minorHAnsi"/>
                <w:noProof/>
                <w:color w:val="000000"/>
                <w:sz w:val="16"/>
                <w:szCs w:val="16"/>
                <w:lang w:val="en-US" w:eastAsia="de-DE"/>
              </w:rPr>
            </w:pPr>
            <w:r w:rsidRPr="00F474D5">
              <w:rPr>
                <w:rFonts w:cstheme="minorHAnsi"/>
                <w:noProof/>
                <w:color w:val="000000"/>
                <w:sz w:val="16"/>
                <w:szCs w:val="16"/>
                <w:lang w:val="en-US" w:eastAsia="de-DE"/>
              </w:rPr>
              <w:t>Commission Communication encouraging the MS to establish of a law enforcement algorithm in national databases / a search engine that enables displaying search results that are similar to what is being queried (proxy results)</w:t>
            </w:r>
          </w:p>
        </w:tc>
        <w:tc>
          <w:tcPr>
            <w:tcW w:w="3827" w:type="dxa"/>
            <w:shd w:val="clear" w:color="auto" w:fill="auto"/>
            <w:noWrap/>
          </w:tcPr>
          <w:p w14:paraId="3286F160" w14:textId="77777777" w:rsidR="000868EB" w:rsidRPr="00F474D5"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Discarded, as this would not be limited to cross-border cases and would be too far-reaching in view of the problems identified.</w:t>
            </w:r>
          </w:p>
        </w:tc>
      </w:tr>
      <w:tr w:rsidR="000868EB" w:rsidRPr="00E23C2F" w14:paraId="5089DB20" w14:textId="77777777" w:rsidTr="00F50F5E">
        <w:trPr>
          <w:trHeight w:val="300"/>
        </w:trPr>
        <w:tc>
          <w:tcPr>
            <w:tcW w:w="846" w:type="dxa"/>
            <w:shd w:val="clear" w:color="auto" w:fill="auto"/>
            <w:noWrap/>
            <w:hideMark/>
          </w:tcPr>
          <w:p w14:paraId="1959A8B7" w14:textId="77777777" w:rsidR="000868EB" w:rsidRPr="00F474D5" w:rsidRDefault="000868EB" w:rsidP="00F50F5E">
            <w:pPr>
              <w:spacing w:before="60" w:after="60"/>
              <w:jc w:val="center"/>
              <w:rPr>
                <w:rFonts w:cstheme="minorHAnsi"/>
                <w:noProof/>
                <w:color w:val="000000"/>
                <w:sz w:val="16"/>
                <w:szCs w:val="16"/>
                <w:lang w:eastAsia="de-DE"/>
              </w:rPr>
            </w:pPr>
            <w:r w:rsidRPr="00F474D5">
              <w:rPr>
                <w:rFonts w:cstheme="minorHAnsi"/>
                <w:noProof/>
                <w:color w:val="000000"/>
                <w:sz w:val="16"/>
                <w:szCs w:val="16"/>
                <w:lang w:eastAsia="de-DE"/>
              </w:rPr>
              <w:t>4</w:t>
            </w:r>
            <w:r>
              <w:rPr>
                <w:rFonts w:cstheme="minorHAnsi"/>
                <w:noProof/>
                <w:color w:val="000000"/>
                <w:sz w:val="16"/>
                <w:szCs w:val="16"/>
                <w:lang w:eastAsia="de-DE"/>
              </w:rPr>
              <w:t>1</w:t>
            </w:r>
          </w:p>
        </w:tc>
        <w:tc>
          <w:tcPr>
            <w:tcW w:w="10064" w:type="dxa"/>
            <w:shd w:val="clear" w:color="auto" w:fill="auto"/>
          </w:tcPr>
          <w:p w14:paraId="1FAA3F56" w14:textId="77777777" w:rsidR="000868EB" w:rsidRPr="00D436E1" w:rsidRDefault="000868EB" w:rsidP="00F50F5E">
            <w:pPr>
              <w:spacing w:before="60" w:after="60"/>
              <w:rPr>
                <w:rFonts w:cstheme="minorHAnsi"/>
                <w:b/>
                <w:bCs/>
                <w:noProof/>
                <w:color w:val="000000"/>
                <w:sz w:val="16"/>
                <w:szCs w:val="16"/>
                <w:lang w:val="en-US" w:eastAsia="de-DE"/>
              </w:rPr>
            </w:pPr>
            <w:r w:rsidRPr="00D436E1">
              <w:rPr>
                <w:rFonts w:cstheme="minorHAnsi"/>
                <w:b/>
                <w:bCs/>
                <w:noProof/>
                <w:color w:val="000000"/>
                <w:sz w:val="16"/>
                <w:szCs w:val="16"/>
                <w:lang w:val="en-US" w:eastAsia="de-DE"/>
              </w:rPr>
              <w:t>New provision, establishing that the MS shall establish of a law enforcement algorithm in national databases / a search engine that enables displaying search results that are similar to what is being queried (proxy results)</w:t>
            </w:r>
          </w:p>
        </w:tc>
        <w:tc>
          <w:tcPr>
            <w:tcW w:w="3827" w:type="dxa"/>
            <w:shd w:val="clear" w:color="auto" w:fill="auto"/>
            <w:noWrap/>
          </w:tcPr>
          <w:p w14:paraId="614C8B53" w14:textId="77777777" w:rsidR="000868EB" w:rsidRPr="00F474D5" w:rsidRDefault="000868EB" w:rsidP="00F50F5E">
            <w:pPr>
              <w:spacing w:before="60" w:after="60"/>
              <w:rPr>
                <w:rFonts w:cstheme="minorHAnsi"/>
                <w:noProof/>
                <w:color w:val="000000"/>
                <w:sz w:val="16"/>
                <w:szCs w:val="16"/>
                <w:lang w:val="en-US" w:eastAsia="de-DE"/>
              </w:rPr>
            </w:pPr>
            <w:r>
              <w:rPr>
                <w:rFonts w:cstheme="minorHAnsi"/>
                <w:noProof/>
                <w:color w:val="000000"/>
                <w:sz w:val="16"/>
                <w:szCs w:val="16"/>
                <w:lang w:val="en-US" w:eastAsia="de-DE"/>
              </w:rPr>
              <w:t>Discarded, as this would not be limited to cross-border cases and would be too far-reaching in view of the problems identified and not respect the principle of subsidiarity.</w:t>
            </w:r>
          </w:p>
        </w:tc>
      </w:tr>
      <w:tr w:rsidR="000868EB" w:rsidRPr="00E23C2F" w14:paraId="7578FBD7" w14:textId="77777777" w:rsidTr="00F50F5E">
        <w:tc>
          <w:tcPr>
            <w:tcW w:w="14737" w:type="dxa"/>
            <w:gridSpan w:val="3"/>
            <w:shd w:val="clear" w:color="auto" w:fill="D5DCE4" w:themeFill="text2" w:themeFillTint="33"/>
          </w:tcPr>
          <w:p w14:paraId="53A82AA6"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Law enforcement officers on the ground do not always use secure communication means</w:t>
            </w:r>
          </w:p>
        </w:tc>
      </w:tr>
      <w:tr w:rsidR="000868EB" w:rsidRPr="00D26448" w14:paraId="06B68237" w14:textId="77777777" w:rsidTr="00F50F5E">
        <w:tc>
          <w:tcPr>
            <w:tcW w:w="846" w:type="dxa"/>
            <w:shd w:val="clear" w:color="auto" w:fill="auto"/>
          </w:tcPr>
          <w:p w14:paraId="3D6269A2" w14:textId="77777777" w:rsidR="000868EB" w:rsidRPr="00FF7F56" w:rsidRDefault="000868EB" w:rsidP="00F50F5E">
            <w:pPr>
              <w:spacing w:before="60" w:after="60"/>
              <w:jc w:val="center"/>
              <w:rPr>
                <w:rFonts w:cstheme="minorHAnsi"/>
                <w:noProof/>
                <w:sz w:val="16"/>
                <w:szCs w:val="16"/>
                <w:lang w:val="en-US"/>
              </w:rPr>
            </w:pPr>
            <w:r w:rsidRPr="009D2E26">
              <w:rPr>
                <w:rFonts w:cstheme="minorHAnsi"/>
                <w:noProof/>
                <w:color w:val="000000"/>
                <w:sz w:val="16"/>
                <w:szCs w:val="16"/>
                <w:lang w:eastAsia="de-DE"/>
              </w:rPr>
              <w:t>n/a</w:t>
            </w:r>
          </w:p>
        </w:tc>
        <w:tc>
          <w:tcPr>
            <w:tcW w:w="10064" w:type="dxa"/>
            <w:shd w:val="clear" w:color="auto" w:fill="auto"/>
          </w:tcPr>
          <w:p w14:paraId="037B2F84" w14:textId="77777777" w:rsidR="000868EB" w:rsidRPr="00765EE4" w:rsidRDefault="000868EB" w:rsidP="00F50F5E">
            <w:pPr>
              <w:spacing w:before="60" w:after="60"/>
              <w:rPr>
                <w:rFonts w:cstheme="minorHAnsi"/>
                <w:noProof/>
                <w:color w:val="000000"/>
                <w:sz w:val="16"/>
                <w:szCs w:val="16"/>
                <w:lang w:val="en-US"/>
              </w:rPr>
            </w:pPr>
            <w:r w:rsidRPr="009D2E26">
              <w:rPr>
                <w:rFonts w:cstheme="minorHAnsi"/>
                <w:noProof/>
                <w:color w:val="000000"/>
                <w:sz w:val="16"/>
                <w:szCs w:val="16"/>
                <w:lang w:val="en-US" w:eastAsia="de-DE"/>
              </w:rPr>
              <w:t>n/a</w:t>
            </w:r>
          </w:p>
        </w:tc>
        <w:tc>
          <w:tcPr>
            <w:tcW w:w="3827" w:type="dxa"/>
            <w:shd w:val="clear" w:color="auto" w:fill="auto"/>
          </w:tcPr>
          <w:p w14:paraId="27DA8F41" w14:textId="77777777" w:rsidR="000868EB" w:rsidRPr="00FF7F56"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r>
      <w:tr w:rsidR="000868EB" w:rsidRPr="00E23C2F" w14:paraId="0DA965FB" w14:textId="77777777" w:rsidTr="00F50F5E">
        <w:tc>
          <w:tcPr>
            <w:tcW w:w="14737" w:type="dxa"/>
            <w:gridSpan w:val="3"/>
            <w:shd w:val="clear" w:color="auto" w:fill="305496"/>
          </w:tcPr>
          <w:p w14:paraId="22AE240A" w14:textId="77777777" w:rsidR="000868EB" w:rsidRPr="000E3BB8" w:rsidRDefault="000868EB" w:rsidP="00F50F5E">
            <w:pPr>
              <w:spacing w:before="60" w:after="60"/>
              <w:rPr>
                <w:rFonts w:cstheme="minorHAnsi"/>
                <w:b/>
                <w:bCs/>
                <w:noProof/>
                <w:color w:val="FFFFFF" w:themeColor="background1"/>
                <w:sz w:val="16"/>
                <w:szCs w:val="16"/>
                <w:lang w:val="en-US"/>
              </w:rPr>
            </w:pPr>
            <w:r w:rsidRPr="000E3BB8">
              <w:rPr>
                <w:rFonts w:cstheme="minorHAnsi"/>
                <w:bCs/>
                <w:noProof/>
                <w:color w:val="FFFFFF" w:themeColor="background1"/>
                <w:sz w:val="16"/>
                <w:szCs w:val="16"/>
                <w:lang w:val="en-US"/>
              </w:rPr>
              <w:t>1.3 Structural driver: National and regional information hubs set up by law enforcement authorities have different roles, means and capabilities which make their cooperation sub-optimal</w:t>
            </w:r>
          </w:p>
        </w:tc>
      </w:tr>
      <w:tr w:rsidR="000868EB" w:rsidRPr="00E23C2F" w14:paraId="1C7378D0" w14:textId="77777777" w:rsidTr="00F50F5E">
        <w:tc>
          <w:tcPr>
            <w:tcW w:w="14737" w:type="dxa"/>
            <w:gridSpan w:val="3"/>
            <w:shd w:val="clear" w:color="auto" w:fill="D5DCE4" w:themeFill="text2" w:themeFillTint="33"/>
          </w:tcPr>
          <w:p w14:paraId="36BA1990"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SPOCs/PCCCs do not always play their coordination role and lack resources to face the increasing number of requests</w:t>
            </w:r>
          </w:p>
        </w:tc>
      </w:tr>
      <w:tr w:rsidR="000868EB" w:rsidRPr="00E23C2F" w14:paraId="1F7E3C96" w14:textId="77777777" w:rsidTr="00F50F5E">
        <w:tc>
          <w:tcPr>
            <w:tcW w:w="14737" w:type="dxa"/>
            <w:gridSpan w:val="3"/>
            <w:shd w:val="clear" w:color="auto" w:fill="F2F2F2"/>
          </w:tcPr>
          <w:p w14:paraId="14EE92B1"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Existing manuals do not provide clear indications of how SPOCs shall be structured and organised.</w:t>
            </w:r>
          </w:p>
        </w:tc>
      </w:tr>
      <w:tr w:rsidR="000868EB" w:rsidRPr="00E23C2F" w14:paraId="2BBDF1BE" w14:textId="77777777" w:rsidTr="00F50F5E">
        <w:tc>
          <w:tcPr>
            <w:tcW w:w="846" w:type="dxa"/>
            <w:shd w:val="clear" w:color="auto" w:fill="auto"/>
          </w:tcPr>
          <w:p w14:paraId="48E70761" w14:textId="77777777" w:rsidR="000868EB" w:rsidRPr="00FF7F56" w:rsidRDefault="000868EB" w:rsidP="00F50F5E">
            <w:pPr>
              <w:spacing w:before="60" w:after="60"/>
              <w:jc w:val="center"/>
              <w:rPr>
                <w:rFonts w:cstheme="minorHAnsi"/>
                <w:noProof/>
                <w:sz w:val="16"/>
                <w:szCs w:val="16"/>
                <w:lang w:val="en-US"/>
              </w:rPr>
            </w:pPr>
            <w:r>
              <w:rPr>
                <w:rFonts w:cstheme="minorHAnsi"/>
                <w:noProof/>
                <w:sz w:val="16"/>
                <w:szCs w:val="16"/>
                <w:lang w:val="en-US"/>
              </w:rPr>
              <w:t>44</w:t>
            </w:r>
          </w:p>
        </w:tc>
        <w:tc>
          <w:tcPr>
            <w:tcW w:w="10064" w:type="dxa"/>
            <w:shd w:val="clear" w:color="auto" w:fill="auto"/>
          </w:tcPr>
          <w:p w14:paraId="6212F99D"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Mapping of the different types of law enforcement agencies involved in the national SPOCs (to be shared with other countries) and sharing of national good practices and concrete examples on the types of competences a SPOC should have, as well as tools concerning the establishment and efficient use of a SPOC, provided online</w:t>
            </w:r>
          </w:p>
        </w:tc>
        <w:tc>
          <w:tcPr>
            <w:tcW w:w="3827" w:type="dxa"/>
            <w:shd w:val="clear" w:color="auto" w:fill="auto"/>
          </w:tcPr>
          <w:p w14:paraId="0CFEF306" w14:textId="77777777" w:rsidR="000868EB" w:rsidRPr="00FF7F56" w:rsidRDefault="000868EB" w:rsidP="00F50F5E">
            <w:pPr>
              <w:spacing w:before="60" w:after="60"/>
              <w:rPr>
                <w:rFonts w:cstheme="minorHAnsi"/>
                <w:noProof/>
                <w:sz w:val="16"/>
                <w:szCs w:val="16"/>
                <w:lang w:val="en-US"/>
              </w:rPr>
            </w:pPr>
            <w:r w:rsidRPr="005E6EF5">
              <w:rPr>
                <w:rFonts w:cstheme="minorHAnsi"/>
                <w:noProof/>
                <w:color w:val="000000"/>
                <w:sz w:val="16"/>
                <w:szCs w:val="16"/>
                <w:lang w:val="en-US" w:eastAsia="de-DE"/>
              </w:rPr>
              <w:t xml:space="preserve">Discarded due to inadequate expected effectiveness. </w:t>
            </w:r>
            <w:r>
              <w:rPr>
                <w:rFonts w:cstheme="minorHAnsi"/>
                <w:noProof/>
                <w:color w:val="000000"/>
                <w:sz w:val="16"/>
                <w:szCs w:val="16"/>
                <w:lang w:val="en-US" w:eastAsia="de-DE"/>
              </w:rPr>
              <w:t>This sub-option would not adequately solve the identified problems</w:t>
            </w:r>
          </w:p>
        </w:tc>
      </w:tr>
      <w:tr w:rsidR="000868EB" w:rsidRPr="00D26448" w14:paraId="4BFC1FFC" w14:textId="77777777" w:rsidTr="00F50F5E">
        <w:tc>
          <w:tcPr>
            <w:tcW w:w="846" w:type="dxa"/>
            <w:shd w:val="clear" w:color="auto" w:fill="auto"/>
          </w:tcPr>
          <w:p w14:paraId="30EFC138" w14:textId="77777777" w:rsidR="000868EB" w:rsidRPr="00FF7F56" w:rsidRDefault="000868EB" w:rsidP="00F50F5E">
            <w:pPr>
              <w:spacing w:before="60" w:after="60"/>
              <w:jc w:val="center"/>
              <w:rPr>
                <w:rFonts w:cstheme="minorHAnsi"/>
                <w:noProof/>
                <w:sz w:val="16"/>
                <w:szCs w:val="16"/>
                <w:lang w:val="en-US"/>
              </w:rPr>
            </w:pPr>
            <w:r w:rsidRPr="009D2E26">
              <w:rPr>
                <w:rFonts w:cstheme="minorHAnsi"/>
                <w:noProof/>
                <w:color w:val="000000"/>
                <w:sz w:val="16"/>
                <w:szCs w:val="16"/>
                <w:lang w:eastAsia="de-DE"/>
              </w:rPr>
              <w:t>n/a</w:t>
            </w:r>
          </w:p>
        </w:tc>
        <w:tc>
          <w:tcPr>
            <w:tcW w:w="10064" w:type="dxa"/>
            <w:shd w:val="clear" w:color="auto" w:fill="auto"/>
          </w:tcPr>
          <w:p w14:paraId="78D447D9" w14:textId="77777777" w:rsidR="000868EB" w:rsidRPr="00765EE4"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c>
          <w:tcPr>
            <w:tcW w:w="3827" w:type="dxa"/>
            <w:shd w:val="clear" w:color="auto" w:fill="auto"/>
          </w:tcPr>
          <w:p w14:paraId="02D54D1E" w14:textId="77777777" w:rsidR="000868EB" w:rsidRPr="00FF7F56"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r>
      <w:tr w:rsidR="000868EB" w:rsidRPr="00E23C2F" w14:paraId="6DA9B2DE" w14:textId="77777777" w:rsidTr="00F50F5E">
        <w:tc>
          <w:tcPr>
            <w:tcW w:w="14737" w:type="dxa"/>
            <w:gridSpan w:val="3"/>
            <w:shd w:val="clear" w:color="auto" w:fill="F2F2F2"/>
          </w:tcPr>
          <w:p w14:paraId="2263E735"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 functioning of the SPOCs, e.g. to promptly respond to the information requests received, is limited</w:t>
            </w:r>
          </w:p>
        </w:tc>
      </w:tr>
      <w:tr w:rsidR="000868EB" w:rsidRPr="00D26448" w14:paraId="5067DD51" w14:textId="77777777" w:rsidTr="00F50F5E">
        <w:tc>
          <w:tcPr>
            <w:tcW w:w="846" w:type="dxa"/>
            <w:shd w:val="clear" w:color="auto" w:fill="auto"/>
          </w:tcPr>
          <w:p w14:paraId="223FEDF4" w14:textId="77777777" w:rsidR="000868EB" w:rsidRPr="00FF7F56" w:rsidRDefault="000868EB" w:rsidP="00F50F5E">
            <w:pPr>
              <w:spacing w:before="60" w:after="60"/>
              <w:jc w:val="center"/>
              <w:rPr>
                <w:rFonts w:cstheme="minorHAnsi"/>
                <w:noProof/>
                <w:sz w:val="16"/>
                <w:szCs w:val="16"/>
                <w:lang w:val="en-US"/>
              </w:rPr>
            </w:pPr>
            <w:r w:rsidRPr="009D2E26">
              <w:rPr>
                <w:rFonts w:cstheme="minorHAnsi"/>
                <w:noProof/>
                <w:color w:val="000000"/>
                <w:sz w:val="16"/>
                <w:szCs w:val="16"/>
                <w:lang w:eastAsia="de-DE"/>
              </w:rPr>
              <w:t>n/a</w:t>
            </w:r>
          </w:p>
        </w:tc>
        <w:tc>
          <w:tcPr>
            <w:tcW w:w="10064" w:type="dxa"/>
            <w:shd w:val="clear" w:color="auto" w:fill="auto"/>
          </w:tcPr>
          <w:p w14:paraId="0998747F" w14:textId="77777777" w:rsidR="000868EB" w:rsidRPr="00765EE4"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c>
          <w:tcPr>
            <w:tcW w:w="3827" w:type="dxa"/>
            <w:shd w:val="clear" w:color="auto" w:fill="auto"/>
          </w:tcPr>
          <w:p w14:paraId="38B9F139" w14:textId="77777777" w:rsidR="000868EB" w:rsidRPr="00FF7F56"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r>
      <w:tr w:rsidR="000868EB" w:rsidRPr="00E23C2F" w14:paraId="59F5E151" w14:textId="77777777" w:rsidTr="00F50F5E">
        <w:tc>
          <w:tcPr>
            <w:tcW w:w="14737" w:type="dxa"/>
            <w:gridSpan w:val="3"/>
            <w:shd w:val="clear" w:color="auto" w:fill="D5DCE4" w:themeFill="text2" w:themeFillTint="33"/>
          </w:tcPr>
          <w:p w14:paraId="3BA23C73"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SPOCs/PCCCs are not always equipped with the necessary information management tools (e.g. a case management system with common dashboard and automatic/semi-automatic data upload and cross-check)</w:t>
            </w:r>
          </w:p>
        </w:tc>
      </w:tr>
      <w:tr w:rsidR="000868EB" w:rsidRPr="00E23C2F" w14:paraId="313CB05E" w14:textId="77777777" w:rsidTr="00F50F5E">
        <w:tc>
          <w:tcPr>
            <w:tcW w:w="14737" w:type="dxa"/>
            <w:gridSpan w:val="3"/>
            <w:shd w:val="clear" w:color="auto" w:fill="F2F2F2"/>
          </w:tcPr>
          <w:p w14:paraId="48D1BC96"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Lack of interconnectivity between the PCCC and SPOC information systems</w:t>
            </w:r>
          </w:p>
        </w:tc>
      </w:tr>
      <w:tr w:rsidR="000868EB" w:rsidRPr="00D26448" w14:paraId="6EE97E71" w14:textId="77777777" w:rsidTr="00F50F5E">
        <w:tc>
          <w:tcPr>
            <w:tcW w:w="846" w:type="dxa"/>
            <w:shd w:val="clear" w:color="auto" w:fill="auto"/>
          </w:tcPr>
          <w:p w14:paraId="0046D2E1" w14:textId="77777777" w:rsidR="000868EB" w:rsidRPr="00FF7F56" w:rsidRDefault="000868EB" w:rsidP="00F50F5E">
            <w:pPr>
              <w:spacing w:before="60" w:after="60"/>
              <w:jc w:val="center"/>
              <w:rPr>
                <w:rFonts w:cstheme="minorHAnsi"/>
                <w:noProof/>
                <w:sz w:val="16"/>
                <w:szCs w:val="16"/>
                <w:lang w:val="en-US"/>
              </w:rPr>
            </w:pPr>
            <w:r w:rsidRPr="009D2E26">
              <w:rPr>
                <w:rFonts w:cstheme="minorHAnsi"/>
                <w:noProof/>
                <w:color w:val="000000"/>
                <w:sz w:val="16"/>
                <w:szCs w:val="16"/>
                <w:lang w:eastAsia="de-DE"/>
              </w:rPr>
              <w:t>n/a</w:t>
            </w:r>
          </w:p>
        </w:tc>
        <w:tc>
          <w:tcPr>
            <w:tcW w:w="10064" w:type="dxa"/>
            <w:shd w:val="clear" w:color="auto" w:fill="auto"/>
          </w:tcPr>
          <w:p w14:paraId="3814B537" w14:textId="77777777" w:rsidR="000868EB" w:rsidRPr="00765EE4"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c>
          <w:tcPr>
            <w:tcW w:w="3827" w:type="dxa"/>
            <w:shd w:val="clear" w:color="auto" w:fill="auto"/>
          </w:tcPr>
          <w:p w14:paraId="0D78D0A8" w14:textId="77777777" w:rsidR="000868EB" w:rsidRPr="00FF7F56"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r>
      <w:tr w:rsidR="000868EB" w:rsidRPr="00E23C2F" w14:paraId="5D54CC9B" w14:textId="77777777" w:rsidTr="00F50F5E">
        <w:tc>
          <w:tcPr>
            <w:tcW w:w="14737" w:type="dxa"/>
            <w:gridSpan w:val="3"/>
            <w:shd w:val="clear" w:color="auto" w:fill="F2F2F2"/>
          </w:tcPr>
          <w:p w14:paraId="0EA4A4D9"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Lack of an efficient case management system</w:t>
            </w:r>
          </w:p>
        </w:tc>
      </w:tr>
      <w:tr w:rsidR="000868EB" w:rsidRPr="00D26448" w14:paraId="24A641AC" w14:textId="77777777" w:rsidTr="00F50F5E">
        <w:tc>
          <w:tcPr>
            <w:tcW w:w="846" w:type="dxa"/>
            <w:shd w:val="clear" w:color="auto" w:fill="auto"/>
          </w:tcPr>
          <w:p w14:paraId="193A43DB" w14:textId="77777777" w:rsidR="000868EB" w:rsidRPr="00FF7F56" w:rsidRDefault="000868EB" w:rsidP="00F50F5E">
            <w:pPr>
              <w:spacing w:before="60" w:after="60"/>
              <w:jc w:val="center"/>
              <w:rPr>
                <w:rFonts w:cstheme="minorHAnsi"/>
                <w:noProof/>
                <w:sz w:val="16"/>
                <w:szCs w:val="16"/>
                <w:lang w:val="en-US"/>
              </w:rPr>
            </w:pPr>
            <w:r w:rsidRPr="009D2E26">
              <w:rPr>
                <w:rFonts w:cstheme="minorHAnsi"/>
                <w:noProof/>
                <w:color w:val="000000"/>
                <w:sz w:val="16"/>
                <w:szCs w:val="16"/>
                <w:lang w:eastAsia="de-DE"/>
              </w:rPr>
              <w:t>n/a</w:t>
            </w:r>
          </w:p>
        </w:tc>
        <w:tc>
          <w:tcPr>
            <w:tcW w:w="10064" w:type="dxa"/>
            <w:shd w:val="clear" w:color="auto" w:fill="auto"/>
          </w:tcPr>
          <w:p w14:paraId="6B49F176" w14:textId="77777777" w:rsidR="000868EB" w:rsidRPr="00765EE4"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c>
          <w:tcPr>
            <w:tcW w:w="3827" w:type="dxa"/>
            <w:shd w:val="clear" w:color="auto" w:fill="auto"/>
          </w:tcPr>
          <w:p w14:paraId="0EC131F5" w14:textId="77777777" w:rsidR="000868EB" w:rsidRPr="00FF7F56"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r>
      <w:tr w:rsidR="000868EB" w:rsidRPr="00E23C2F" w14:paraId="34792C94" w14:textId="77777777" w:rsidTr="00F50F5E">
        <w:tc>
          <w:tcPr>
            <w:tcW w:w="14737" w:type="dxa"/>
            <w:gridSpan w:val="3"/>
            <w:shd w:val="clear" w:color="auto" w:fill="F2F2F2"/>
          </w:tcPr>
          <w:p w14:paraId="193229C5"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National law enforcement databases are not connected with each other (e.g. due to technical interoperability)</w:t>
            </w:r>
          </w:p>
        </w:tc>
      </w:tr>
      <w:tr w:rsidR="000868EB" w:rsidRPr="00E23C2F" w14:paraId="77858D09" w14:textId="77777777" w:rsidTr="00F50F5E">
        <w:tc>
          <w:tcPr>
            <w:tcW w:w="846" w:type="dxa"/>
            <w:shd w:val="clear" w:color="auto" w:fill="auto"/>
          </w:tcPr>
          <w:p w14:paraId="27B00495" w14:textId="77777777" w:rsidR="000868EB" w:rsidRDefault="000868EB" w:rsidP="00F50F5E">
            <w:pPr>
              <w:spacing w:before="60" w:after="60"/>
              <w:jc w:val="center"/>
              <w:rPr>
                <w:rFonts w:cstheme="minorHAnsi"/>
                <w:noProof/>
                <w:sz w:val="16"/>
                <w:szCs w:val="16"/>
                <w:lang w:val="en-US"/>
              </w:rPr>
            </w:pPr>
            <w:r>
              <w:rPr>
                <w:rFonts w:cstheme="minorHAnsi"/>
                <w:noProof/>
                <w:sz w:val="16"/>
                <w:szCs w:val="16"/>
                <w:lang w:val="en-US"/>
              </w:rPr>
              <w:t>51</w:t>
            </w:r>
          </w:p>
          <w:p w14:paraId="26AC814D" w14:textId="77777777" w:rsidR="000868EB" w:rsidRPr="00FF7F56" w:rsidRDefault="000868EB" w:rsidP="00F50F5E">
            <w:pPr>
              <w:spacing w:before="60" w:after="60"/>
              <w:rPr>
                <w:rFonts w:cstheme="minorHAnsi"/>
                <w:noProof/>
                <w:sz w:val="16"/>
                <w:szCs w:val="16"/>
                <w:lang w:val="en-US"/>
              </w:rPr>
            </w:pPr>
          </w:p>
        </w:tc>
        <w:tc>
          <w:tcPr>
            <w:tcW w:w="10064" w:type="dxa"/>
            <w:shd w:val="clear" w:color="auto" w:fill="auto"/>
          </w:tcPr>
          <w:p w14:paraId="42E93127"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Commission Communication encouraging the MS to interconnect national law enforcement databases</w:t>
            </w:r>
          </w:p>
        </w:tc>
        <w:tc>
          <w:tcPr>
            <w:tcW w:w="3827" w:type="dxa"/>
          </w:tcPr>
          <w:p w14:paraId="070F7844" w14:textId="77777777" w:rsidR="000868EB" w:rsidRPr="00FF7F56" w:rsidRDefault="000868EB" w:rsidP="00F50F5E">
            <w:pPr>
              <w:spacing w:before="60" w:after="60"/>
              <w:rPr>
                <w:rFonts w:cstheme="minorHAnsi"/>
                <w:noProof/>
                <w:sz w:val="16"/>
                <w:szCs w:val="16"/>
                <w:lang w:val="en-US"/>
              </w:rPr>
            </w:pPr>
            <w:r>
              <w:rPr>
                <w:rFonts w:cstheme="minorHAnsi"/>
                <w:noProof/>
                <w:color w:val="000000"/>
                <w:sz w:val="16"/>
                <w:szCs w:val="16"/>
                <w:lang w:val="en-US" w:eastAsia="de-DE"/>
              </w:rPr>
              <w:t>Discarded, as this would not be limited to cross-border cases and would be too far-reaching in view of the problems identified and not respect the principle of subsidiarity.</w:t>
            </w:r>
          </w:p>
        </w:tc>
      </w:tr>
      <w:tr w:rsidR="000868EB" w:rsidRPr="00E23C2F" w14:paraId="32861477" w14:textId="77777777" w:rsidTr="00F50F5E">
        <w:tc>
          <w:tcPr>
            <w:tcW w:w="14737" w:type="dxa"/>
            <w:gridSpan w:val="3"/>
            <w:shd w:val="clear" w:color="auto" w:fill="D5DCE4" w:themeFill="text2" w:themeFillTint="33"/>
          </w:tcPr>
          <w:p w14:paraId="59808549"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Information from (i) different units within the SPOCs and (ii) from the PCCCs (and equivalent structures at the border area) is not always integrated in the SPOC information management system</w:t>
            </w:r>
          </w:p>
        </w:tc>
      </w:tr>
      <w:tr w:rsidR="000868EB" w:rsidRPr="00E23C2F" w14:paraId="17A8E62C" w14:textId="77777777" w:rsidTr="00F50F5E">
        <w:trPr>
          <w:trHeight w:val="90"/>
        </w:trPr>
        <w:tc>
          <w:tcPr>
            <w:tcW w:w="14737" w:type="dxa"/>
            <w:gridSpan w:val="3"/>
            <w:shd w:val="clear" w:color="auto" w:fill="F2F2F2"/>
          </w:tcPr>
          <w:p w14:paraId="5CCBF5FE"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Information from (i) different units within the SPOCs and (ii) from the PCCCs (and equivalent structures at the border area) is not always integrated in the SPOC information management system</w:t>
            </w:r>
          </w:p>
        </w:tc>
      </w:tr>
      <w:tr w:rsidR="000868EB" w:rsidRPr="00D26448" w14:paraId="5C7D6605" w14:textId="77777777" w:rsidTr="00F50F5E">
        <w:tc>
          <w:tcPr>
            <w:tcW w:w="846" w:type="dxa"/>
            <w:shd w:val="clear" w:color="auto" w:fill="auto"/>
          </w:tcPr>
          <w:p w14:paraId="4592D1BE" w14:textId="77777777" w:rsidR="000868EB" w:rsidRPr="00FF7F56" w:rsidRDefault="000868EB" w:rsidP="00F50F5E">
            <w:pPr>
              <w:spacing w:before="60" w:after="60"/>
              <w:jc w:val="center"/>
              <w:rPr>
                <w:rFonts w:cstheme="minorHAnsi"/>
                <w:noProof/>
                <w:sz w:val="16"/>
                <w:szCs w:val="16"/>
                <w:lang w:val="en-US"/>
              </w:rPr>
            </w:pPr>
            <w:r w:rsidRPr="009D2E26">
              <w:rPr>
                <w:rFonts w:cstheme="minorHAnsi"/>
                <w:noProof/>
                <w:color w:val="000000"/>
                <w:sz w:val="16"/>
                <w:szCs w:val="16"/>
                <w:lang w:eastAsia="de-DE"/>
              </w:rPr>
              <w:t>n/a</w:t>
            </w:r>
          </w:p>
        </w:tc>
        <w:tc>
          <w:tcPr>
            <w:tcW w:w="10064" w:type="dxa"/>
            <w:shd w:val="clear" w:color="auto" w:fill="auto"/>
          </w:tcPr>
          <w:p w14:paraId="2C8542DC" w14:textId="77777777" w:rsidR="000868EB" w:rsidRPr="00765EE4"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c>
          <w:tcPr>
            <w:tcW w:w="3827" w:type="dxa"/>
            <w:shd w:val="clear" w:color="auto" w:fill="auto"/>
          </w:tcPr>
          <w:p w14:paraId="0F62CDCA" w14:textId="77777777" w:rsidR="000868EB" w:rsidRPr="00FF7F56" w:rsidRDefault="000868EB" w:rsidP="00F50F5E">
            <w:pPr>
              <w:spacing w:before="60" w:after="60"/>
              <w:rPr>
                <w:rFonts w:cstheme="minorHAnsi"/>
                <w:noProof/>
                <w:sz w:val="16"/>
                <w:szCs w:val="16"/>
                <w:lang w:val="en-US"/>
              </w:rPr>
            </w:pPr>
            <w:r w:rsidRPr="009D2E26">
              <w:rPr>
                <w:rFonts w:cstheme="minorHAnsi"/>
                <w:noProof/>
                <w:color w:val="000000"/>
                <w:sz w:val="16"/>
                <w:szCs w:val="16"/>
                <w:lang w:val="en-US" w:eastAsia="de-DE"/>
              </w:rPr>
              <w:t>n/a</w:t>
            </w:r>
          </w:p>
        </w:tc>
      </w:tr>
      <w:tr w:rsidR="000868EB" w:rsidRPr="00E23C2F" w14:paraId="411103E2" w14:textId="77777777" w:rsidTr="00F50F5E">
        <w:tc>
          <w:tcPr>
            <w:tcW w:w="14737" w:type="dxa"/>
            <w:gridSpan w:val="3"/>
            <w:shd w:val="clear" w:color="auto" w:fill="D5DCE4" w:themeFill="text2" w:themeFillTint="33"/>
          </w:tcPr>
          <w:p w14:paraId="51BFAB07"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Direct and user-friendly access to all relevant EU and international databases and platforms is not the norm in the SPOCs and the PCCCs</w:t>
            </w:r>
          </w:p>
        </w:tc>
      </w:tr>
      <w:tr w:rsidR="000868EB" w:rsidRPr="00E23C2F" w14:paraId="4DC8DB01" w14:textId="77777777" w:rsidTr="00F50F5E">
        <w:tc>
          <w:tcPr>
            <w:tcW w:w="14737" w:type="dxa"/>
            <w:gridSpan w:val="3"/>
            <w:shd w:val="clear" w:color="auto" w:fill="F2F2F2"/>
          </w:tcPr>
          <w:p w14:paraId="44CED4DC"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SPOCS and PCCCs lack access to all relevant EU and international databases and platforms</w:t>
            </w:r>
          </w:p>
        </w:tc>
      </w:tr>
      <w:tr w:rsidR="000868EB" w:rsidRPr="00E23C2F" w14:paraId="21272BBB" w14:textId="77777777" w:rsidTr="00F50F5E">
        <w:tc>
          <w:tcPr>
            <w:tcW w:w="846" w:type="dxa"/>
          </w:tcPr>
          <w:p w14:paraId="2D86A276" w14:textId="77777777" w:rsidR="000868EB" w:rsidRPr="00FF7F56" w:rsidRDefault="000868EB" w:rsidP="00F50F5E">
            <w:pPr>
              <w:spacing w:before="60" w:after="60"/>
              <w:rPr>
                <w:rFonts w:cstheme="minorHAnsi"/>
                <w:noProof/>
                <w:sz w:val="16"/>
                <w:szCs w:val="16"/>
                <w:lang w:val="en-US"/>
              </w:rPr>
            </w:pPr>
          </w:p>
        </w:tc>
        <w:tc>
          <w:tcPr>
            <w:tcW w:w="10064" w:type="dxa"/>
          </w:tcPr>
          <w:p w14:paraId="21134E54"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[Covered above in sub-options 4</w:t>
            </w:r>
            <w:r>
              <w:rPr>
                <w:rFonts w:cstheme="minorHAnsi"/>
                <w:noProof/>
                <w:sz w:val="16"/>
                <w:szCs w:val="16"/>
                <w:lang w:val="en-US"/>
              </w:rPr>
              <w:t>3</w:t>
            </w:r>
            <w:r w:rsidRPr="00765EE4">
              <w:rPr>
                <w:rFonts w:cstheme="minorHAnsi"/>
                <w:noProof/>
                <w:sz w:val="16"/>
                <w:szCs w:val="16"/>
                <w:lang w:val="en-US"/>
              </w:rPr>
              <w:t xml:space="preserve"> and 4</w:t>
            </w:r>
            <w:r>
              <w:rPr>
                <w:rFonts w:cstheme="minorHAnsi"/>
                <w:noProof/>
                <w:sz w:val="16"/>
                <w:szCs w:val="16"/>
                <w:lang w:val="en-US"/>
              </w:rPr>
              <w:t>4</w:t>
            </w:r>
            <w:r w:rsidRPr="00765EE4">
              <w:rPr>
                <w:rFonts w:cstheme="minorHAnsi"/>
                <w:noProof/>
                <w:sz w:val="16"/>
                <w:szCs w:val="16"/>
                <w:lang w:val="en-US"/>
              </w:rPr>
              <w:t>]</w:t>
            </w:r>
          </w:p>
        </w:tc>
        <w:tc>
          <w:tcPr>
            <w:tcW w:w="3827" w:type="dxa"/>
          </w:tcPr>
          <w:p w14:paraId="7CB0AE99" w14:textId="77777777" w:rsidR="000868EB" w:rsidRPr="00FF7F56" w:rsidRDefault="000868EB" w:rsidP="00F50F5E">
            <w:pPr>
              <w:spacing w:before="60" w:after="60"/>
              <w:rPr>
                <w:rFonts w:cstheme="minorHAnsi"/>
                <w:noProof/>
                <w:sz w:val="16"/>
                <w:szCs w:val="16"/>
                <w:lang w:val="en-US"/>
              </w:rPr>
            </w:pPr>
          </w:p>
        </w:tc>
      </w:tr>
      <w:tr w:rsidR="000868EB" w:rsidRPr="00E23C2F" w14:paraId="0C1CC2FA" w14:textId="77777777" w:rsidTr="00F50F5E">
        <w:tc>
          <w:tcPr>
            <w:tcW w:w="14737" w:type="dxa"/>
            <w:gridSpan w:val="3"/>
            <w:shd w:val="clear" w:color="auto" w:fill="D5DCE4" w:themeFill="text2" w:themeFillTint="33"/>
          </w:tcPr>
          <w:p w14:paraId="76C55A0E"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The specific national stakeholders entitled to access and use EU and international databases and platforms vary between the Member States</w:t>
            </w:r>
          </w:p>
        </w:tc>
      </w:tr>
      <w:tr w:rsidR="000868EB" w:rsidRPr="00E23C2F" w14:paraId="6833E21C" w14:textId="77777777" w:rsidTr="00F50F5E">
        <w:tc>
          <w:tcPr>
            <w:tcW w:w="14737" w:type="dxa"/>
            <w:gridSpan w:val="3"/>
            <w:shd w:val="clear" w:color="auto" w:fill="F2F2F2"/>
          </w:tcPr>
          <w:p w14:paraId="467095E9"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In some countries regional and local law enforcement authorities (especially customs) cannot access EIS, SIS, SIENA, VIS, Interpol’s databases and other international law enforcement information exchange channels directly, due to its centralised access rights on national level</w:t>
            </w:r>
          </w:p>
        </w:tc>
      </w:tr>
      <w:tr w:rsidR="000868EB" w:rsidRPr="00E23C2F" w14:paraId="7741B153" w14:textId="77777777" w:rsidTr="00F50F5E">
        <w:tc>
          <w:tcPr>
            <w:tcW w:w="846" w:type="dxa"/>
            <w:shd w:val="clear" w:color="auto" w:fill="auto"/>
          </w:tcPr>
          <w:p w14:paraId="29763D8A" w14:textId="77777777" w:rsidR="000868EB" w:rsidRPr="00FF7F56" w:rsidRDefault="000868EB" w:rsidP="00F50F5E">
            <w:pPr>
              <w:spacing w:before="60" w:after="60"/>
              <w:jc w:val="center"/>
              <w:rPr>
                <w:rFonts w:cstheme="minorHAnsi"/>
                <w:noProof/>
                <w:sz w:val="16"/>
                <w:szCs w:val="16"/>
                <w:lang w:val="en-US"/>
              </w:rPr>
            </w:pPr>
            <w:r>
              <w:rPr>
                <w:rFonts w:cstheme="minorHAnsi"/>
                <w:noProof/>
                <w:sz w:val="16"/>
                <w:szCs w:val="16"/>
                <w:lang w:val="en-US"/>
              </w:rPr>
              <w:t>54</w:t>
            </w:r>
          </w:p>
        </w:tc>
        <w:tc>
          <w:tcPr>
            <w:tcW w:w="10064" w:type="dxa"/>
            <w:shd w:val="clear" w:color="auto" w:fill="auto"/>
          </w:tcPr>
          <w:p w14:paraId="3823AA27" w14:textId="77777777" w:rsidR="000868EB" w:rsidRPr="00765EE4" w:rsidRDefault="000868EB" w:rsidP="00F50F5E">
            <w:pPr>
              <w:spacing w:before="60" w:after="60"/>
              <w:rPr>
                <w:rFonts w:cstheme="minorHAnsi"/>
                <w:noProof/>
                <w:sz w:val="16"/>
                <w:szCs w:val="16"/>
                <w:lang w:val="en-US"/>
              </w:rPr>
            </w:pPr>
            <w:r w:rsidRPr="00765EE4">
              <w:rPr>
                <w:rFonts w:cstheme="minorHAnsi"/>
                <w:noProof/>
                <w:sz w:val="16"/>
                <w:szCs w:val="16"/>
                <w:lang w:val="en-US"/>
              </w:rPr>
              <w:t>Commission Communication encouraging the MS to ensure that also regional and local law enforcement authorities, including customs, have access to EIS, SIS, SIENA, VIS and Interpol's databases</w:t>
            </w:r>
          </w:p>
        </w:tc>
        <w:tc>
          <w:tcPr>
            <w:tcW w:w="3827" w:type="dxa"/>
          </w:tcPr>
          <w:p w14:paraId="4B437DE6" w14:textId="77777777" w:rsidR="000868EB" w:rsidRPr="00FF7F56" w:rsidRDefault="000868EB" w:rsidP="00F50F5E">
            <w:pPr>
              <w:spacing w:before="60" w:after="60"/>
              <w:rPr>
                <w:rFonts w:cstheme="minorHAnsi"/>
                <w:noProof/>
                <w:sz w:val="16"/>
                <w:szCs w:val="16"/>
                <w:lang w:val="en-US"/>
              </w:rPr>
            </w:pPr>
            <w:r w:rsidRPr="005E6EF5">
              <w:rPr>
                <w:rFonts w:cstheme="minorHAnsi"/>
                <w:noProof/>
                <w:color w:val="000000"/>
                <w:sz w:val="16"/>
                <w:szCs w:val="16"/>
                <w:lang w:val="en-US" w:eastAsia="de-DE"/>
              </w:rPr>
              <w:t xml:space="preserve">Discarded due to inadequate expected </w:t>
            </w:r>
            <w:r>
              <w:rPr>
                <w:rFonts w:cstheme="minorHAnsi"/>
                <w:noProof/>
                <w:color w:val="000000"/>
                <w:sz w:val="16"/>
                <w:szCs w:val="16"/>
                <w:lang w:val="en-US" w:eastAsia="de-DE"/>
              </w:rPr>
              <w:t>efficiency and political feasibility to be adequately implemented voluntarily by the Member States</w:t>
            </w:r>
            <w:r w:rsidRPr="005E6EF5">
              <w:rPr>
                <w:rFonts w:cstheme="minorHAnsi"/>
                <w:noProof/>
                <w:color w:val="000000"/>
                <w:sz w:val="16"/>
                <w:szCs w:val="16"/>
                <w:lang w:val="en-US" w:eastAsia="de-DE"/>
              </w:rPr>
              <w:t>.</w:t>
            </w:r>
          </w:p>
        </w:tc>
      </w:tr>
    </w:tbl>
    <w:p w14:paraId="2E3CB603" w14:textId="77777777" w:rsidR="00A84FC7" w:rsidRDefault="00A84FC7" w:rsidP="000868EB">
      <w:pPr>
        <w:pStyle w:val="Text1"/>
        <w:ind w:left="0"/>
        <w:rPr>
          <w:noProof/>
        </w:rPr>
      </w:pPr>
    </w:p>
    <w:p w14:paraId="6A1F6A7A" w14:textId="77777777" w:rsidR="000868EB" w:rsidRDefault="000868EB">
      <w:pPr>
        <w:pStyle w:val="Text1"/>
        <w:ind w:left="0"/>
        <w:rPr>
          <w:noProof/>
        </w:rPr>
        <w:sectPr w:rsidR="000868EB" w:rsidSect="000868EB">
          <w:headerReference w:type="even" r:id="rId69"/>
          <w:headerReference w:type="default" r:id="rId70"/>
          <w:footerReference w:type="even" r:id="rId71"/>
          <w:footerReference w:type="default" r:id="rId72"/>
          <w:headerReference w:type="first" r:id="rId73"/>
          <w:footerReference w:type="first" r:id="rId74"/>
          <w:pgSz w:w="16838" w:h="11906" w:orient="landscape"/>
          <w:pgMar w:top="1134" w:right="1134" w:bottom="1134" w:left="1134" w:header="709" w:footer="709" w:gutter="0"/>
          <w:cols w:space="720"/>
          <w:titlePg/>
          <w:docGrid w:linePitch="272"/>
        </w:sectPr>
      </w:pPr>
    </w:p>
    <w:p w14:paraId="1BCAAE32" w14:textId="47FB4671" w:rsidR="00A84FC7" w:rsidRDefault="00A84FC7" w:rsidP="00A84FC7">
      <w:pPr>
        <w:pStyle w:val="Body"/>
        <w:jc w:val="center"/>
        <w:rPr>
          <w:i/>
          <w:noProof/>
          <w:color w:val="7F7F7F" w:themeColor="text1" w:themeTint="80"/>
          <w:sz w:val="18"/>
          <w:szCs w:val="18"/>
        </w:rPr>
      </w:pPr>
    </w:p>
    <w:p w14:paraId="4989811D" w14:textId="77777777" w:rsidR="00DD1431" w:rsidRDefault="00DD1431" w:rsidP="00A84FC7">
      <w:pPr>
        <w:pStyle w:val="Body"/>
        <w:jc w:val="center"/>
        <w:rPr>
          <w:noProof/>
          <w:lang w:val="en-US"/>
        </w:rPr>
      </w:pPr>
    </w:p>
    <w:p w14:paraId="3B2B2448" w14:textId="77777777" w:rsidR="007E2CCE" w:rsidRDefault="007E2CCE">
      <w:pPr>
        <w:spacing w:after="160" w:line="259" w:lineRule="auto"/>
        <w:rPr>
          <w:rFonts w:ascii="Verdana" w:eastAsia="Times New Roman" w:hAnsi="Verdana" w:cs="Times New Roman"/>
          <w:noProof/>
        </w:rPr>
      </w:pPr>
      <w:r>
        <w:rPr>
          <w:noProof/>
        </w:rPr>
        <w:br w:type="page"/>
      </w:r>
    </w:p>
    <w:p w14:paraId="011BA378" w14:textId="27F93015" w:rsidR="00B86F0E" w:rsidRPr="00AE777C" w:rsidRDefault="00B86F0E" w:rsidP="00AE777C">
      <w:pPr>
        <w:pStyle w:val="AnnexHeading1"/>
        <w:rPr>
          <w:noProof/>
        </w:rPr>
      </w:pPr>
      <w:bookmarkStart w:id="212" w:name="_Toc83801059"/>
      <w:r w:rsidRPr="00AE777C">
        <w:rPr>
          <w:noProof/>
        </w:rPr>
        <w:t xml:space="preserve">Annex </w:t>
      </w:r>
      <w:r w:rsidR="00034212">
        <w:rPr>
          <w:noProof/>
        </w:rPr>
        <w:t>8</w:t>
      </w:r>
      <w:r w:rsidRPr="00AE777C">
        <w:rPr>
          <w:noProof/>
        </w:rPr>
        <w:t>: Ad hoc workshops (summaries)</w:t>
      </w:r>
      <w:bookmarkEnd w:id="212"/>
    </w:p>
    <w:p w14:paraId="1C5AE6BF" w14:textId="77777777" w:rsidR="00B86F0E" w:rsidRPr="00141DCF" w:rsidRDefault="00B86F0E" w:rsidP="00237337">
      <w:pPr>
        <w:pStyle w:val="Text1"/>
        <w:ind w:left="0"/>
        <w:rPr>
          <w:b/>
          <w:noProof/>
          <w:szCs w:val="24"/>
        </w:rPr>
      </w:pPr>
      <w:r w:rsidRPr="00141DCF">
        <w:rPr>
          <w:b/>
          <w:noProof/>
          <w:szCs w:val="24"/>
        </w:rPr>
        <w:t>Ad hoc workshop of 24 March 2021</w:t>
      </w:r>
      <w:r w:rsidR="00393C68" w:rsidRPr="00141DCF">
        <w:rPr>
          <w:b/>
          <w:noProof/>
          <w:szCs w:val="24"/>
        </w:rPr>
        <w:t xml:space="preserve"> </w:t>
      </w:r>
      <w:r w:rsidR="00393C68" w:rsidRPr="00141DCF">
        <w:rPr>
          <w:i/>
          <w:noProof/>
          <w:szCs w:val="24"/>
        </w:rPr>
        <w:t>[As drafted by the independent contractor]</w:t>
      </w:r>
    </w:p>
    <w:p w14:paraId="6652F10C" w14:textId="77777777" w:rsidR="00B86F0E" w:rsidRPr="00141DCF" w:rsidRDefault="00B86F0E" w:rsidP="00237337">
      <w:pPr>
        <w:pStyle w:val="Bodytext30"/>
        <w:shd w:val="clear" w:color="auto" w:fill="auto"/>
        <w:spacing w:before="0" w:after="240" w:line="240" w:lineRule="auto"/>
        <w:jc w:val="left"/>
        <w:rPr>
          <w:rFonts w:ascii="Times New Roman" w:hAnsi="Times New Roman" w:cs="Times New Roman"/>
          <w:noProof/>
          <w:sz w:val="24"/>
          <w:szCs w:val="24"/>
        </w:rPr>
      </w:pPr>
      <w:r w:rsidRPr="00141DCF">
        <w:rPr>
          <w:rFonts w:ascii="Times New Roman" w:hAnsi="Times New Roman" w:cs="Times New Roman"/>
          <w:noProof/>
          <w:color w:val="000000"/>
          <w:sz w:val="24"/>
          <w:szCs w:val="24"/>
          <w:lang w:bidi="en-US"/>
        </w:rPr>
        <w:t>Summary of the discussions</w:t>
      </w:r>
      <w:r w:rsidRPr="00141DCF">
        <w:rPr>
          <w:rFonts w:ascii="Times New Roman" w:hAnsi="Times New Roman" w:cs="Times New Roman"/>
          <w:noProof/>
          <w:color w:val="000000"/>
          <w:sz w:val="24"/>
          <w:szCs w:val="24"/>
          <w:vertAlign w:val="superscript"/>
          <w:lang w:bidi="en-US"/>
        </w:rPr>
        <w:footnoteReference w:id="333"/>
      </w:r>
    </w:p>
    <w:p w14:paraId="7FEFD7E2" w14:textId="77777777" w:rsidR="00B86F0E" w:rsidRPr="00141DCF" w:rsidRDefault="00B86F0E" w:rsidP="00B86F0E">
      <w:pPr>
        <w:keepNext/>
        <w:keepLines/>
        <w:rPr>
          <w:rFonts w:ascii="Times New Roman" w:hAnsi="Times New Roman" w:cs="Times New Roman"/>
          <w:noProof/>
          <w:sz w:val="24"/>
          <w:szCs w:val="24"/>
        </w:rPr>
      </w:pPr>
      <w:bookmarkStart w:id="213" w:name="bookmark1"/>
      <w:r w:rsidRPr="00141DCF">
        <w:rPr>
          <w:rFonts w:ascii="Times New Roman" w:hAnsi="Times New Roman" w:cs="Times New Roman"/>
          <w:noProof/>
          <w:color w:val="000000"/>
          <w:sz w:val="24"/>
          <w:szCs w:val="24"/>
          <w:lang w:bidi="en-US"/>
        </w:rPr>
        <w:t>Attendees</w:t>
      </w:r>
      <w:bookmarkEnd w:id="213"/>
    </w:p>
    <w:p w14:paraId="2F3A01FF" w14:textId="77777777" w:rsidR="00B86F0E" w:rsidRPr="00141DCF" w:rsidRDefault="00B86F0E" w:rsidP="00900BC7">
      <w:pPr>
        <w:widowControl w:val="0"/>
        <w:numPr>
          <w:ilvl w:val="0"/>
          <w:numId w:val="55"/>
        </w:numPr>
        <w:tabs>
          <w:tab w:val="left" w:pos="750"/>
        </w:tabs>
        <w:spacing w:after="102" w:line="242" w:lineRule="exact"/>
        <w:ind w:left="760" w:hanging="380"/>
        <w:rPr>
          <w:rFonts w:ascii="Times New Roman" w:hAnsi="Times New Roman" w:cs="Times New Roman"/>
          <w:noProof/>
          <w:sz w:val="24"/>
          <w:szCs w:val="24"/>
        </w:rPr>
      </w:pPr>
      <w:r w:rsidRPr="00141DCF">
        <w:rPr>
          <w:rFonts w:ascii="Times New Roman" w:hAnsi="Times New Roman" w:cs="Times New Roman"/>
          <w:noProof/>
          <w:color w:val="000000"/>
          <w:sz w:val="24"/>
          <w:szCs w:val="24"/>
          <w:lang w:bidi="en-US"/>
        </w:rPr>
        <w:t>For the European Commission:</w:t>
      </w:r>
    </w:p>
    <w:p w14:paraId="5F6B6814" w14:textId="77777777" w:rsidR="00B86F0E" w:rsidRPr="00141DCF" w:rsidRDefault="00B86F0E" w:rsidP="00CC7EC2">
      <w:pPr>
        <w:spacing w:after="87" w:line="240" w:lineRule="exact"/>
        <w:ind w:left="1480" w:hanging="360"/>
        <w:jc w:val="both"/>
        <w:rPr>
          <w:rFonts w:ascii="Times New Roman" w:hAnsi="Times New Roman" w:cs="Times New Roman"/>
          <w:noProof/>
          <w:sz w:val="24"/>
          <w:szCs w:val="24"/>
        </w:rPr>
      </w:pPr>
      <w:r w:rsidRPr="00141DCF">
        <w:rPr>
          <w:rStyle w:val="Bodytext2CourierNew9pt"/>
          <w:rFonts w:ascii="Times New Roman" w:hAnsi="Times New Roman" w:cs="Times New Roman"/>
          <w:noProof/>
          <w:sz w:val="24"/>
          <w:szCs w:val="24"/>
          <w:lang w:val="cs-CZ" w:eastAsia="cs-CZ" w:bidi="cs-CZ"/>
        </w:rPr>
        <w:t xml:space="preserve">o </w:t>
      </w:r>
      <w:r w:rsidRPr="00141DCF">
        <w:rPr>
          <w:rFonts w:ascii="Times New Roman" w:hAnsi="Times New Roman" w:cs="Times New Roman"/>
          <w:noProof/>
          <w:color w:val="000000"/>
          <w:sz w:val="24"/>
          <w:szCs w:val="24"/>
          <w:lang w:bidi="en-US"/>
        </w:rPr>
        <w:t xml:space="preserve">DG HOME: </w:t>
      </w:r>
      <w:r w:rsidRPr="00141DCF">
        <w:rPr>
          <w:rFonts w:ascii="Times New Roman" w:hAnsi="Times New Roman" w:cs="Times New Roman"/>
          <w:noProof/>
          <w:color w:val="000000"/>
          <w:sz w:val="24"/>
          <w:szCs w:val="24"/>
          <w:lang w:val="lv-LV" w:eastAsia="lv-LV" w:bidi="lv-LV"/>
        </w:rPr>
        <w:t xml:space="preserve">Robertus </w:t>
      </w:r>
      <w:r w:rsidRPr="00141DCF">
        <w:rPr>
          <w:rFonts w:ascii="Times New Roman" w:hAnsi="Times New Roman" w:cs="Times New Roman"/>
          <w:noProof/>
          <w:color w:val="000000"/>
          <w:sz w:val="24"/>
          <w:szCs w:val="24"/>
          <w:lang w:val="en-GB" w:eastAsia="nl-NL" w:bidi="nl-NL"/>
        </w:rPr>
        <w:t xml:space="preserve">Rozenburg </w:t>
      </w:r>
      <w:r w:rsidRPr="00141DCF">
        <w:rPr>
          <w:rFonts w:ascii="Times New Roman" w:hAnsi="Times New Roman" w:cs="Times New Roman"/>
          <w:noProof/>
          <w:color w:val="000000"/>
          <w:sz w:val="24"/>
          <w:szCs w:val="24"/>
          <w:lang w:bidi="en-US"/>
        </w:rPr>
        <w:t xml:space="preserve">(HOME D.1), Cecilia-Joanna Verkleij (HOME D.1), Patrick Hamon (HOME D.1), Antoine </w:t>
      </w:r>
      <w:r w:rsidRPr="00141DCF">
        <w:rPr>
          <w:rFonts w:ascii="Times New Roman" w:hAnsi="Times New Roman" w:cs="Times New Roman"/>
          <w:noProof/>
          <w:color w:val="000000"/>
          <w:sz w:val="24"/>
          <w:szCs w:val="24"/>
          <w:lang w:val="de-DE" w:eastAsia="de-DE" w:bidi="de-DE"/>
        </w:rPr>
        <w:t xml:space="preserve">Billard </w:t>
      </w:r>
      <w:r w:rsidRPr="00141DCF">
        <w:rPr>
          <w:rFonts w:ascii="Times New Roman" w:hAnsi="Times New Roman" w:cs="Times New Roman"/>
          <w:noProof/>
          <w:color w:val="000000"/>
          <w:sz w:val="24"/>
          <w:szCs w:val="24"/>
          <w:lang w:bidi="en-US"/>
        </w:rPr>
        <w:t xml:space="preserve">(HOME D.1), Mickael Roudaut (HOME D.1), </w:t>
      </w:r>
      <w:r w:rsidRPr="00141DCF">
        <w:rPr>
          <w:rFonts w:ascii="Times New Roman" w:hAnsi="Times New Roman" w:cs="Times New Roman"/>
          <w:noProof/>
          <w:color w:val="000000"/>
          <w:sz w:val="24"/>
          <w:szCs w:val="24"/>
          <w:lang w:val="lv-LV" w:eastAsia="lv-LV" w:bidi="lv-LV"/>
        </w:rPr>
        <w:t xml:space="preserve">Aleksandra </w:t>
      </w:r>
      <w:r w:rsidRPr="00141DCF">
        <w:rPr>
          <w:rFonts w:ascii="Times New Roman" w:hAnsi="Times New Roman" w:cs="Times New Roman"/>
          <w:noProof/>
          <w:color w:val="000000"/>
          <w:sz w:val="24"/>
          <w:szCs w:val="24"/>
          <w:lang w:bidi="en-US"/>
        </w:rPr>
        <w:t xml:space="preserve">Tukisa (HOME D.1), Florence Fensie (HOME D.1), </w:t>
      </w:r>
      <w:r w:rsidRPr="00141DCF">
        <w:rPr>
          <w:rFonts w:ascii="Times New Roman" w:hAnsi="Times New Roman" w:cs="Times New Roman"/>
          <w:noProof/>
          <w:color w:val="000000"/>
          <w:sz w:val="24"/>
          <w:szCs w:val="24"/>
          <w:lang w:val="pl-PL" w:eastAsia="pl-PL" w:bidi="pl-PL"/>
        </w:rPr>
        <w:t xml:space="preserve">Adrianna </w:t>
      </w:r>
      <w:r w:rsidRPr="00141DCF">
        <w:rPr>
          <w:rFonts w:ascii="Times New Roman" w:hAnsi="Times New Roman" w:cs="Times New Roman"/>
          <w:noProof/>
          <w:color w:val="000000"/>
          <w:sz w:val="24"/>
          <w:szCs w:val="24"/>
          <w:lang w:bidi="en-US"/>
        </w:rPr>
        <w:t xml:space="preserve">Miekina (HOME A.4), </w:t>
      </w:r>
      <w:r w:rsidRPr="00141DCF">
        <w:rPr>
          <w:rFonts w:ascii="Times New Roman" w:hAnsi="Times New Roman" w:cs="Times New Roman"/>
          <w:noProof/>
          <w:color w:val="000000"/>
          <w:sz w:val="24"/>
          <w:szCs w:val="24"/>
          <w:lang w:eastAsia="it-IT" w:bidi="it-IT"/>
        </w:rPr>
        <w:t xml:space="preserve">Massimiliano Minì </w:t>
      </w:r>
      <w:r w:rsidRPr="00141DCF">
        <w:rPr>
          <w:rFonts w:ascii="Times New Roman" w:hAnsi="Times New Roman" w:cs="Times New Roman"/>
          <w:noProof/>
          <w:color w:val="000000"/>
          <w:sz w:val="24"/>
          <w:szCs w:val="24"/>
          <w:lang w:bidi="en-US"/>
        </w:rPr>
        <w:t>(HOME D.5)</w:t>
      </w:r>
    </w:p>
    <w:p w14:paraId="3684BC4E" w14:textId="77777777" w:rsidR="00B86F0E" w:rsidRPr="00141DCF" w:rsidRDefault="00B86F0E" w:rsidP="00CC7EC2">
      <w:pPr>
        <w:spacing w:after="109" w:line="256" w:lineRule="exact"/>
        <w:ind w:left="1480" w:hanging="360"/>
        <w:jc w:val="both"/>
        <w:rPr>
          <w:rFonts w:ascii="Times New Roman" w:hAnsi="Times New Roman" w:cs="Times New Roman"/>
          <w:noProof/>
          <w:sz w:val="24"/>
          <w:szCs w:val="24"/>
        </w:rPr>
      </w:pPr>
      <w:r w:rsidRPr="00141DCF">
        <w:rPr>
          <w:rStyle w:val="Bodytext2CourierNew9pt"/>
          <w:rFonts w:ascii="Times New Roman" w:hAnsi="Times New Roman" w:cs="Times New Roman"/>
          <w:noProof/>
          <w:sz w:val="24"/>
          <w:szCs w:val="24"/>
          <w:lang w:val="pl-PL" w:eastAsia="pl-PL" w:bidi="pl-PL"/>
        </w:rPr>
        <w:t xml:space="preserve">o </w:t>
      </w:r>
      <w:r w:rsidRPr="00141DCF">
        <w:rPr>
          <w:rFonts w:ascii="Times New Roman" w:hAnsi="Times New Roman" w:cs="Times New Roman"/>
          <w:noProof/>
          <w:color w:val="000000"/>
          <w:sz w:val="24"/>
          <w:szCs w:val="24"/>
          <w:lang w:bidi="en-US"/>
        </w:rPr>
        <w:t xml:space="preserve">DG JUST: </w:t>
      </w:r>
      <w:r w:rsidRPr="00141DCF">
        <w:rPr>
          <w:rFonts w:ascii="Times New Roman" w:hAnsi="Times New Roman" w:cs="Times New Roman"/>
          <w:noProof/>
          <w:color w:val="000000"/>
          <w:sz w:val="24"/>
          <w:szCs w:val="24"/>
          <w:lang w:val="en-GB" w:eastAsia="it-IT" w:bidi="it-IT"/>
        </w:rPr>
        <w:t xml:space="preserve">Eleni </w:t>
      </w:r>
      <w:r w:rsidRPr="00141DCF">
        <w:rPr>
          <w:rFonts w:ascii="Times New Roman" w:hAnsi="Times New Roman" w:cs="Times New Roman"/>
          <w:noProof/>
          <w:color w:val="000000"/>
          <w:sz w:val="24"/>
          <w:szCs w:val="24"/>
          <w:lang w:bidi="en-US"/>
        </w:rPr>
        <w:t>Chronopoulou (JUST C.3)</w:t>
      </w:r>
    </w:p>
    <w:p w14:paraId="1D38CB8A" w14:textId="77777777" w:rsidR="00B86F0E" w:rsidRPr="00141DCF" w:rsidRDefault="00B86F0E" w:rsidP="00900BC7">
      <w:pPr>
        <w:widowControl w:val="0"/>
        <w:numPr>
          <w:ilvl w:val="0"/>
          <w:numId w:val="55"/>
        </w:numPr>
        <w:tabs>
          <w:tab w:val="left" w:pos="750"/>
        </w:tabs>
        <w:spacing w:after="104" w:line="245" w:lineRule="exact"/>
        <w:ind w:left="760" w:hanging="380"/>
        <w:jc w:val="both"/>
        <w:rPr>
          <w:rFonts w:ascii="Times New Roman" w:hAnsi="Times New Roman" w:cs="Times New Roman"/>
          <w:noProof/>
          <w:sz w:val="24"/>
          <w:szCs w:val="24"/>
        </w:rPr>
      </w:pPr>
      <w:r w:rsidRPr="00141DCF">
        <w:rPr>
          <w:rFonts w:ascii="Times New Roman" w:hAnsi="Times New Roman" w:cs="Times New Roman"/>
          <w:noProof/>
          <w:color w:val="000000"/>
          <w:sz w:val="24"/>
          <w:szCs w:val="24"/>
          <w:lang w:bidi="en-US"/>
        </w:rPr>
        <w:t xml:space="preserve">For the Council of the European Union: </w:t>
      </w:r>
      <w:r w:rsidRPr="00141DCF">
        <w:rPr>
          <w:rFonts w:ascii="Times New Roman" w:hAnsi="Times New Roman" w:cs="Times New Roman"/>
          <w:noProof/>
          <w:color w:val="000000"/>
          <w:sz w:val="24"/>
          <w:szCs w:val="24"/>
          <w:lang w:val="pl-PL" w:eastAsia="pl-PL" w:bidi="pl-PL"/>
        </w:rPr>
        <w:t xml:space="preserve">Jarek </w:t>
      </w:r>
      <w:r w:rsidRPr="00141DCF">
        <w:rPr>
          <w:rFonts w:ascii="Times New Roman" w:hAnsi="Times New Roman" w:cs="Times New Roman"/>
          <w:noProof/>
          <w:color w:val="000000"/>
          <w:sz w:val="24"/>
          <w:szCs w:val="24"/>
          <w:lang w:bidi="en-US"/>
        </w:rPr>
        <w:t xml:space="preserve">Lotarski (Legal Service), Radovan Schida </w:t>
      </w:r>
      <w:r w:rsidRPr="00141DCF">
        <w:rPr>
          <w:rFonts w:ascii="Times New Roman" w:hAnsi="Times New Roman" w:cs="Times New Roman"/>
          <w:noProof/>
          <w:color w:val="000000"/>
          <w:sz w:val="24"/>
          <w:szCs w:val="24"/>
          <w:lang w:val="hr-HR" w:eastAsia="hr-HR" w:bidi="hr-HR"/>
        </w:rPr>
        <w:t xml:space="preserve">(General </w:t>
      </w:r>
      <w:r w:rsidRPr="00141DCF">
        <w:rPr>
          <w:rFonts w:ascii="Times New Roman" w:hAnsi="Times New Roman" w:cs="Times New Roman"/>
          <w:noProof/>
          <w:color w:val="000000"/>
          <w:sz w:val="24"/>
          <w:szCs w:val="24"/>
          <w:lang w:bidi="en-US"/>
        </w:rPr>
        <w:t>Secretariat)</w:t>
      </w:r>
    </w:p>
    <w:p w14:paraId="26E52063" w14:textId="77777777" w:rsidR="00B86F0E" w:rsidRPr="00141DCF" w:rsidRDefault="00B86F0E" w:rsidP="00900BC7">
      <w:pPr>
        <w:widowControl w:val="0"/>
        <w:numPr>
          <w:ilvl w:val="0"/>
          <w:numId w:val="55"/>
        </w:numPr>
        <w:tabs>
          <w:tab w:val="left" w:pos="750"/>
        </w:tabs>
        <w:spacing w:after="96" w:line="240" w:lineRule="exact"/>
        <w:ind w:left="760" w:hanging="380"/>
        <w:jc w:val="both"/>
        <w:rPr>
          <w:rFonts w:ascii="Times New Roman" w:hAnsi="Times New Roman" w:cs="Times New Roman"/>
          <w:noProof/>
          <w:sz w:val="24"/>
          <w:szCs w:val="24"/>
          <w:lang w:val="it-IT"/>
        </w:rPr>
      </w:pPr>
      <w:r w:rsidRPr="00141DCF">
        <w:rPr>
          <w:rFonts w:ascii="Times New Roman" w:hAnsi="Times New Roman" w:cs="Times New Roman"/>
          <w:noProof/>
          <w:color w:val="000000"/>
          <w:sz w:val="24"/>
          <w:szCs w:val="24"/>
          <w:lang w:val="it-IT" w:bidi="en-US"/>
        </w:rPr>
        <w:t xml:space="preserve">For the Contractor: Katarina Bartz, Francesca Migliavacca, Emma </w:t>
      </w:r>
      <w:r w:rsidRPr="00141DCF">
        <w:rPr>
          <w:rFonts w:ascii="Times New Roman" w:hAnsi="Times New Roman" w:cs="Times New Roman"/>
          <w:noProof/>
          <w:color w:val="000000"/>
          <w:sz w:val="24"/>
          <w:szCs w:val="24"/>
          <w:lang w:val="es-ES" w:eastAsia="es-ES" w:bidi="es-ES"/>
        </w:rPr>
        <w:t xml:space="preserve">Disley, </w:t>
      </w:r>
      <w:r w:rsidRPr="00141DCF">
        <w:rPr>
          <w:rFonts w:ascii="Times New Roman" w:hAnsi="Times New Roman" w:cs="Times New Roman"/>
          <w:noProof/>
          <w:color w:val="000000"/>
          <w:sz w:val="24"/>
          <w:szCs w:val="24"/>
          <w:lang w:val="it-IT" w:bidi="en-US"/>
        </w:rPr>
        <w:t xml:space="preserve">Ilia Gaglio, Florian Linz, </w:t>
      </w:r>
      <w:r w:rsidRPr="00141DCF">
        <w:rPr>
          <w:rFonts w:ascii="Times New Roman" w:hAnsi="Times New Roman" w:cs="Times New Roman"/>
          <w:noProof/>
          <w:color w:val="000000"/>
          <w:sz w:val="24"/>
          <w:szCs w:val="24"/>
          <w:lang w:val="hr-HR" w:eastAsia="hr-HR" w:bidi="hr-HR"/>
        </w:rPr>
        <w:t xml:space="preserve">Sara </w:t>
      </w:r>
      <w:r w:rsidRPr="00141DCF">
        <w:rPr>
          <w:rFonts w:ascii="Times New Roman" w:hAnsi="Times New Roman" w:cs="Times New Roman"/>
          <w:noProof/>
          <w:color w:val="000000"/>
          <w:sz w:val="24"/>
          <w:szCs w:val="24"/>
          <w:lang w:val="it-IT" w:bidi="en-US"/>
        </w:rPr>
        <w:t>Filippo</w:t>
      </w:r>
    </w:p>
    <w:p w14:paraId="3F1832BB" w14:textId="77777777" w:rsidR="00B86F0E" w:rsidRPr="00B40683" w:rsidRDefault="00B86F0E" w:rsidP="00900BC7">
      <w:pPr>
        <w:widowControl w:val="0"/>
        <w:numPr>
          <w:ilvl w:val="0"/>
          <w:numId w:val="55"/>
        </w:numPr>
        <w:tabs>
          <w:tab w:val="left" w:pos="750"/>
        </w:tabs>
        <w:spacing w:after="600" w:line="245" w:lineRule="exact"/>
        <w:ind w:left="760" w:hanging="380"/>
        <w:jc w:val="both"/>
        <w:rPr>
          <w:rFonts w:ascii="Times New Roman" w:hAnsi="Times New Roman" w:cs="Times New Roman"/>
          <w:noProof/>
          <w:sz w:val="24"/>
          <w:szCs w:val="24"/>
        </w:rPr>
      </w:pPr>
      <w:r w:rsidRPr="00141DCF">
        <w:rPr>
          <w:rFonts w:ascii="Times New Roman" w:hAnsi="Times New Roman" w:cs="Times New Roman"/>
          <w:noProof/>
          <w:color w:val="000000"/>
          <w:sz w:val="24"/>
          <w:szCs w:val="24"/>
          <w:lang w:bidi="en-US"/>
        </w:rPr>
        <w:t xml:space="preserve">For countries: national representatives from Law Enforcement Authorities of all </w:t>
      </w:r>
      <w:r w:rsidRPr="00141DCF">
        <w:rPr>
          <w:rFonts w:ascii="Times New Roman" w:hAnsi="Times New Roman" w:cs="Times New Roman"/>
          <w:noProof/>
          <w:color w:val="000000"/>
          <w:sz w:val="24"/>
          <w:szCs w:val="24"/>
          <w:lang w:val="de-DE" w:eastAsia="de-DE" w:bidi="de-DE"/>
        </w:rPr>
        <w:t xml:space="preserve">EU Member States </w:t>
      </w:r>
      <w:r w:rsidRPr="00141DCF">
        <w:rPr>
          <w:rFonts w:ascii="Times New Roman" w:hAnsi="Times New Roman" w:cs="Times New Roman"/>
          <w:noProof/>
          <w:color w:val="000000"/>
          <w:sz w:val="24"/>
          <w:szCs w:val="24"/>
          <w:lang w:val="cs-CZ" w:eastAsia="cs-CZ" w:bidi="cs-CZ"/>
        </w:rPr>
        <w:t xml:space="preserve">and </w:t>
      </w:r>
      <w:r w:rsidRPr="00141DCF">
        <w:rPr>
          <w:rFonts w:ascii="Times New Roman" w:hAnsi="Times New Roman" w:cs="Times New Roman"/>
          <w:noProof/>
          <w:color w:val="000000"/>
          <w:sz w:val="24"/>
          <w:szCs w:val="24"/>
          <w:lang w:val="de-DE" w:eastAsia="de-DE" w:bidi="de-DE"/>
        </w:rPr>
        <w:t xml:space="preserve">Schengen associated countries </w:t>
      </w:r>
      <w:r w:rsidRPr="00141DCF">
        <w:rPr>
          <w:rFonts w:ascii="Times New Roman" w:hAnsi="Times New Roman" w:cs="Times New Roman"/>
          <w:noProof/>
          <w:color w:val="000000"/>
          <w:sz w:val="24"/>
          <w:szCs w:val="24"/>
          <w:lang w:bidi="en-US"/>
        </w:rPr>
        <w:t xml:space="preserve">(except Iceland </w:t>
      </w:r>
      <w:r w:rsidRPr="00141DCF">
        <w:rPr>
          <w:rFonts w:ascii="Times New Roman" w:hAnsi="Times New Roman" w:cs="Times New Roman"/>
          <w:noProof/>
          <w:color w:val="000000"/>
          <w:sz w:val="24"/>
          <w:szCs w:val="24"/>
          <w:lang w:val="de-DE" w:eastAsia="de-DE" w:bidi="de-DE"/>
        </w:rPr>
        <w:t>and Liechtenstein)</w:t>
      </w:r>
    </w:p>
    <w:p w14:paraId="1E5F15B0" w14:textId="77777777" w:rsidR="00B40683" w:rsidRPr="00141DCF" w:rsidRDefault="00B40683" w:rsidP="00B40683">
      <w:pPr>
        <w:widowControl w:val="0"/>
        <w:tabs>
          <w:tab w:val="left" w:pos="750"/>
        </w:tabs>
        <w:spacing w:after="600" w:line="245" w:lineRule="exact"/>
        <w:ind w:left="380"/>
        <w:jc w:val="both"/>
        <w:rPr>
          <w:rFonts w:ascii="Times New Roman" w:hAnsi="Times New Roman" w:cs="Times New Roman"/>
          <w:noProof/>
          <w:sz w:val="24"/>
          <w:szCs w:val="24"/>
        </w:rPr>
      </w:pPr>
    </w:p>
    <w:p w14:paraId="40CFCE0A" w14:textId="77777777" w:rsidR="00B86F0E" w:rsidRPr="00141DCF" w:rsidRDefault="00B86F0E" w:rsidP="00B86F0E">
      <w:pPr>
        <w:spacing w:after="0" w:line="283" w:lineRule="exact"/>
        <w:ind w:right="2800"/>
        <w:rPr>
          <w:rFonts w:ascii="Times New Roman" w:hAnsi="Times New Roman" w:cs="Times New Roman"/>
          <w:noProof/>
          <w:sz w:val="24"/>
          <w:szCs w:val="24"/>
        </w:rPr>
      </w:pPr>
      <w:r w:rsidRPr="00141DCF">
        <w:rPr>
          <w:rFonts w:ascii="Times New Roman" w:hAnsi="Times New Roman" w:cs="Times New Roman"/>
          <w:noProof/>
          <w:sz w:val="24"/>
          <w:szCs w:val="24"/>
          <w:lang w:val="en-GB" w:eastAsia="en-GB"/>
        </w:rPr>
        <mc:AlternateContent>
          <mc:Choice Requires="wps">
            <w:drawing>
              <wp:anchor distT="0" distB="0" distL="63500" distR="173990" simplePos="0" relativeHeight="251651584" behindDoc="1" locked="0" layoutInCell="1" allowOverlap="1" wp14:anchorId="325ADEAC" wp14:editId="4EE0EEAE">
                <wp:simplePos x="0" y="0"/>
                <wp:positionH relativeFrom="margin">
                  <wp:posOffset>6350</wp:posOffset>
                </wp:positionH>
                <wp:positionV relativeFrom="paragraph">
                  <wp:posOffset>-257175</wp:posOffset>
                </wp:positionV>
                <wp:extent cx="740410" cy="2643505"/>
                <wp:effectExtent l="1905" t="0" r="635" b="0"/>
                <wp:wrapSquare wrapText="r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64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FD74E" w14:textId="77777777" w:rsidR="003F3C88" w:rsidRPr="00A01E2B" w:rsidRDefault="003F3C88" w:rsidP="00B86F0E">
                            <w:pPr>
                              <w:rPr>
                                <w:b/>
                                <w:lang w:val="pt-BR"/>
                              </w:rPr>
                            </w:pPr>
                            <w:r w:rsidRPr="00A01E2B">
                              <w:rPr>
                                <w:rStyle w:val="Bodytext4Exact"/>
                                <w:lang w:val="pt-BR"/>
                              </w:rPr>
                              <w:t>Acronyms</w:t>
                            </w:r>
                          </w:p>
                          <w:p w14:paraId="17139F2F" w14:textId="77777777" w:rsidR="003F3C88" w:rsidRPr="00A01E2B" w:rsidRDefault="003F3C88" w:rsidP="00B86F0E">
                            <w:pPr>
                              <w:spacing w:after="0"/>
                              <w:rPr>
                                <w:lang w:val="pt-BR"/>
                              </w:rPr>
                            </w:pPr>
                            <w:r w:rsidRPr="00A01E2B">
                              <w:rPr>
                                <w:rStyle w:val="Bodytext2Exact"/>
                                <w:lang w:val="pt-BR"/>
                              </w:rPr>
                              <w:t>CISA</w:t>
                            </w:r>
                          </w:p>
                          <w:p w14:paraId="66CE8B5D" w14:textId="77777777" w:rsidR="003F3C88" w:rsidRPr="00A01E2B" w:rsidRDefault="003F3C88" w:rsidP="00B86F0E">
                            <w:pPr>
                              <w:spacing w:after="0" w:line="283" w:lineRule="exact"/>
                              <w:rPr>
                                <w:lang w:val="pt-BR"/>
                              </w:rPr>
                            </w:pPr>
                            <w:r w:rsidRPr="00A01E2B">
                              <w:rPr>
                                <w:rStyle w:val="Bodytext2Exact"/>
                                <w:lang w:val="pt-BR"/>
                              </w:rPr>
                              <w:t>CMS</w:t>
                            </w:r>
                          </w:p>
                          <w:p w14:paraId="1CC55EF5" w14:textId="77777777" w:rsidR="003F3C88" w:rsidRPr="00A01E2B" w:rsidRDefault="003F3C88" w:rsidP="00B86F0E">
                            <w:pPr>
                              <w:spacing w:after="0" w:line="283" w:lineRule="exact"/>
                              <w:rPr>
                                <w:lang w:val="pt-BR"/>
                              </w:rPr>
                            </w:pPr>
                            <w:r w:rsidRPr="00A01E2B">
                              <w:rPr>
                                <w:rStyle w:val="Bodytext2Exact"/>
                                <w:lang w:val="pt-BR"/>
                              </w:rPr>
                              <w:t>ECRIS</w:t>
                            </w:r>
                          </w:p>
                          <w:p w14:paraId="5AD88D42" w14:textId="77777777" w:rsidR="003F3C88" w:rsidRPr="00A01E2B" w:rsidRDefault="003F3C88" w:rsidP="00B86F0E">
                            <w:pPr>
                              <w:spacing w:after="0" w:line="283" w:lineRule="exact"/>
                              <w:rPr>
                                <w:lang w:val="pt-BR"/>
                              </w:rPr>
                            </w:pPr>
                            <w:r w:rsidRPr="00A01E2B">
                              <w:rPr>
                                <w:rStyle w:val="Bodytext2Exact"/>
                                <w:lang w:val="pt-BR"/>
                              </w:rPr>
                              <w:t>EIS</w:t>
                            </w:r>
                          </w:p>
                          <w:p w14:paraId="40AFF5EB" w14:textId="77777777" w:rsidR="003F3C88" w:rsidRPr="00A01E2B" w:rsidRDefault="003F3C88" w:rsidP="00B86F0E">
                            <w:pPr>
                              <w:spacing w:after="0" w:line="283" w:lineRule="exact"/>
                              <w:rPr>
                                <w:lang w:val="pt-BR"/>
                              </w:rPr>
                            </w:pPr>
                            <w:r w:rsidRPr="00A01E2B">
                              <w:rPr>
                                <w:rStyle w:val="Bodytext2Exact"/>
                                <w:lang w:val="pt-BR"/>
                              </w:rPr>
                              <w:t>ETIAS</w:t>
                            </w:r>
                          </w:p>
                          <w:p w14:paraId="397A0326" w14:textId="77777777" w:rsidR="003F3C88" w:rsidRPr="00A01E2B" w:rsidRDefault="003F3C88" w:rsidP="00B86F0E">
                            <w:pPr>
                              <w:spacing w:after="0" w:line="283" w:lineRule="exact"/>
                              <w:rPr>
                                <w:lang w:val="pt-BR"/>
                              </w:rPr>
                            </w:pPr>
                            <w:r w:rsidRPr="00A01E2B">
                              <w:rPr>
                                <w:rStyle w:val="Bodytext2Exact"/>
                                <w:lang w:val="pt-BR"/>
                              </w:rPr>
                              <w:t>EUCARIS</w:t>
                            </w:r>
                          </w:p>
                          <w:p w14:paraId="18D7AD49" w14:textId="77777777" w:rsidR="003F3C88" w:rsidRPr="00A01E2B" w:rsidRDefault="003F3C88" w:rsidP="00B86F0E">
                            <w:pPr>
                              <w:spacing w:after="0" w:line="283" w:lineRule="exact"/>
                              <w:rPr>
                                <w:lang w:val="pt-BR"/>
                              </w:rPr>
                            </w:pPr>
                            <w:r w:rsidRPr="00A01E2B">
                              <w:rPr>
                                <w:rStyle w:val="Bodytext2Exact"/>
                                <w:lang w:val="pt-BR"/>
                              </w:rPr>
                              <w:t>ISF</w:t>
                            </w:r>
                          </w:p>
                          <w:p w14:paraId="251F9340" w14:textId="77777777" w:rsidR="003F3C88" w:rsidRPr="00A01E2B" w:rsidRDefault="003F3C88" w:rsidP="00B86F0E">
                            <w:pPr>
                              <w:spacing w:after="0" w:line="283" w:lineRule="exact"/>
                              <w:rPr>
                                <w:lang w:val="pt-BR"/>
                              </w:rPr>
                            </w:pPr>
                            <w:r>
                              <w:rPr>
                                <w:rStyle w:val="Bodytext2Exact"/>
                                <w:lang w:val="da-DK" w:eastAsia="da-DK" w:bidi="da-DK"/>
                              </w:rPr>
                              <w:t>NFIP</w:t>
                            </w:r>
                          </w:p>
                          <w:p w14:paraId="4760CDE6" w14:textId="77777777" w:rsidR="003F3C88" w:rsidRPr="00A01E2B" w:rsidRDefault="003F3C88" w:rsidP="00B86F0E">
                            <w:pPr>
                              <w:spacing w:after="0" w:line="283" w:lineRule="exact"/>
                              <w:rPr>
                                <w:lang w:val="pt-BR"/>
                              </w:rPr>
                            </w:pPr>
                            <w:r w:rsidRPr="00A01E2B">
                              <w:rPr>
                                <w:rStyle w:val="Bodytext2Exact"/>
                                <w:lang w:val="pt-BR"/>
                              </w:rPr>
                              <w:t>PCCCs</w:t>
                            </w:r>
                          </w:p>
                          <w:p w14:paraId="67C7CD9D" w14:textId="77777777" w:rsidR="003F3C88" w:rsidRPr="00A01E2B" w:rsidRDefault="003F3C88" w:rsidP="00B86F0E">
                            <w:pPr>
                              <w:spacing w:after="0" w:line="283" w:lineRule="exact"/>
                              <w:rPr>
                                <w:lang w:val="pt-BR"/>
                              </w:rPr>
                            </w:pPr>
                            <w:r w:rsidRPr="00A01E2B">
                              <w:rPr>
                                <w:rStyle w:val="Bodytext2Exact"/>
                                <w:lang w:val="pt-BR"/>
                              </w:rPr>
                              <w:t>SFD</w:t>
                            </w:r>
                          </w:p>
                          <w:p w14:paraId="7727F0CD" w14:textId="77777777" w:rsidR="003F3C88" w:rsidRPr="00A01E2B" w:rsidRDefault="003F3C88" w:rsidP="00B86F0E">
                            <w:pPr>
                              <w:spacing w:after="0" w:line="283" w:lineRule="exact"/>
                              <w:rPr>
                                <w:lang w:val="pt-BR"/>
                              </w:rPr>
                            </w:pPr>
                            <w:r w:rsidRPr="00A01E2B">
                              <w:rPr>
                                <w:rStyle w:val="Bodytext2Exact"/>
                                <w:lang w:val="pt-BR"/>
                              </w:rPr>
                              <w:t>SIENA</w:t>
                            </w:r>
                          </w:p>
                          <w:p w14:paraId="524DD079" w14:textId="77777777" w:rsidR="003F3C88" w:rsidRPr="00A01E2B" w:rsidRDefault="003F3C88" w:rsidP="00B86F0E">
                            <w:pPr>
                              <w:spacing w:after="0" w:line="283" w:lineRule="exact"/>
                              <w:rPr>
                                <w:lang w:val="en-GB"/>
                              </w:rPr>
                            </w:pPr>
                            <w:r w:rsidRPr="00A01E2B">
                              <w:rPr>
                                <w:rStyle w:val="Bodytext2Exact"/>
                                <w:lang w:val="en-GB"/>
                              </w:rPr>
                              <w:t>SIS (II)</w:t>
                            </w:r>
                          </w:p>
                          <w:p w14:paraId="0E43904C" w14:textId="77777777" w:rsidR="003F3C88" w:rsidRPr="00A01E2B" w:rsidRDefault="003F3C88" w:rsidP="00B86F0E">
                            <w:pPr>
                              <w:spacing w:after="0" w:line="283" w:lineRule="exact"/>
                              <w:rPr>
                                <w:lang w:val="fr-BE"/>
                              </w:rPr>
                            </w:pPr>
                            <w:r w:rsidRPr="00A01E2B">
                              <w:rPr>
                                <w:rStyle w:val="Bodytext2Exact"/>
                                <w:lang w:val="fr-BE"/>
                              </w:rPr>
                              <w:t>SPOCs</w:t>
                            </w:r>
                          </w:p>
                          <w:p w14:paraId="51035B05" w14:textId="77777777" w:rsidR="003F3C88" w:rsidRPr="00A01E2B" w:rsidRDefault="003F3C88" w:rsidP="00B86F0E">
                            <w:pPr>
                              <w:spacing w:after="0" w:line="283" w:lineRule="exact"/>
                              <w:rPr>
                                <w:lang w:val="fr-BE"/>
                              </w:rPr>
                            </w:pPr>
                            <w:r w:rsidRPr="00A01E2B">
                              <w:rPr>
                                <w:rStyle w:val="Bodytext2Exact"/>
                                <w:lang w:val="fr-BE"/>
                              </w:rPr>
                              <w:t>VIS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ADEAC" id="_x0000_t202" coordsize="21600,21600" o:spt="202" path="m,l,21600r21600,l21600,xe">
                <v:stroke joinstyle="miter"/>
                <v:path gradientshapeok="t" o:connecttype="rect"/>
              </v:shapetype>
              <v:shape id="Text Box 1" o:spid="_x0000_s1026" type="#_x0000_t202" style="position:absolute;margin-left:.5pt;margin-top:-20.25pt;width:58.3pt;height:208.15pt;z-index:-251664896;visibility:visible;mso-wrap-style:square;mso-width-percent:0;mso-height-percent:0;mso-wrap-distance-left:5pt;mso-wrap-distance-top:0;mso-wrap-distance-right:13.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DoqQIAAKk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" filled="f" stroked="f">
                <v:textbox style="mso-fit-shape-to-text:t" inset="0,0,0,0">
                  <w:txbxContent>
                    <w:p w14:paraId="289FD74E" w14:textId="77777777" w:rsidR="003F3C88" w:rsidRPr="00A01E2B" w:rsidRDefault="003F3C88" w:rsidP="00B86F0E">
                      <w:pPr>
                        <w:rPr>
                          <w:b/>
                          <w:lang w:val="pt-BR"/>
                        </w:rPr>
                      </w:pPr>
                      <w:r w:rsidRPr="00A01E2B">
                        <w:rPr>
                          <w:rStyle w:val="Bodytext4Exact"/>
                          <w:lang w:val="pt-BR"/>
                        </w:rPr>
                        <w:t>Acronyms</w:t>
                      </w:r>
                    </w:p>
                    <w:p w14:paraId="17139F2F" w14:textId="77777777" w:rsidR="003F3C88" w:rsidRPr="00A01E2B" w:rsidRDefault="003F3C88" w:rsidP="00B86F0E">
                      <w:pPr>
                        <w:spacing w:after="0"/>
                        <w:rPr>
                          <w:lang w:val="pt-BR"/>
                        </w:rPr>
                      </w:pPr>
                      <w:r w:rsidRPr="00A01E2B">
                        <w:rPr>
                          <w:rStyle w:val="Bodytext2Exact"/>
                          <w:lang w:val="pt-BR"/>
                        </w:rPr>
                        <w:t>CISA</w:t>
                      </w:r>
                    </w:p>
                    <w:p w14:paraId="66CE8B5D" w14:textId="77777777" w:rsidR="003F3C88" w:rsidRPr="00A01E2B" w:rsidRDefault="003F3C88" w:rsidP="00B86F0E">
                      <w:pPr>
                        <w:spacing w:after="0" w:line="283" w:lineRule="exact"/>
                        <w:rPr>
                          <w:lang w:val="pt-BR"/>
                        </w:rPr>
                      </w:pPr>
                      <w:r w:rsidRPr="00A01E2B">
                        <w:rPr>
                          <w:rStyle w:val="Bodytext2Exact"/>
                          <w:lang w:val="pt-BR"/>
                        </w:rPr>
                        <w:t>CMS</w:t>
                      </w:r>
                    </w:p>
                    <w:p w14:paraId="1CC55EF5" w14:textId="77777777" w:rsidR="003F3C88" w:rsidRPr="00A01E2B" w:rsidRDefault="003F3C88" w:rsidP="00B86F0E">
                      <w:pPr>
                        <w:spacing w:after="0" w:line="283" w:lineRule="exact"/>
                        <w:rPr>
                          <w:lang w:val="pt-BR"/>
                        </w:rPr>
                      </w:pPr>
                      <w:r w:rsidRPr="00A01E2B">
                        <w:rPr>
                          <w:rStyle w:val="Bodytext2Exact"/>
                          <w:lang w:val="pt-BR"/>
                        </w:rPr>
                        <w:t>ECRIS</w:t>
                      </w:r>
                    </w:p>
                    <w:p w14:paraId="5AD88D42" w14:textId="77777777" w:rsidR="003F3C88" w:rsidRPr="00A01E2B" w:rsidRDefault="003F3C88" w:rsidP="00B86F0E">
                      <w:pPr>
                        <w:spacing w:after="0" w:line="283" w:lineRule="exact"/>
                        <w:rPr>
                          <w:lang w:val="pt-BR"/>
                        </w:rPr>
                      </w:pPr>
                      <w:r w:rsidRPr="00A01E2B">
                        <w:rPr>
                          <w:rStyle w:val="Bodytext2Exact"/>
                          <w:lang w:val="pt-BR"/>
                        </w:rPr>
                        <w:t>EIS</w:t>
                      </w:r>
                    </w:p>
                    <w:p w14:paraId="40AFF5EB" w14:textId="77777777" w:rsidR="003F3C88" w:rsidRPr="00A01E2B" w:rsidRDefault="003F3C88" w:rsidP="00B86F0E">
                      <w:pPr>
                        <w:spacing w:after="0" w:line="283" w:lineRule="exact"/>
                        <w:rPr>
                          <w:lang w:val="pt-BR"/>
                        </w:rPr>
                      </w:pPr>
                      <w:r w:rsidRPr="00A01E2B">
                        <w:rPr>
                          <w:rStyle w:val="Bodytext2Exact"/>
                          <w:lang w:val="pt-BR"/>
                        </w:rPr>
                        <w:t>ETIAS</w:t>
                      </w:r>
                    </w:p>
                    <w:p w14:paraId="397A0326" w14:textId="77777777" w:rsidR="003F3C88" w:rsidRPr="00A01E2B" w:rsidRDefault="003F3C88" w:rsidP="00B86F0E">
                      <w:pPr>
                        <w:spacing w:after="0" w:line="283" w:lineRule="exact"/>
                        <w:rPr>
                          <w:lang w:val="pt-BR"/>
                        </w:rPr>
                      </w:pPr>
                      <w:r w:rsidRPr="00A01E2B">
                        <w:rPr>
                          <w:rStyle w:val="Bodytext2Exact"/>
                          <w:lang w:val="pt-BR"/>
                        </w:rPr>
                        <w:t>EUCARIS</w:t>
                      </w:r>
                    </w:p>
                    <w:p w14:paraId="18D7AD49" w14:textId="77777777" w:rsidR="003F3C88" w:rsidRPr="00A01E2B" w:rsidRDefault="003F3C88" w:rsidP="00B86F0E">
                      <w:pPr>
                        <w:spacing w:after="0" w:line="283" w:lineRule="exact"/>
                        <w:rPr>
                          <w:lang w:val="pt-BR"/>
                        </w:rPr>
                      </w:pPr>
                      <w:r w:rsidRPr="00A01E2B">
                        <w:rPr>
                          <w:rStyle w:val="Bodytext2Exact"/>
                          <w:lang w:val="pt-BR"/>
                        </w:rPr>
                        <w:t>ISF</w:t>
                      </w:r>
                    </w:p>
                    <w:p w14:paraId="251F9340" w14:textId="77777777" w:rsidR="003F3C88" w:rsidRPr="00A01E2B" w:rsidRDefault="003F3C88" w:rsidP="00B86F0E">
                      <w:pPr>
                        <w:spacing w:after="0" w:line="283" w:lineRule="exact"/>
                        <w:rPr>
                          <w:lang w:val="pt-BR"/>
                        </w:rPr>
                      </w:pPr>
                      <w:r>
                        <w:rPr>
                          <w:rStyle w:val="Bodytext2Exact"/>
                          <w:lang w:val="da-DK" w:eastAsia="da-DK" w:bidi="da-DK"/>
                        </w:rPr>
                        <w:t>NFIP</w:t>
                      </w:r>
                    </w:p>
                    <w:p w14:paraId="4760CDE6" w14:textId="77777777" w:rsidR="003F3C88" w:rsidRPr="00A01E2B" w:rsidRDefault="003F3C88" w:rsidP="00B86F0E">
                      <w:pPr>
                        <w:spacing w:after="0" w:line="283" w:lineRule="exact"/>
                        <w:rPr>
                          <w:lang w:val="pt-BR"/>
                        </w:rPr>
                      </w:pPr>
                      <w:r w:rsidRPr="00A01E2B">
                        <w:rPr>
                          <w:rStyle w:val="Bodytext2Exact"/>
                          <w:lang w:val="pt-BR"/>
                        </w:rPr>
                        <w:t>PCCCs</w:t>
                      </w:r>
                    </w:p>
                    <w:p w14:paraId="67C7CD9D" w14:textId="77777777" w:rsidR="003F3C88" w:rsidRPr="00A01E2B" w:rsidRDefault="003F3C88" w:rsidP="00B86F0E">
                      <w:pPr>
                        <w:spacing w:after="0" w:line="283" w:lineRule="exact"/>
                        <w:rPr>
                          <w:lang w:val="pt-BR"/>
                        </w:rPr>
                      </w:pPr>
                      <w:r w:rsidRPr="00A01E2B">
                        <w:rPr>
                          <w:rStyle w:val="Bodytext2Exact"/>
                          <w:lang w:val="pt-BR"/>
                        </w:rPr>
                        <w:t>SFD</w:t>
                      </w:r>
                    </w:p>
                    <w:p w14:paraId="7727F0CD" w14:textId="77777777" w:rsidR="003F3C88" w:rsidRPr="00A01E2B" w:rsidRDefault="003F3C88" w:rsidP="00B86F0E">
                      <w:pPr>
                        <w:spacing w:after="0" w:line="283" w:lineRule="exact"/>
                        <w:rPr>
                          <w:lang w:val="pt-BR"/>
                        </w:rPr>
                      </w:pPr>
                      <w:r w:rsidRPr="00A01E2B">
                        <w:rPr>
                          <w:rStyle w:val="Bodytext2Exact"/>
                          <w:lang w:val="pt-BR"/>
                        </w:rPr>
                        <w:t>SIENA</w:t>
                      </w:r>
                    </w:p>
                    <w:p w14:paraId="524DD079" w14:textId="77777777" w:rsidR="003F3C88" w:rsidRPr="00A01E2B" w:rsidRDefault="003F3C88" w:rsidP="00B86F0E">
                      <w:pPr>
                        <w:spacing w:after="0" w:line="283" w:lineRule="exact"/>
                        <w:rPr>
                          <w:lang w:val="en-GB"/>
                        </w:rPr>
                      </w:pPr>
                      <w:r w:rsidRPr="00A01E2B">
                        <w:rPr>
                          <w:rStyle w:val="Bodytext2Exact"/>
                          <w:lang w:val="en-GB"/>
                        </w:rPr>
                        <w:t>SIS (II)</w:t>
                      </w:r>
                    </w:p>
                    <w:p w14:paraId="0E43904C" w14:textId="77777777" w:rsidR="003F3C88" w:rsidRPr="00A01E2B" w:rsidRDefault="003F3C88" w:rsidP="00B86F0E">
                      <w:pPr>
                        <w:spacing w:after="0" w:line="283" w:lineRule="exact"/>
                        <w:rPr>
                          <w:lang w:val="fr-BE"/>
                        </w:rPr>
                      </w:pPr>
                      <w:r w:rsidRPr="00A01E2B">
                        <w:rPr>
                          <w:rStyle w:val="Bodytext2Exact"/>
                          <w:lang w:val="fr-BE"/>
                        </w:rPr>
                        <w:t>SPOCs</w:t>
                      </w:r>
                    </w:p>
                    <w:p w14:paraId="51035B05" w14:textId="77777777" w:rsidR="003F3C88" w:rsidRPr="00A01E2B" w:rsidRDefault="003F3C88" w:rsidP="00B86F0E">
                      <w:pPr>
                        <w:spacing w:after="0" w:line="283" w:lineRule="exact"/>
                        <w:rPr>
                          <w:lang w:val="fr-BE"/>
                        </w:rPr>
                      </w:pPr>
                      <w:r w:rsidRPr="00A01E2B">
                        <w:rPr>
                          <w:rStyle w:val="Bodytext2Exact"/>
                          <w:lang w:val="fr-BE"/>
                        </w:rPr>
                        <w:t>VIS</w:t>
                      </w:r>
                    </w:p>
                  </w:txbxContent>
                </v:textbox>
                <w10:wrap type="square" side="right" anchorx="margin"/>
              </v:shape>
            </w:pict>
          </mc:Fallback>
        </mc:AlternateContent>
      </w:r>
      <w:r w:rsidRPr="00141DCF">
        <w:rPr>
          <w:rFonts w:ascii="Times New Roman" w:hAnsi="Times New Roman" w:cs="Times New Roman"/>
          <w:noProof/>
          <w:color w:val="000000"/>
          <w:sz w:val="24"/>
          <w:szCs w:val="24"/>
          <w:lang w:bidi="en-US"/>
        </w:rPr>
        <w:t xml:space="preserve">Convention Implementing the Schengen Agreement Case Management </w:t>
      </w:r>
      <w:r w:rsidRPr="00141DCF">
        <w:rPr>
          <w:rFonts w:ascii="Times New Roman" w:hAnsi="Times New Roman" w:cs="Times New Roman"/>
          <w:noProof/>
          <w:color w:val="000000"/>
          <w:sz w:val="24"/>
          <w:szCs w:val="24"/>
          <w:lang w:val="da-DK" w:eastAsia="da-DK" w:bidi="da-DK"/>
        </w:rPr>
        <w:t xml:space="preserve">System European </w:t>
      </w:r>
      <w:r w:rsidRPr="00141DCF">
        <w:rPr>
          <w:rFonts w:ascii="Times New Roman" w:hAnsi="Times New Roman" w:cs="Times New Roman"/>
          <w:noProof/>
          <w:color w:val="000000"/>
          <w:sz w:val="24"/>
          <w:szCs w:val="24"/>
          <w:lang w:bidi="en-US"/>
        </w:rPr>
        <w:t xml:space="preserve">Criminal </w:t>
      </w:r>
      <w:r w:rsidRPr="00141DCF">
        <w:rPr>
          <w:rFonts w:ascii="Times New Roman" w:hAnsi="Times New Roman" w:cs="Times New Roman"/>
          <w:noProof/>
          <w:color w:val="000000"/>
          <w:sz w:val="24"/>
          <w:szCs w:val="24"/>
          <w:lang w:val="en-GB" w:eastAsia="nl-NL" w:bidi="nl-NL"/>
        </w:rPr>
        <w:t xml:space="preserve">Records </w:t>
      </w:r>
      <w:r w:rsidRPr="00141DCF">
        <w:rPr>
          <w:rFonts w:ascii="Times New Roman" w:hAnsi="Times New Roman" w:cs="Times New Roman"/>
          <w:noProof/>
          <w:color w:val="000000"/>
          <w:sz w:val="24"/>
          <w:szCs w:val="24"/>
          <w:lang w:val="da-DK" w:eastAsia="da-DK" w:bidi="da-DK"/>
        </w:rPr>
        <w:t xml:space="preserve">Information </w:t>
      </w:r>
      <w:r w:rsidRPr="00141DCF">
        <w:rPr>
          <w:rFonts w:ascii="Times New Roman" w:hAnsi="Times New Roman" w:cs="Times New Roman"/>
          <w:noProof/>
          <w:color w:val="000000"/>
          <w:sz w:val="24"/>
          <w:szCs w:val="24"/>
          <w:lang w:bidi="en-US"/>
        </w:rPr>
        <w:t xml:space="preserve">System </w:t>
      </w:r>
      <w:r w:rsidRPr="00141DCF">
        <w:rPr>
          <w:rFonts w:ascii="Times New Roman" w:hAnsi="Times New Roman" w:cs="Times New Roman"/>
          <w:noProof/>
          <w:color w:val="000000"/>
          <w:sz w:val="24"/>
          <w:szCs w:val="24"/>
          <w:lang w:val="da-DK" w:eastAsia="da-DK" w:bidi="da-DK"/>
        </w:rPr>
        <w:t>Europol Information System</w:t>
      </w:r>
    </w:p>
    <w:p w14:paraId="08C7BD7D"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val="da-DK" w:eastAsia="da-DK" w:bidi="da-DK"/>
        </w:rPr>
        <w:t xml:space="preserve">European </w:t>
      </w:r>
      <w:r w:rsidRPr="00141DCF">
        <w:rPr>
          <w:rFonts w:ascii="Times New Roman" w:hAnsi="Times New Roman" w:cs="Times New Roman"/>
          <w:noProof/>
          <w:color w:val="000000"/>
          <w:sz w:val="24"/>
          <w:szCs w:val="24"/>
          <w:lang w:bidi="en-US"/>
        </w:rPr>
        <w:t xml:space="preserve">Travel </w:t>
      </w:r>
      <w:r w:rsidRPr="00141DCF">
        <w:rPr>
          <w:rFonts w:ascii="Times New Roman" w:hAnsi="Times New Roman" w:cs="Times New Roman"/>
          <w:noProof/>
          <w:color w:val="000000"/>
          <w:sz w:val="24"/>
          <w:szCs w:val="24"/>
          <w:lang w:val="da-DK" w:eastAsia="da-DK" w:bidi="da-DK"/>
        </w:rPr>
        <w:t xml:space="preserve">Information </w:t>
      </w:r>
      <w:r w:rsidRPr="00141DCF">
        <w:rPr>
          <w:rFonts w:ascii="Times New Roman" w:hAnsi="Times New Roman" w:cs="Times New Roman"/>
          <w:noProof/>
          <w:color w:val="000000"/>
          <w:sz w:val="24"/>
          <w:szCs w:val="24"/>
          <w:lang w:bidi="en-US"/>
        </w:rPr>
        <w:t>and Authorisation System</w:t>
      </w:r>
    </w:p>
    <w:p w14:paraId="71BD22BF"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val="da-DK" w:eastAsia="da-DK" w:bidi="da-DK"/>
        </w:rPr>
        <w:t xml:space="preserve">European </w:t>
      </w:r>
      <w:r w:rsidRPr="00141DCF">
        <w:rPr>
          <w:rFonts w:ascii="Times New Roman" w:hAnsi="Times New Roman" w:cs="Times New Roman"/>
          <w:noProof/>
          <w:color w:val="000000"/>
          <w:sz w:val="24"/>
          <w:szCs w:val="24"/>
          <w:lang w:val="hr-HR" w:eastAsia="hr-HR" w:bidi="hr-HR"/>
        </w:rPr>
        <w:t xml:space="preserve">car </w:t>
      </w:r>
      <w:r w:rsidRPr="00141DCF">
        <w:rPr>
          <w:rFonts w:ascii="Times New Roman" w:hAnsi="Times New Roman" w:cs="Times New Roman"/>
          <w:noProof/>
          <w:color w:val="000000"/>
          <w:sz w:val="24"/>
          <w:szCs w:val="24"/>
          <w:lang w:bidi="en-US"/>
        </w:rPr>
        <w:t xml:space="preserve">and driving licence </w:t>
      </w:r>
      <w:r w:rsidRPr="00141DCF">
        <w:rPr>
          <w:rFonts w:ascii="Times New Roman" w:hAnsi="Times New Roman" w:cs="Times New Roman"/>
          <w:noProof/>
          <w:color w:val="000000"/>
          <w:sz w:val="24"/>
          <w:szCs w:val="24"/>
          <w:lang w:val="da-DK" w:eastAsia="da-DK" w:bidi="da-DK"/>
        </w:rPr>
        <w:t>information system</w:t>
      </w:r>
    </w:p>
    <w:p w14:paraId="7FEAFE62"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val="da-DK" w:eastAsia="da-DK" w:bidi="da-DK"/>
        </w:rPr>
        <w:t xml:space="preserve">Internal </w:t>
      </w:r>
      <w:r w:rsidRPr="00141DCF">
        <w:rPr>
          <w:rFonts w:ascii="Times New Roman" w:hAnsi="Times New Roman" w:cs="Times New Roman"/>
          <w:noProof/>
          <w:color w:val="000000"/>
          <w:sz w:val="24"/>
          <w:szCs w:val="24"/>
          <w:lang w:bidi="en-US"/>
        </w:rPr>
        <w:t>Security Fund</w:t>
      </w:r>
    </w:p>
    <w:p w14:paraId="752DDF53"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bidi="en-US"/>
        </w:rPr>
        <w:t xml:space="preserve">National Football </w:t>
      </w:r>
      <w:r w:rsidRPr="00141DCF">
        <w:rPr>
          <w:rFonts w:ascii="Times New Roman" w:hAnsi="Times New Roman" w:cs="Times New Roman"/>
          <w:noProof/>
          <w:color w:val="000000"/>
          <w:sz w:val="24"/>
          <w:szCs w:val="24"/>
          <w:lang w:val="da-DK" w:eastAsia="da-DK" w:bidi="da-DK"/>
        </w:rPr>
        <w:t xml:space="preserve">Information </w:t>
      </w:r>
      <w:r w:rsidRPr="00141DCF">
        <w:rPr>
          <w:rFonts w:ascii="Times New Roman" w:hAnsi="Times New Roman" w:cs="Times New Roman"/>
          <w:noProof/>
          <w:color w:val="000000"/>
          <w:sz w:val="24"/>
          <w:szCs w:val="24"/>
          <w:lang w:bidi="en-US"/>
        </w:rPr>
        <w:t>Point</w:t>
      </w:r>
    </w:p>
    <w:p w14:paraId="7BDD5861"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val="hr-HR" w:eastAsia="hr-HR" w:bidi="hr-HR"/>
        </w:rPr>
        <w:t xml:space="preserve">Police </w:t>
      </w:r>
      <w:r w:rsidRPr="00141DCF">
        <w:rPr>
          <w:rFonts w:ascii="Times New Roman" w:hAnsi="Times New Roman" w:cs="Times New Roman"/>
          <w:noProof/>
          <w:color w:val="000000"/>
          <w:sz w:val="24"/>
          <w:szCs w:val="24"/>
          <w:lang w:bidi="en-US"/>
        </w:rPr>
        <w:t>and Customs Cooperation Centres</w:t>
      </w:r>
    </w:p>
    <w:p w14:paraId="75946A5C"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bidi="en-US"/>
        </w:rPr>
        <w:t>Swedish Framework Decision</w:t>
      </w:r>
    </w:p>
    <w:p w14:paraId="59C145A1"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val="en-GB" w:eastAsia="nl-NL" w:bidi="nl-NL"/>
        </w:rPr>
        <w:t xml:space="preserve">Secure </w:t>
      </w:r>
      <w:r w:rsidRPr="00141DCF">
        <w:rPr>
          <w:rFonts w:ascii="Times New Roman" w:hAnsi="Times New Roman" w:cs="Times New Roman"/>
          <w:noProof/>
          <w:color w:val="000000"/>
          <w:sz w:val="24"/>
          <w:szCs w:val="24"/>
          <w:lang w:val="da-DK" w:eastAsia="da-DK" w:bidi="da-DK"/>
        </w:rPr>
        <w:t xml:space="preserve">Information </w:t>
      </w:r>
      <w:r w:rsidRPr="00141DCF">
        <w:rPr>
          <w:rFonts w:ascii="Times New Roman" w:hAnsi="Times New Roman" w:cs="Times New Roman"/>
          <w:noProof/>
          <w:color w:val="000000"/>
          <w:sz w:val="24"/>
          <w:szCs w:val="24"/>
          <w:lang w:bidi="en-US"/>
        </w:rPr>
        <w:t>Exchange Network Application</w:t>
      </w:r>
    </w:p>
    <w:p w14:paraId="66991537"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bidi="en-US"/>
        </w:rPr>
        <w:t xml:space="preserve">Schengen </w:t>
      </w:r>
      <w:r w:rsidRPr="00141DCF">
        <w:rPr>
          <w:rFonts w:ascii="Times New Roman" w:hAnsi="Times New Roman" w:cs="Times New Roman"/>
          <w:noProof/>
          <w:color w:val="000000"/>
          <w:sz w:val="24"/>
          <w:szCs w:val="24"/>
          <w:lang w:val="da-DK" w:eastAsia="da-DK" w:bidi="da-DK"/>
        </w:rPr>
        <w:t xml:space="preserve">Information </w:t>
      </w:r>
      <w:r w:rsidRPr="00141DCF">
        <w:rPr>
          <w:rFonts w:ascii="Times New Roman" w:hAnsi="Times New Roman" w:cs="Times New Roman"/>
          <w:noProof/>
          <w:color w:val="000000"/>
          <w:sz w:val="24"/>
          <w:szCs w:val="24"/>
          <w:lang w:bidi="en-US"/>
        </w:rPr>
        <w:t>System</w:t>
      </w:r>
    </w:p>
    <w:p w14:paraId="19CFD61E" w14:textId="77777777" w:rsidR="00B86F0E" w:rsidRPr="00141DCF" w:rsidRDefault="00B86F0E" w:rsidP="00B86F0E">
      <w:pPr>
        <w:spacing w:after="0" w:line="283" w:lineRule="exact"/>
        <w:rPr>
          <w:rFonts w:ascii="Times New Roman" w:hAnsi="Times New Roman" w:cs="Times New Roman"/>
          <w:noProof/>
          <w:sz w:val="24"/>
          <w:szCs w:val="24"/>
        </w:rPr>
      </w:pPr>
      <w:r w:rsidRPr="00141DCF">
        <w:rPr>
          <w:rFonts w:ascii="Times New Roman" w:hAnsi="Times New Roman" w:cs="Times New Roman"/>
          <w:noProof/>
          <w:color w:val="000000"/>
          <w:sz w:val="24"/>
          <w:szCs w:val="24"/>
          <w:lang w:bidi="en-US"/>
        </w:rPr>
        <w:t xml:space="preserve">Single Point of </w:t>
      </w:r>
      <w:r w:rsidRPr="00141DCF">
        <w:rPr>
          <w:rFonts w:ascii="Times New Roman" w:hAnsi="Times New Roman" w:cs="Times New Roman"/>
          <w:noProof/>
          <w:color w:val="000000"/>
          <w:sz w:val="24"/>
          <w:szCs w:val="24"/>
          <w:lang w:val="en-GB" w:eastAsia="nl-NL" w:bidi="nl-NL"/>
        </w:rPr>
        <w:t>Contact</w:t>
      </w:r>
    </w:p>
    <w:p w14:paraId="55560F65" w14:textId="77777777" w:rsidR="00141DCF" w:rsidRDefault="00B86F0E" w:rsidP="00B86F0E">
      <w:pPr>
        <w:spacing w:after="0" w:line="283" w:lineRule="exact"/>
        <w:rPr>
          <w:rFonts w:ascii="Times New Roman" w:hAnsi="Times New Roman" w:cs="Times New Roman"/>
          <w:noProof/>
          <w:color w:val="000000"/>
          <w:sz w:val="24"/>
          <w:szCs w:val="24"/>
          <w:lang w:bidi="en-US"/>
        </w:rPr>
      </w:pPr>
      <w:r w:rsidRPr="00141DCF">
        <w:rPr>
          <w:rFonts w:ascii="Times New Roman" w:hAnsi="Times New Roman" w:cs="Times New Roman"/>
          <w:noProof/>
          <w:color w:val="000000"/>
          <w:sz w:val="24"/>
          <w:szCs w:val="24"/>
          <w:lang w:bidi="en-US"/>
        </w:rPr>
        <w:t xml:space="preserve">Visa </w:t>
      </w:r>
      <w:r w:rsidRPr="00141DCF">
        <w:rPr>
          <w:rFonts w:ascii="Times New Roman" w:hAnsi="Times New Roman" w:cs="Times New Roman"/>
          <w:noProof/>
          <w:color w:val="000000"/>
          <w:sz w:val="24"/>
          <w:szCs w:val="24"/>
          <w:lang w:val="da-DK" w:eastAsia="da-DK" w:bidi="da-DK"/>
        </w:rPr>
        <w:t xml:space="preserve">Information </w:t>
      </w:r>
      <w:r w:rsidRPr="00141DCF">
        <w:rPr>
          <w:rFonts w:ascii="Times New Roman" w:hAnsi="Times New Roman" w:cs="Times New Roman"/>
          <w:noProof/>
          <w:color w:val="000000"/>
          <w:sz w:val="24"/>
          <w:szCs w:val="24"/>
          <w:lang w:bidi="en-US"/>
        </w:rPr>
        <w:t>System</w:t>
      </w:r>
    </w:p>
    <w:p w14:paraId="61996F01" w14:textId="77777777" w:rsidR="00141DCF" w:rsidRDefault="00141DCF" w:rsidP="00B86F0E">
      <w:pPr>
        <w:spacing w:after="0" w:line="283" w:lineRule="exact"/>
        <w:rPr>
          <w:rFonts w:ascii="Times New Roman" w:hAnsi="Times New Roman" w:cs="Times New Roman"/>
          <w:noProof/>
          <w:color w:val="000000"/>
          <w:sz w:val="24"/>
          <w:szCs w:val="24"/>
          <w:lang w:bidi="en-US"/>
        </w:rPr>
      </w:pPr>
    </w:p>
    <w:p w14:paraId="564466FB" w14:textId="77777777" w:rsidR="00B86F0E" w:rsidRPr="003A0469" w:rsidRDefault="00B86F0E" w:rsidP="00B86F0E">
      <w:pPr>
        <w:spacing w:after="0" w:line="283" w:lineRule="exact"/>
        <w:rPr>
          <w:rFonts w:ascii="Times New Roman" w:hAnsi="Times New Roman" w:cs="Times New Roman"/>
          <w:noProof/>
          <w:sz w:val="24"/>
          <w:szCs w:val="24"/>
        </w:rPr>
      </w:pPr>
      <w:r w:rsidRPr="003A0469">
        <w:rPr>
          <w:rFonts w:ascii="Times New Roman" w:hAnsi="Times New Roman" w:cs="Times New Roman"/>
          <w:noProof/>
          <w:sz w:val="24"/>
          <w:szCs w:val="24"/>
        </w:rPr>
        <w:br w:type="page"/>
      </w:r>
    </w:p>
    <w:p w14:paraId="192FA16C" w14:textId="77777777" w:rsidR="00B86F0E" w:rsidRPr="00B40683" w:rsidRDefault="00B86F0E" w:rsidP="00B86F0E">
      <w:pPr>
        <w:spacing w:after="142"/>
        <w:rPr>
          <w:rFonts w:ascii="Times New Roman" w:hAnsi="Times New Roman" w:cs="Times New Roman"/>
          <w:b/>
          <w:noProof/>
          <w:sz w:val="24"/>
          <w:szCs w:val="24"/>
        </w:rPr>
      </w:pPr>
      <w:r w:rsidRPr="00B40683">
        <w:rPr>
          <w:rStyle w:val="Bodytext50"/>
          <w:rFonts w:ascii="Times New Roman" w:hAnsi="Times New Roman" w:cs="Times New Roman"/>
          <w:bCs w:val="0"/>
          <w:noProof/>
          <w:color w:val="auto"/>
          <w:sz w:val="24"/>
          <w:szCs w:val="24"/>
        </w:rPr>
        <w:t>Opening remarks from the European Commission</w:t>
      </w:r>
    </w:p>
    <w:p w14:paraId="535077D6" w14:textId="77777777" w:rsidR="00B86F0E" w:rsidRPr="00B40683" w:rsidRDefault="00B86F0E" w:rsidP="00900BC7">
      <w:pPr>
        <w:widowControl w:val="0"/>
        <w:numPr>
          <w:ilvl w:val="0"/>
          <w:numId w:val="55"/>
        </w:numPr>
        <w:tabs>
          <w:tab w:val="left" w:pos="735"/>
        </w:tabs>
        <w:spacing w:after="120" w:line="240" w:lineRule="exact"/>
        <w:ind w:left="760" w:hanging="380"/>
        <w:jc w:val="both"/>
        <w:rPr>
          <w:rFonts w:ascii="Times New Roman" w:hAnsi="Times New Roman" w:cs="Times New Roman"/>
          <w:noProof/>
          <w:sz w:val="24"/>
          <w:szCs w:val="24"/>
        </w:rPr>
      </w:pPr>
      <w:r w:rsidRPr="00B40683">
        <w:rPr>
          <w:rStyle w:val="Bodytext2Bold"/>
          <w:rFonts w:ascii="Times New Roman" w:hAnsi="Times New Roman" w:cs="Times New Roman"/>
          <w:noProof/>
          <w:sz w:val="24"/>
          <w:szCs w:val="24"/>
        </w:rPr>
        <w:t xml:space="preserve">Security has been a priority for the European Commission </w:t>
      </w:r>
      <w:r w:rsidRPr="00B40683">
        <w:rPr>
          <w:rFonts w:ascii="Times New Roman" w:hAnsi="Times New Roman" w:cs="Times New Roman"/>
          <w:noProof/>
          <w:color w:val="000000"/>
          <w:sz w:val="24"/>
          <w:szCs w:val="24"/>
          <w:lang w:bidi="en-US"/>
        </w:rPr>
        <w:t xml:space="preserve">(hereafter the Commission) </w:t>
      </w:r>
      <w:r w:rsidRPr="00B40683">
        <w:rPr>
          <w:rStyle w:val="Bodytext2Bold"/>
          <w:rFonts w:ascii="Times New Roman" w:hAnsi="Times New Roman" w:cs="Times New Roman"/>
          <w:noProof/>
          <w:sz w:val="24"/>
          <w:szCs w:val="24"/>
        </w:rPr>
        <w:t>from its very beginning</w:t>
      </w:r>
      <w:r w:rsidRPr="00B40683">
        <w:rPr>
          <w:rFonts w:ascii="Times New Roman" w:hAnsi="Times New Roman" w:cs="Times New Roman"/>
          <w:noProof/>
          <w:color w:val="000000"/>
          <w:sz w:val="24"/>
          <w:szCs w:val="24"/>
          <w:lang w:bidi="en-US"/>
        </w:rPr>
        <w:t xml:space="preserve">. A lot has already been done over the past years, like for instance: the revision of the Schengen Border Code, the revision of the Schengen Information System </w:t>
      </w:r>
      <w:r w:rsidRPr="00B40683">
        <w:rPr>
          <w:rFonts w:ascii="Times New Roman" w:hAnsi="Times New Roman" w:cs="Times New Roman"/>
          <w:noProof/>
          <w:color w:val="000000"/>
          <w:sz w:val="24"/>
          <w:szCs w:val="24"/>
          <w:lang w:val="hr-HR" w:eastAsia="hr-HR" w:bidi="hr-HR"/>
        </w:rPr>
        <w:t xml:space="preserve">(SIS </w:t>
      </w:r>
      <w:r w:rsidRPr="00B40683">
        <w:rPr>
          <w:rFonts w:ascii="Times New Roman" w:hAnsi="Times New Roman" w:cs="Times New Roman"/>
          <w:noProof/>
          <w:color w:val="000000"/>
          <w:sz w:val="24"/>
          <w:szCs w:val="24"/>
          <w:lang w:bidi="en-US"/>
        </w:rPr>
        <w:t>II) and the very recently adopted interoperability regulations.</w:t>
      </w:r>
      <w:r w:rsidRPr="00B40683">
        <w:rPr>
          <w:rFonts w:ascii="Times New Roman" w:hAnsi="Times New Roman" w:cs="Times New Roman"/>
          <w:noProof/>
          <w:color w:val="000000"/>
          <w:sz w:val="24"/>
          <w:szCs w:val="24"/>
          <w:vertAlign w:val="superscript"/>
          <w:lang w:bidi="en-US"/>
        </w:rPr>
        <w:footnoteReference w:id="334"/>
      </w:r>
      <w:r w:rsidRPr="00B40683">
        <w:rPr>
          <w:rFonts w:ascii="Times New Roman" w:hAnsi="Times New Roman" w:cs="Times New Roman"/>
          <w:noProof/>
          <w:color w:val="000000"/>
          <w:sz w:val="24"/>
          <w:szCs w:val="24"/>
          <w:vertAlign w:val="superscript"/>
          <w:lang w:bidi="en-US"/>
        </w:rPr>
        <w:t xml:space="preserve"> </w:t>
      </w:r>
      <w:r w:rsidRPr="00B40683">
        <w:rPr>
          <w:rFonts w:ascii="Times New Roman" w:hAnsi="Times New Roman" w:cs="Times New Roman"/>
          <w:noProof/>
          <w:color w:val="000000"/>
          <w:sz w:val="24"/>
          <w:szCs w:val="24"/>
          <w:lang w:bidi="en-US"/>
        </w:rPr>
        <w:t xml:space="preserve">However, operational cross-border cooperation between Law Enforcement authorities inside the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 xml:space="preserve">continues to face challenges, and there is still room for further improvement. The findings of the Schengen evaluations in the field of police cooperation, and recent Council analytical </w:t>
      </w:r>
      <w:r w:rsidRPr="00B40683">
        <w:rPr>
          <w:rFonts w:ascii="Times New Roman" w:hAnsi="Times New Roman" w:cs="Times New Roman"/>
          <w:noProof/>
          <w:color w:val="000000"/>
          <w:sz w:val="24"/>
          <w:szCs w:val="24"/>
          <w:lang w:val="en-GB" w:eastAsia="nl-NL" w:bidi="nl-NL"/>
        </w:rPr>
        <w:t xml:space="preserve">papers, </w:t>
      </w:r>
      <w:r w:rsidRPr="00B40683">
        <w:rPr>
          <w:rFonts w:ascii="Times New Roman" w:hAnsi="Times New Roman" w:cs="Times New Roman"/>
          <w:noProof/>
          <w:color w:val="000000"/>
          <w:sz w:val="24"/>
          <w:szCs w:val="24"/>
          <w:lang w:bidi="en-US"/>
        </w:rPr>
        <w:t>further confirm this.</w:t>
      </w:r>
    </w:p>
    <w:p w14:paraId="41F44191" w14:textId="77777777" w:rsidR="00B86F0E" w:rsidRPr="00B40683" w:rsidRDefault="00B86F0E" w:rsidP="00900BC7">
      <w:pPr>
        <w:widowControl w:val="0"/>
        <w:numPr>
          <w:ilvl w:val="0"/>
          <w:numId w:val="55"/>
        </w:numPr>
        <w:tabs>
          <w:tab w:val="left" w:pos="735"/>
        </w:tabs>
        <w:spacing w:after="0" w:line="240" w:lineRule="exact"/>
        <w:ind w:left="760" w:hanging="38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The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legal framework is highly fragmented and somewhat outdated</w:t>
      </w:r>
      <w:r w:rsidRPr="00B40683">
        <w:rPr>
          <w:rStyle w:val="Bodytext4NotBold"/>
          <w:rFonts w:ascii="Times New Roman" w:eastAsiaTheme="minorHAnsi" w:hAnsi="Times New Roman" w:cs="Times New Roman"/>
          <w:b w:val="0"/>
          <w:noProof/>
          <w:sz w:val="24"/>
          <w:szCs w:val="24"/>
        </w:rPr>
        <w:t>. The</w:t>
      </w:r>
    </w:p>
    <w:p w14:paraId="52842B72" w14:textId="77777777" w:rsidR="00B86F0E" w:rsidRPr="00B40683" w:rsidRDefault="00B86F0E" w:rsidP="00B86F0E">
      <w:pPr>
        <w:spacing w:after="120" w:line="240" w:lineRule="exact"/>
        <w:ind w:left="7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bedrock for law enforcement cooperation has been and remains the 1990 Convention Implementing the Schengen Agreement (CISA). </w:t>
      </w:r>
      <w:r w:rsidRPr="00B40683">
        <w:rPr>
          <w:rFonts w:ascii="Times New Roman" w:hAnsi="Times New Roman" w:cs="Times New Roman"/>
          <w:noProof/>
          <w:color w:val="000000"/>
          <w:sz w:val="24"/>
          <w:szCs w:val="24"/>
          <w:lang w:val="da-DK" w:eastAsia="da-DK" w:bidi="da-DK"/>
        </w:rPr>
        <w:t xml:space="preserve">This </w:t>
      </w:r>
      <w:r w:rsidRPr="00B40683">
        <w:rPr>
          <w:rFonts w:ascii="Times New Roman" w:hAnsi="Times New Roman" w:cs="Times New Roman"/>
          <w:noProof/>
          <w:color w:val="000000"/>
          <w:sz w:val="24"/>
          <w:szCs w:val="24"/>
          <w:lang w:bidi="en-US"/>
        </w:rPr>
        <w:t xml:space="preserve">has been complemented by the </w:t>
      </w:r>
      <w:r w:rsidRPr="00B40683">
        <w:rPr>
          <w:rFonts w:ascii="Times New Roman" w:hAnsi="Times New Roman" w:cs="Times New Roman"/>
          <w:noProof/>
          <w:color w:val="000000"/>
          <w:sz w:val="24"/>
          <w:szCs w:val="24"/>
          <w:lang w:val="de-DE" w:eastAsia="de-DE" w:bidi="de-DE"/>
        </w:rPr>
        <w:t xml:space="preserve">Prüm </w:t>
      </w:r>
      <w:r w:rsidRPr="00B40683">
        <w:rPr>
          <w:rFonts w:ascii="Times New Roman" w:hAnsi="Times New Roman" w:cs="Times New Roman"/>
          <w:noProof/>
          <w:color w:val="000000"/>
          <w:sz w:val="24"/>
          <w:szCs w:val="24"/>
          <w:lang w:bidi="en-US"/>
        </w:rPr>
        <w:t>Decisions,</w:t>
      </w:r>
      <w:r w:rsidRPr="00B40683">
        <w:rPr>
          <w:rFonts w:ascii="Times New Roman" w:hAnsi="Times New Roman" w:cs="Times New Roman"/>
          <w:noProof/>
          <w:color w:val="000000"/>
          <w:sz w:val="24"/>
          <w:szCs w:val="24"/>
          <w:vertAlign w:val="superscript"/>
          <w:lang w:bidi="en-US"/>
        </w:rPr>
        <w:footnoteReference w:id="335"/>
      </w:r>
      <w:r w:rsidRPr="00B40683">
        <w:rPr>
          <w:rFonts w:ascii="Times New Roman" w:hAnsi="Times New Roman" w:cs="Times New Roman"/>
          <w:noProof/>
          <w:color w:val="000000"/>
          <w:sz w:val="24"/>
          <w:szCs w:val="24"/>
          <w:lang w:bidi="en-US"/>
        </w:rPr>
        <w:t xml:space="preserve"> widening the scope for operational cooperation also to public order and safety matters, and by some sectorial Council Decisions such as the one on Liaison officers for football matches. Member States and Schengen Associated Countries have built on this foundation to further develop their cooperation through bi/tri/multi-lateral agreements. While these agreements may be subject to regular renegotiations by participating countries, the EU legal framework has not undergone a systematic and thorough update. Subsequently, the </w:t>
      </w:r>
      <w:r w:rsidRPr="00B40683">
        <w:rPr>
          <w:rFonts w:ascii="Times New Roman" w:hAnsi="Times New Roman" w:cs="Times New Roman"/>
          <w:noProof/>
          <w:color w:val="000000"/>
          <w:sz w:val="24"/>
          <w:szCs w:val="24"/>
          <w:lang w:val="de-DE" w:eastAsia="de-DE" w:bidi="de-DE"/>
        </w:rPr>
        <w:t xml:space="preserve">EU </w:t>
      </w:r>
      <w:r w:rsidRPr="00B40683">
        <w:rPr>
          <w:rFonts w:ascii="Times New Roman" w:hAnsi="Times New Roman" w:cs="Times New Roman"/>
          <w:noProof/>
          <w:color w:val="000000"/>
          <w:sz w:val="24"/>
          <w:szCs w:val="24"/>
          <w:lang w:bidi="en-US"/>
        </w:rPr>
        <w:t>and bi/multilateral provisions are found to have drifted apart one from the other to various degree.</w:t>
      </w:r>
    </w:p>
    <w:p w14:paraId="5962605F" w14:textId="77777777" w:rsidR="00B86F0E" w:rsidRPr="00B40683" w:rsidRDefault="00B86F0E" w:rsidP="00900BC7">
      <w:pPr>
        <w:widowControl w:val="0"/>
        <w:numPr>
          <w:ilvl w:val="0"/>
          <w:numId w:val="55"/>
        </w:numPr>
        <w:tabs>
          <w:tab w:val="left" w:pos="735"/>
        </w:tabs>
        <w:spacing w:after="120" w:line="240" w:lineRule="exact"/>
        <w:ind w:left="760" w:hanging="380"/>
        <w:jc w:val="both"/>
        <w:rPr>
          <w:rFonts w:ascii="Times New Roman" w:hAnsi="Times New Roman" w:cs="Times New Roman"/>
          <w:noProof/>
          <w:sz w:val="24"/>
          <w:szCs w:val="24"/>
        </w:rPr>
      </w:pPr>
      <w:r w:rsidRPr="00B40683">
        <w:rPr>
          <w:rStyle w:val="Bodytext2Bold"/>
          <w:rFonts w:ascii="Times New Roman" w:hAnsi="Times New Roman" w:cs="Times New Roman"/>
          <w:noProof/>
          <w:sz w:val="24"/>
          <w:szCs w:val="24"/>
        </w:rPr>
        <w:t>Significant principles of cross-border cooperation have been set out in non</w:t>
      </w:r>
      <w:r w:rsidRPr="00B40683">
        <w:rPr>
          <w:rStyle w:val="Bodytext2Bold"/>
          <w:rFonts w:ascii="Times New Roman" w:hAnsi="Times New Roman" w:cs="Times New Roman"/>
          <w:noProof/>
          <w:sz w:val="24"/>
          <w:szCs w:val="24"/>
        </w:rPr>
        <w:softHyphen/>
        <w:t xml:space="preserve">binding Council guidance </w:t>
      </w:r>
      <w:r w:rsidRPr="00B40683">
        <w:rPr>
          <w:rFonts w:ascii="Times New Roman" w:hAnsi="Times New Roman" w:cs="Times New Roman"/>
          <w:noProof/>
          <w:color w:val="000000"/>
          <w:sz w:val="24"/>
          <w:szCs w:val="24"/>
          <w:lang w:bidi="en-US"/>
        </w:rPr>
        <w:t>such as for Single Point of Contact (SPOCs) and Police and Customs Cooperation Centres (PCCCs), and at times these non-binding provisions are found to be lacking the necessary enforcement powers.</w:t>
      </w:r>
    </w:p>
    <w:p w14:paraId="2E17F2C1" w14:textId="77777777" w:rsidR="00B86F0E" w:rsidRPr="00B40683" w:rsidRDefault="00B86F0E" w:rsidP="00900BC7">
      <w:pPr>
        <w:widowControl w:val="0"/>
        <w:numPr>
          <w:ilvl w:val="0"/>
          <w:numId w:val="55"/>
        </w:numPr>
        <w:tabs>
          <w:tab w:val="left" w:pos="735"/>
        </w:tabs>
        <w:spacing w:after="0" w:line="240" w:lineRule="exact"/>
        <w:ind w:left="760" w:hanging="38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There is a need for European action at the external borders and within the </w:t>
      </w:r>
      <w:r w:rsidRPr="00B40683">
        <w:rPr>
          <w:rFonts w:ascii="Times New Roman" w:hAnsi="Times New Roman" w:cs="Times New Roman"/>
          <w:noProof/>
          <w:color w:val="000000"/>
          <w:sz w:val="24"/>
          <w:szCs w:val="24"/>
          <w:lang w:val="de-DE" w:eastAsia="de-DE" w:bidi="de-DE"/>
        </w:rPr>
        <w:t>EU.</w:t>
      </w:r>
    </w:p>
    <w:p w14:paraId="67C8B293" w14:textId="77777777" w:rsidR="00B86F0E" w:rsidRDefault="00B86F0E" w:rsidP="00B86F0E">
      <w:pPr>
        <w:spacing w:after="238" w:line="240" w:lineRule="exact"/>
        <w:ind w:left="760"/>
        <w:jc w:val="both"/>
        <w:rPr>
          <w:rFonts w:ascii="Times New Roman" w:hAnsi="Times New Roman" w:cs="Times New Roman"/>
          <w:noProof/>
          <w:color w:val="000000"/>
          <w:sz w:val="24"/>
          <w:szCs w:val="24"/>
          <w:lang w:bidi="en-US"/>
        </w:rPr>
      </w:pPr>
      <w:r w:rsidRPr="00B40683">
        <w:rPr>
          <w:rFonts w:ascii="Times New Roman" w:hAnsi="Times New Roman" w:cs="Times New Roman"/>
          <w:noProof/>
          <w:color w:val="000000"/>
          <w:sz w:val="24"/>
          <w:szCs w:val="24"/>
          <w:lang w:bidi="en-US"/>
        </w:rPr>
        <w:t xml:space="preserve">Even though each Member State is responsible for fighting criminal threats on its own territory, their increasing cross-border dimension calls now, perhaps more than ever, the need for </w:t>
      </w:r>
      <w:r w:rsidRPr="00B40683">
        <w:rPr>
          <w:rFonts w:ascii="Times New Roman" w:hAnsi="Times New Roman" w:cs="Times New Roman"/>
          <w:noProof/>
          <w:color w:val="000000"/>
          <w:sz w:val="24"/>
          <w:szCs w:val="24"/>
          <w:lang w:val="de-DE" w:eastAsia="de-DE" w:bidi="de-DE"/>
        </w:rPr>
        <w:t xml:space="preserve">EU </w:t>
      </w:r>
      <w:r w:rsidRPr="00B40683">
        <w:rPr>
          <w:rFonts w:ascii="Times New Roman" w:hAnsi="Times New Roman" w:cs="Times New Roman"/>
          <w:noProof/>
          <w:color w:val="000000"/>
          <w:sz w:val="24"/>
          <w:szCs w:val="24"/>
          <w:lang w:bidi="en-US"/>
        </w:rPr>
        <w:t xml:space="preserve">action. Therefore, the Commission announced a legal initiative by the end of the year to modernise existing intra-EU Law Enforcement cooperation. The study that EY and RAND Europe are undertaking will provide evidence to the Commission to inform future decisions in this regard and aim, among others, to answer questions like: is the access to information by SPOCs or PCCCs fit for purpose? What do we need to better address security risks during mass events? Do we need a significant step-up in the collective </w:t>
      </w:r>
      <w:r w:rsidRPr="00B40683">
        <w:rPr>
          <w:rFonts w:ascii="Times New Roman" w:hAnsi="Times New Roman" w:cs="Times New Roman"/>
          <w:noProof/>
          <w:color w:val="000000"/>
          <w:sz w:val="24"/>
          <w:szCs w:val="24"/>
          <w:lang w:val="da-DK" w:eastAsia="da-DK" w:bidi="da-DK"/>
        </w:rPr>
        <w:t xml:space="preserve">fight </w:t>
      </w:r>
      <w:r w:rsidRPr="00B40683">
        <w:rPr>
          <w:rFonts w:ascii="Times New Roman" w:hAnsi="Times New Roman" w:cs="Times New Roman"/>
          <w:noProof/>
          <w:color w:val="000000"/>
          <w:sz w:val="24"/>
          <w:szCs w:val="24"/>
          <w:lang w:bidi="en-US"/>
        </w:rPr>
        <w:t xml:space="preserve">against cross-border </w:t>
      </w:r>
      <w:r w:rsidRPr="00B40683">
        <w:rPr>
          <w:rFonts w:ascii="Times New Roman" w:hAnsi="Times New Roman" w:cs="Times New Roman"/>
          <w:noProof/>
          <w:color w:val="000000"/>
          <w:sz w:val="24"/>
          <w:szCs w:val="24"/>
          <w:lang w:val="en-GB" w:eastAsia="nl-NL" w:bidi="nl-NL"/>
        </w:rPr>
        <w:t xml:space="preserve">crime? </w:t>
      </w:r>
      <w:r w:rsidRPr="00B40683">
        <w:rPr>
          <w:rFonts w:ascii="Times New Roman" w:hAnsi="Times New Roman" w:cs="Times New Roman"/>
          <w:noProof/>
          <w:color w:val="000000"/>
          <w:sz w:val="24"/>
          <w:szCs w:val="24"/>
          <w:lang w:bidi="en-US"/>
        </w:rPr>
        <w:t xml:space="preserve">Answering </w:t>
      </w:r>
      <w:r w:rsidRPr="00B40683">
        <w:rPr>
          <w:rFonts w:ascii="Times New Roman" w:hAnsi="Times New Roman" w:cs="Times New Roman"/>
          <w:noProof/>
          <w:color w:val="000000"/>
          <w:sz w:val="24"/>
          <w:szCs w:val="24"/>
          <w:lang w:val="cs-CZ" w:eastAsia="cs-CZ" w:bidi="cs-CZ"/>
        </w:rPr>
        <w:t xml:space="preserve">these </w:t>
      </w:r>
      <w:r w:rsidRPr="00B40683">
        <w:rPr>
          <w:rFonts w:ascii="Times New Roman" w:hAnsi="Times New Roman" w:cs="Times New Roman"/>
          <w:noProof/>
          <w:color w:val="000000"/>
          <w:sz w:val="24"/>
          <w:szCs w:val="24"/>
          <w:lang w:bidi="en-US"/>
        </w:rPr>
        <w:t xml:space="preserve">questions is </w:t>
      </w:r>
      <w:r w:rsidRPr="00B40683">
        <w:rPr>
          <w:rFonts w:ascii="Times New Roman" w:hAnsi="Times New Roman" w:cs="Times New Roman"/>
          <w:noProof/>
          <w:color w:val="000000"/>
          <w:sz w:val="24"/>
          <w:szCs w:val="24"/>
          <w:lang w:val="cs-CZ" w:eastAsia="cs-CZ" w:bidi="cs-CZ"/>
        </w:rPr>
        <w:t xml:space="preserve">part </w:t>
      </w:r>
      <w:r w:rsidRPr="00B40683">
        <w:rPr>
          <w:rFonts w:ascii="Times New Roman" w:hAnsi="Times New Roman" w:cs="Times New Roman"/>
          <w:noProof/>
          <w:color w:val="000000"/>
          <w:sz w:val="24"/>
          <w:szCs w:val="24"/>
          <w:lang w:bidi="en-US"/>
        </w:rPr>
        <w:t xml:space="preserve">of a wider consultation process composed of surveys, </w:t>
      </w:r>
      <w:r w:rsidRPr="00B40683">
        <w:rPr>
          <w:rFonts w:ascii="Times New Roman" w:hAnsi="Times New Roman" w:cs="Times New Roman"/>
          <w:noProof/>
          <w:color w:val="000000"/>
          <w:sz w:val="24"/>
          <w:szCs w:val="24"/>
          <w:lang w:val="da-DK" w:eastAsia="da-DK" w:bidi="da-DK"/>
        </w:rPr>
        <w:t xml:space="preserve">interviews </w:t>
      </w:r>
      <w:r w:rsidRPr="00B40683">
        <w:rPr>
          <w:rFonts w:ascii="Times New Roman" w:hAnsi="Times New Roman" w:cs="Times New Roman"/>
          <w:noProof/>
          <w:color w:val="000000"/>
          <w:sz w:val="24"/>
          <w:szCs w:val="24"/>
          <w:lang w:bidi="en-US"/>
        </w:rPr>
        <w:t xml:space="preserve">and </w:t>
      </w:r>
      <w:r w:rsidRPr="00B40683">
        <w:rPr>
          <w:rFonts w:ascii="Times New Roman" w:hAnsi="Times New Roman" w:cs="Times New Roman"/>
          <w:noProof/>
          <w:color w:val="000000"/>
          <w:sz w:val="24"/>
          <w:szCs w:val="24"/>
          <w:lang w:val="cs-CZ" w:eastAsia="cs-CZ" w:bidi="cs-CZ"/>
        </w:rPr>
        <w:t xml:space="preserve">case </w:t>
      </w:r>
      <w:r w:rsidRPr="00B40683">
        <w:rPr>
          <w:rFonts w:ascii="Times New Roman" w:hAnsi="Times New Roman" w:cs="Times New Roman"/>
          <w:noProof/>
          <w:color w:val="000000"/>
          <w:sz w:val="24"/>
          <w:szCs w:val="24"/>
          <w:lang w:bidi="en-US"/>
        </w:rPr>
        <w:t xml:space="preserve">studies each covering a </w:t>
      </w:r>
      <w:r w:rsidRPr="00B40683">
        <w:rPr>
          <w:rFonts w:ascii="Times New Roman" w:hAnsi="Times New Roman" w:cs="Times New Roman"/>
          <w:noProof/>
          <w:color w:val="000000"/>
          <w:sz w:val="24"/>
          <w:szCs w:val="24"/>
          <w:lang w:val="en-GB" w:eastAsia="nl-NL" w:bidi="nl-NL"/>
        </w:rPr>
        <w:t xml:space="preserve">different </w:t>
      </w:r>
      <w:r w:rsidRPr="00B40683">
        <w:rPr>
          <w:rFonts w:ascii="Times New Roman" w:hAnsi="Times New Roman" w:cs="Times New Roman"/>
          <w:noProof/>
          <w:color w:val="000000"/>
          <w:sz w:val="24"/>
          <w:szCs w:val="24"/>
          <w:lang w:bidi="en-US"/>
        </w:rPr>
        <w:t xml:space="preserve">angle of the </w:t>
      </w:r>
      <w:r w:rsidRPr="00B40683">
        <w:rPr>
          <w:rFonts w:ascii="Times New Roman" w:hAnsi="Times New Roman" w:cs="Times New Roman"/>
          <w:noProof/>
          <w:color w:val="000000"/>
          <w:sz w:val="24"/>
          <w:szCs w:val="24"/>
          <w:lang w:val="en-GB" w:eastAsia="nl-NL" w:bidi="nl-NL"/>
        </w:rPr>
        <w:t xml:space="preserve">subject </w:t>
      </w:r>
      <w:r w:rsidRPr="00B40683">
        <w:rPr>
          <w:rFonts w:ascii="Times New Roman" w:hAnsi="Times New Roman" w:cs="Times New Roman"/>
          <w:noProof/>
          <w:color w:val="000000"/>
          <w:sz w:val="24"/>
          <w:szCs w:val="24"/>
          <w:lang w:bidi="en-US"/>
        </w:rPr>
        <w:t xml:space="preserve">matter. </w:t>
      </w:r>
      <w:r w:rsidRPr="00B40683">
        <w:rPr>
          <w:rFonts w:ascii="Times New Roman" w:hAnsi="Times New Roman" w:cs="Times New Roman"/>
          <w:noProof/>
          <w:color w:val="000000"/>
          <w:sz w:val="24"/>
          <w:szCs w:val="24"/>
          <w:lang w:val="en-GB" w:eastAsia="nl-NL" w:bidi="nl-NL"/>
        </w:rPr>
        <w:t xml:space="preserve">The </w:t>
      </w:r>
      <w:r w:rsidRPr="00B40683">
        <w:rPr>
          <w:rFonts w:ascii="Times New Roman" w:hAnsi="Times New Roman" w:cs="Times New Roman"/>
          <w:noProof/>
          <w:color w:val="000000"/>
          <w:sz w:val="24"/>
          <w:szCs w:val="24"/>
          <w:lang w:bidi="en-US"/>
        </w:rPr>
        <w:t xml:space="preserve">Technical workshop is </w:t>
      </w:r>
      <w:r w:rsidRPr="00B40683">
        <w:rPr>
          <w:rFonts w:ascii="Times New Roman" w:hAnsi="Times New Roman" w:cs="Times New Roman"/>
          <w:noProof/>
          <w:color w:val="000000"/>
          <w:sz w:val="24"/>
          <w:szCs w:val="24"/>
          <w:lang w:val="cs-CZ" w:eastAsia="cs-CZ" w:bidi="cs-CZ"/>
        </w:rPr>
        <w:t xml:space="preserve">part </w:t>
      </w:r>
      <w:r w:rsidRPr="00B40683">
        <w:rPr>
          <w:rFonts w:ascii="Times New Roman" w:hAnsi="Times New Roman" w:cs="Times New Roman"/>
          <w:noProof/>
          <w:color w:val="000000"/>
          <w:sz w:val="24"/>
          <w:szCs w:val="24"/>
          <w:lang w:bidi="en-US"/>
        </w:rPr>
        <w:t xml:space="preserve">of the consultation process and aims to better </w:t>
      </w:r>
      <w:r w:rsidRPr="00B40683">
        <w:rPr>
          <w:rFonts w:ascii="Times New Roman" w:hAnsi="Times New Roman" w:cs="Times New Roman"/>
          <w:noProof/>
          <w:color w:val="000000"/>
          <w:sz w:val="24"/>
          <w:szCs w:val="24"/>
          <w:lang w:val="da-DK" w:eastAsia="da-DK" w:bidi="da-DK"/>
        </w:rPr>
        <w:t xml:space="preserve">understand </w:t>
      </w:r>
      <w:r w:rsidRPr="00B40683">
        <w:rPr>
          <w:rFonts w:ascii="Times New Roman" w:hAnsi="Times New Roman" w:cs="Times New Roman"/>
          <w:noProof/>
          <w:color w:val="000000"/>
          <w:sz w:val="24"/>
          <w:szCs w:val="24"/>
          <w:lang w:bidi="en-US"/>
        </w:rPr>
        <w:t xml:space="preserve">what </w:t>
      </w:r>
      <w:r w:rsidRPr="00B40683">
        <w:rPr>
          <w:rFonts w:ascii="Times New Roman" w:hAnsi="Times New Roman" w:cs="Times New Roman"/>
          <w:noProof/>
          <w:color w:val="000000"/>
          <w:sz w:val="24"/>
          <w:szCs w:val="24"/>
          <w:lang w:val="cs-CZ" w:eastAsia="cs-CZ" w:bidi="cs-CZ"/>
        </w:rPr>
        <w:t xml:space="preserve">works, </w:t>
      </w:r>
      <w:r w:rsidRPr="00B40683">
        <w:rPr>
          <w:rFonts w:ascii="Times New Roman" w:hAnsi="Times New Roman" w:cs="Times New Roman"/>
          <w:noProof/>
          <w:color w:val="000000"/>
          <w:sz w:val="24"/>
          <w:szCs w:val="24"/>
          <w:lang w:bidi="en-US"/>
        </w:rPr>
        <w:t>what does not and what could be done in order to improve the current situation. A second workshop will be held in May to discuss about possible options for the future.</w:t>
      </w:r>
    </w:p>
    <w:p w14:paraId="197790CA" w14:textId="77777777" w:rsidR="00B86F0E" w:rsidRPr="00B40683" w:rsidRDefault="00B86F0E" w:rsidP="00B86F0E">
      <w:pPr>
        <w:spacing w:after="139"/>
        <w:rPr>
          <w:rFonts w:ascii="Times New Roman" w:hAnsi="Times New Roman" w:cs="Times New Roman"/>
          <w:b/>
          <w:noProof/>
          <w:sz w:val="24"/>
          <w:szCs w:val="24"/>
        </w:rPr>
      </w:pPr>
      <w:r w:rsidRPr="00B40683">
        <w:rPr>
          <w:rStyle w:val="Bodytext50"/>
          <w:rFonts w:ascii="Times New Roman" w:hAnsi="Times New Roman" w:cs="Times New Roman"/>
          <w:bCs w:val="0"/>
          <w:noProof/>
          <w:color w:val="auto"/>
          <w:sz w:val="24"/>
          <w:szCs w:val="24"/>
        </w:rPr>
        <w:t>Presentation of the study and preliminary findings</w:t>
      </w:r>
    </w:p>
    <w:p w14:paraId="1AFA51A1" w14:textId="77777777" w:rsidR="00B86F0E" w:rsidRPr="00B40683" w:rsidRDefault="00B86F0E" w:rsidP="00900BC7">
      <w:pPr>
        <w:widowControl w:val="0"/>
        <w:numPr>
          <w:ilvl w:val="0"/>
          <w:numId w:val="55"/>
        </w:numPr>
        <w:tabs>
          <w:tab w:val="left" w:pos="759"/>
        </w:tabs>
        <w:spacing w:after="116" w:line="240" w:lineRule="exact"/>
        <w:ind w:left="760" w:hanging="360"/>
        <w:jc w:val="both"/>
        <w:rPr>
          <w:rFonts w:ascii="Times New Roman" w:hAnsi="Times New Roman" w:cs="Times New Roman"/>
          <w:noProof/>
          <w:sz w:val="24"/>
          <w:szCs w:val="24"/>
        </w:rPr>
      </w:pPr>
      <w:r w:rsidRPr="00B40683">
        <w:rPr>
          <w:rStyle w:val="Bodytext2Bold"/>
          <w:rFonts w:ascii="Times New Roman" w:hAnsi="Times New Roman" w:cs="Times New Roman"/>
          <w:noProof/>
          <w:sz w:val="24"/>
          <w:szCs w:val="24"/>
        </w:rPr>
        <w:t>There is not a clear-cut distinction between law enforcement authorities entitled to use the Swedish Framework Decision</w:t>
      </w:r>
      <w:r w:rsidRPr="00B40683">
        <w:rPr>
          <w:rStyle w:val="Bodytext265ptBold"/>
          <w:rFonts w:ascii="Times New Roman" w:hAnsi="Times New Roman" w:cs="Times New Roman"/>
          <w:noProof/>
          <w:sz w:val="24"/>
          <w:szCs w:val="24"/>
          <w:vertAlign w:val="superscript"/>
        </w:rPr>
        <w:footnoteReference w:id="336"/>
      </w:r>
      <w:r w:rsidRPr="00B40683">
        <w:rPr>
          <w:rStyle w:val="Bodytext2Bold"/>
          <w:rFonts w:ascii="Times New Roman" w:hAnsi="Times New Roman" w:cs="Times New Roman"/>
          <w:noProof/>
          <w:sz w:val="24"/>
          <w:szCs w:val="24"/>
        </w:rPr>
        <w:t xml:space="preserve"> (SFD) and those entitled to use the Naples II Convention</w:t>
      </w:r>
      <w:r w:rsidRPr="00B40683">
        <w:rPr>
          <w:rFonts w:ascii="Times New Roman" w:hAnsi="Times New Roman" w:cs="Times New Roman"/>
          <w:noProof/>
          <w:color w:val="000000"/>
          <w:sz w:val="24"/>
          <w:szCs w:val="24"/>
          <w:lang w:bidi="en-US"/>
        </w:rPr>
        <w:t xml:space="preserve">. In </w:t>
      </w:r>
      <w:r w:rsidRPr="00B40683">
        <w:rPr>
          <w:rFonts w:ascii="Times New Roman" w:hAnsi="Times New Roman" w:cs="Times New Roman"/>
          <w:noProof/>
          <w:color w:val="000000"/>
          <w:sz w:val="24"/>
          <w:szCs w:val="24"/>
          <w:lang w:val="en-GB" w:eastAsia="fr-FR" w:bidi="fr-FR"/>
        </w:rPr>
        <w:t xml:space="preserve">ES, </w:t>
      </w:r>
      <w:r w:rsidRPr="00B40683">
        <w:rPr>
          <w:rFonts w:ascii="Times New Roman" w:hAnsi="Times New Roman" w:cs="Times New Roman"/>
          <w:noProof/>
          <w:color w:val="000000"/>
          <w:sz w:val="24"/>
          <w:szCs w:val="24"/>
          <w:lang w:bidi="en-US"/>
        </w:rPr>
        <w:t xml:space="preserve">the national legislation which transposes the SFD states that both Police and Customs can implement measures included in the SFD and in the Naples II. In IT, the Naples II Convention can be implemented only by Customs authorities and law enforcement authorities with Customs duties. When ratifying the Convention, Member States have defined the authorities that could implement it. Even though Customs usually refer to the Naples II Convention and </w:t>
      </w:r>
      <w:r w:rsidRPr="00B40683">
        <w:rPr>
          <w:rFonts w:ascii="Times New Roman" w:hAnsi="Times New Roman" w:cs="Times New Roman"/>
          <w:noProof/>
          <w:color w:val="000000"/>
          <w:sz w:val="24"/>
          <w:szCs w:val="24"/>
          <w:lang w:val="hr-HR" w:eastAsia="hr-HR" w:bidi="hr-HR"/>
        </w:rPr>
        <w:t xml:space="preserve">Police </w:t>
      </w:r>
      <w:r w:rsidRPr="00B40683">
        <w:rPr>
          <w:rFonts w:ascii="Times New Roman" w:hAnsi="Times New Roman" w:cs="Times New Roman"/>
          <w:noProof/>
          <w:color w:val="000000"/>
          <w:sz w:val="24"/>
          <w:szCs w:val="24"/>
          <w:lang w:bidi="en-US"/>
        </w:rPr>
        <w:t xml:space="preserve">to the SFD, this </w:t>
      </w:r>
      <w:r w:rsidRPr="00B40683">
        <w:rPr>
          <w:rFonts w:ascii="Times New Roman" w:hAnsi="Times New Roman" w:cs="Times New Roman"/>
          <w:noProof/>
          <w:color w:val="000000"/>
          <w:sz w:val="24"/>
          <w:szCs w:val="24"/>
          <w:lang w:val="da-DK" w:eastAsia="da-DK" w:bidi="da-DK"/>
        </w:rPr>
        <w:t xml:space="preserve">clear </w:t>
      </w:r>
      <w:r w:rsidRPr="00B40683">
        <w:rPr>
          <w:rFonts w:ascii="Times New Roman" w:hAnsi="Times New Roman" w:cs="Times New Roman"/>
          <w:noProof/>
          <w:color w:val="000000"/>
          <w:sz w:val="24"/>
          <w:szCs w:val="24"/>
          <w:lang w:bidi="en-US"/>
        </w:rPr>
        <w:t>distinction does not apply to all countries.</w:t>
      </w:r>
    </w:p>
    <w:p w14:paraId="5A7492D1" w14:textId="77777777" w:rsidR="00B86F0E" w:rsidRPr="00B40683" w:rsidRDefault="00B86F0E" w:rsidP="00900BC7">
      <w:pPr>
        <w:widowControl w:val="0"/>
        <w:numPr>
          <w:ilvl w:val="0"/>
          <w:numId w:val="55"/>
        </w:numPr>
        <w:tabs>
          <w:tab w:val="left" w:pos="759"/>
        </w:tabs>
        <w:spacing w:after="230" w:line="245"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It would be important to understand if the issues identified are affecting a significant proportion of cross-border cases or just a minority of them . The Contractor explained that the study will try to quantify where possible the scale of the issues identified, and stressed that the feedback provided by stakeholders will be key to this end. It has also been underlined the existence of objective limitations in retrieving data about the identified issues. There are no statistics on the number of cases not initiated or dismissed because of difficulties in the cooperation.</w:t>
      </w:r>
    </w:p>
    <w:p w14:paraId="45312F9F" w14:textId="77777777" w:rsidR="00B86F0E" w:rsidRPr="00B40683" w:rsidRDefault="00B86F0E" w:rsidP="00BA18A0">
      <w:pPr>
        <w:spacing w:after="153" w:line="283" w:lineRule="exact"/>
        <w:ind w:right="980"/>
        <w:jc w:val="both"/>
        <w:rPr>
          <w:rFonts w:ascii="Times New Roman" w:hAnsi="Times New Roman" w:cs="Times New Roman"/>
          <w:b/>
          <w:noProof/>
          <w:sz w:val="24"/>
          <w:szCs w:val="24"/>
        </w:rPr>
      </w:pPr>
      <w:r w:rsidRPr="00B40683">
        <w:rPr>
          <w:rStyle w:val="Bodytext50"/>
          <w:rFonts w:ascii="Times New Roman" w:hAnsi="Times New Roman" w:cs="Times New Roman"/>
          <w:bCs w:val="0"/>
          <w:noProof/>
          <w:color w:val="auto"/>
          <w:sz w:val="24"/>
          <w:szCs w:val="24"/>
        </w:rPr>
        <w:t>Presentation of the preliminary results of the analysis of the problems related to cross-border law enforcement cooperation</w:t>
      </w:r>
    </w:p>
    <w:p w14:paraId="0AFCBC7C" w14:textId="77777777" w:rsidR="00B86F0E" w:rsidRPr="00B40683" w:rsidRDefault="00B86F0E" w:rsidP="00900BC7">
      <w:pPr>
        <w:widowControl w:val="0"/>
        <w:numPr>
          <w:ilvl w:val="0"/>
          <w:numId w:val="55"/>
        </w:numPr>
        <w:tabs>
          <w:tab w:val="left" w:pos="759"/>
        </w:tabs>
        <w:spacing w:after="120" w:line="242"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Contractor illustrated the core problem identified, the related drivers and issues.</w:t>
      </w:r>
    </w:p>
    <w:p w14:paraId="1CD78CBC" w14:textId="77777777" w:rsidR="00B86F0E" w:rsidRPr="00B40683" w:rsidRDefault="00B86F0E" w:rsidP="00B86F0E">
      <w:pPr>
        <w:keepNext/>
        <w:keepLines/>
        <w:spacing w:after="114"/>
        <w:rPr>
          <w:rFonts w:ascii="Times New Roman" w:hAnsi="Times New Roman" w:cs="Times New Roman"/>
          <w:noProof/>
          <w:sz w:val="24"/>
          <w:szCs w:val="24"/>
        </w:rPr>
      </w:pPr>
      <w:bookmarkStart w:id="214" w:name="bookmark2"/>
      <w:r w:rsidRPr="00B40683">
        <w:rPr>
          <w:rStyle w:val="Heading210"/>
          <w:rFonts w:ascii="Times New Roman" w:hAnsi="Times New Roman" w:cs="Times New Roman"/>
          <w:b w:val="0"/>
          <w:bCs w:val="0"/>
          <w:noProof/>
          <w:sz w:val="24"/>
          <w:szCs w:val="24"/>
        </w:rPr>
        <w:t>Access to and exchange of information is sub-optimal</w:t>
      </w:r>
      <w:bookmarkEnd w:id="214"/>
    </w:p>
    <w:p w14:paraId="143EB7CE" w14:textId="77777777" w:rsidR="00B86F0E" w:rsidRPr="00B40683" w:rsidRDefault="00B86F0E" w:rsidP="00900BC7">
      <w:pPr>
        <w:widowControl w:val="0"/>
        <w:numPr>
          <w:ilvl w:val="0"/>
          <w:numId w:val="55"/>
        </w:numPr>
        <w:tabs>
          <w:tab w:val="left" w:pos="759"/>
        </w:tabs>
        <w:spacing w:after="126" w:line="250"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Several participants have experienced issues relating to the access to and exchange of </w:t>
      </w:r>
      <w:r w:rsidRPr="00B40683">
        <w:rPr>
          <w:rFonts w:ascii="Times New Roman" w:hAnsi="Times New Roman" w:cs="Times New Roman"/>
          <w:noProof/>
          <w:color w:val="000000"/>
          <w:sz w:val="24"/>
          <w:szCs w:val="24"/>
          <w:lang w:val="da-DK" w:eastAsia="da-DK" w:bidi="da-DK"/>
        </w:rPr>
        <w:t xml:space="preserve">information </w:t>
      </w:r>
      <w:r w:rsidRPr="00B40683">
        <w:rPr>
          <w:rFonts w:ascii="Times New Roman" w:hAnsi="Times New Roman" w:cs="Times New Roman"/>
          <w:noProof/>
          <w:color w:val="000000"/>
          <w:sz w:val="24"/>
          <w:szCs w:val="24"/>
          <w:lang w:bidi="en-US"/>
        </w:rPr>
        <w:t>with other Member States.</w:t>
      </w:r>
    </w:p>
    <w:p w14:paraId="451E1375" w14:textId="77777777" w:rsidR="00B86F0E" w:rsidRPr="00B40683" w:rsidRDefault="00B86F0E" w:rsidP="00900BC7">
      <w:pPr>
        <w:widowControl w:val="0"/>
        <w:numPr>
          <w:ilvl w:val="0"/>
          <w:numId w:val="55"/>
        </w:numPr>
        <w:tabs>
          <w:tab w:val="left" w:pos="759"/>
        </w:tabs>
        <w:spacing w:after="109" w:line="242"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Reported issues include:</w:t>
      </w:r>
    </w:p>
    <w:p w14:paraId="2DDD3D22" w14:textId="77777777" w:rsidR="00B86F0E" w:rsidRPr="00B40683" w:rsidRDefault="00B86F0E" w:rsidP="00B86F0E">
      <w:pPr>
        <w:spacing w:after="129" w:line="256"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Duplication of requests via different channels;</w:t>
      </w:r>
    </w:p>
    <w:p w14:paraId="1B7EFBB9" w14:textId="77777777" w:rsidR="00B86F0E" w:rsidRPr="00B40683" w:rsidRDefault="00B86F0E" w:rsidP="00B86F0E">
      <w:pPr>
        <w:spacing w:after="111" w:line="245"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 xml:space="preserve">Requests sent before the needed checks in the relevant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and international databases;</w:t>
      </w:r>
    </w:p>
    <w:p w14:paraId="718BAEC9" w14:textId="77777777" w:rsidR="00B86F0E" w:rsidRPr="00B40683" w:rsidRDefault="00B86F0E" w:rsidP="00B86F0E">
      <w:pPr>
        <w:spacing w:after="133" w:line="256"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Inappropriate choice of the channel to exchange information;</w:t>
      </w:r>
    </w:p>
    <w:p w14:paraId="16BD5945" w14:textId="77777777" w:rsidR="00B86F0E" w:rsidRPr="00B40683" w:rsidRDefault="00B86F0E" w:rsidP="00B86F0E">
      <w:pPr>
        <w:spacing w:after="0" w:line="240"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The existence of a chain of requests when a country needs to send a request for information to another not neighbouring country. A country can send a request to another country based on the SFD but the receiving country may not accept it as the SFD has not been implemented in the same way;</w:t>
      </w:r>
    </w:p>
    <w:p w14:paraId="79167678" w14:textId="77777777" w:rsidR="00B86F0E" w:rsidRPr="00B40683" w:rsidRDefault="00B86F0E" w:rsidP="00B86F0E">
      <w:pPr>
        <w:spacing w:after="124" w:line="245"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lang w:val="fi-FI" w:eastAsia="fi-FI" w:bidi="fi-FI"/>
        </w:rPr>
        <w:t xml:space="preserve">o </w:t>
      </w:r>
      <w:r w:rsidRPr="00B40683">
        <w:rPr>
          <w:rFonts w:ascii="Times New Roman" w:hAnsi="Times New Roman" w:cs="Times New Roman"/>
          <w:noProof/>
          <w:color w:val="000000"/>
          <w:sz w:val="24"/>
          <w:szCs w:val="24"/>
          <w:lang w:bidi="en-US"/>
        </w:rPr>
        <w:t xml:space="preserve">No access to the </w:t>
      </w:r>
      <w:r w:rsidRPr="00B40683">
        <w:rPr>
          <w:rFonts w:ascii="Times New Roman" w:hAnsi="Times New Roman" w:cs="Times New Roman"/>
          <w:noProof/>
          <w:color w:val="000000"/>
          <w:sz w:val="24"/>
          <w:szCs w:val="24"/>
          <w:lang w:val="da-DK" w:eastAsia="da-DK" w:bidi="da-DK"/>
        </w:rPr>
        <w:t xml:space="preserve">Europol </w:t>
      </w:r>
      <w:r w:rsidRPr="00B40683">
        <w:rPr>
          <w:rFonts w:ascii="Times New Roman" w:hAnsi="Times New Roman" w:cs="Times New Roman"/>
          <w:noProof/>
          <w:color w:val="000000"/>
          <w:sz w:val="24"/>
          <w:szCs w:val="24"/>
          <w:lang w:bidi="en-US"/>
        </w:rPr>
        <w:t xml:space="preserve">Information System </w:t>
      </w:r>
      <w:r w:rsidRPr="00B40683">
        <w:rPr>
          <w:rFonts w:ascii="Times New Roman" w:hAnsi="Times New Roman" w:cs="Times New Roman"/>
          <w:noProof/>
          <w:color w:val="000000"/>
          <w:sz w:val="24"/>
          <w:szCs w:val="24"/>
          <w:lang w:val="lt-LT" w:eastAsia="lt-LT" w:bidi="lt-LT"/>
        </w:rPr>
        <w:t xml:space="preserve">(EIS) </w:t>
      </w:r>
      <w:r w:rsidRPr="00B40683">
        <w:rPr>
          <w:rFonts w:ascii="Times New Roman" w:hAnsi="Times New Roman" w:cs="Times New Roman"/>
          <w:noProof/>
          <w:color w:val="000000"/>
          <w:sz w:val="24"/>
          <w:szCs w:val="24"/>
          <w:lang w:bidi="en-US"/>
        </w:rPr>
        <w:t xml:space="preserve">for the Schengen Associated Countries since they are not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Member States;</w:t>
      </w:r>
    </w:p>
    <w:p w14:paraId="6DCBC197" w14:textId="77777777" w:rsidR="00B86F0E" w:rsidRPr="00B40683" w:rsidRDefault="00B86F0E" w:rsidP="00B86F0E">
      <w:pPr>
        <w:spacing w:after="118" w:line="240"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 xml:space="preserve">Police authorities might have limited access to Customs' databases and vice versa due to secrecy provisions (e.g. when contacting a foreign Customs authority to request criminal </w:t>
      </w:r>
      <w:r w:rsidRPr="00B40683">
        <w:rPr>
          <w:rFonts w:ascii="Times New Roman" w:hAnsi="Times New Roman" w:cs="Times New Roman"/>
          <w:noProof/>
          <w:color w:val="000000"/>
          <w:sz w:val="24"/>
          <w:szCs w:val="24"/>
          <w:lang w:val="en-GB" w:eastAsia="nl-NL" w:bidi="nl-NL"/>
        </w:rPr>
        <w:t xml:space="preserve">records </w:t>
      </w:r>
      <w:r w:rsidRPr="00B40683">
        <w:rPr>
          <w:rFonts w:ascii="Times New Roman" w:hAnsi="Times New Roman" w:cs="Times New Roman"/>
          <w:noProof/>
          <w:color w:val="000000"/>
          <w:sz w:val="24"/>
          <w:szCs w:val="24"/>
          <w:lang w:bidi="en-US"/>
        </w:rPr>
        <w:t xml:space="preserve">of a </w:t>
      </w:r>
      <w:r w:rsidRPr="00B40683">
        <w:rPr>
          <w:rFonts w:ascii="Times New Roman" w:hAnsi="Times New Roman" w:cs="Times New Roman"/>
          <w:noProof/>
          <w:color w:val="000000"/>
          <w:sz w:val="24"/>
          <w:szCs w:val="24"/>
          <w:lang w:val="da-DK" w:eastAsia="da-DK" w:bidi="da-DK"/>
        </w:rPr>
        <w:t xml:space="preserve">given </w:t>
      </w:r>
      <w:r w:rsidRPr="00B40683">
        <w:rPr>
          <w:rFonts w:ascii="Times New Roman" w:hAnsi="Times New Roman" w:cs="Times New Roman"/>
          <w:noProof/>
          <w:color w:val="000000"/>
          <w:sz w:val="24"/>
          <w:szCs w:val="24"/>
          <w:lang w:bidi="en-US"/>
        </w:rPr>
        <w:t xml:space="preserve">suspect, in </w:t>
      </w:r>
      <w:r w:rsidRPr="00B40683">
        <w:rPr>
          <w:rFonts w:ascii="Times New Roman" w:hAnsi="Times New Roman" w:cs="Times New Roman"/>
          <w:noProof/>
          <w:color w:val="000000"/>
          <w:sz w:val="24"/>
          <w:szCs w:val="24"/>
          <w:lang w:val="hr-HR" w:eastAsia="hr-HR" w:bidi="hr-HR"/>
        </w:rPr>
        <w:t xml:space="preserve">some </w:t>
      </w:r>
      <w:r w:rsidRPr="00B40683">
        <w:rPr>
          <w:rFonts w:ascii="Times New Roman" w:hAnsi="Times New Roman" w:cs="Times New Roman"/>
          <w:noProof/>
          <w:color w:val="000000"/>
          <w:sz w:val="24"/>
          <w:szCs w:val="24"/>
          <w:lang w:bidi="en-US"/>
        </w:rPr>
        <w:t>countries Customs cannot proceed because they do not have access to police databases).</w:t>
      </w:r>
    </w:p>
    <w:p w14:paraId="3CCEC28E" w14:textId="77777777" w:rsidR="00B86F0E" w:rsidRPr="00B40683" w:rsidRDefault="00B86F0E" w:rsidP="00B86F0E">
      <w:pPr>
        <w:keepNext/>
        <w:keepLines/>
        <w:spacing w:after="122"/>
        <w:rPr>
          <w:rFonts w:ascii="Times New Roman" w:hAnsi="Times New Roman" w:cs="Times New Roman"/>
          <w:noProof/>
          <w:sz w:val="24"/>
          <w:szCs w:val="24"/>
        </w:rPr>
      </w:pPr>
      <w:bookmarkStart w:id="215" w:name="bookmark3"/>
      <w:bookmarkStart w:id="216" w:name="bookmark6"/>
      <w:bookmarkEnd w:id="215"/>
      <w:r w:rsidRPr="00B40683">
        <w:rPr>
          <w:rStyle w:val="Heading210"/>
          <w:rFonts w:ascii="Times New Roman" w:hAnsi="Times New Roman" w:cs="Times New Roman"/>
          <w:b w:val="0"/>
          <w:bCs w:val="0"/>
          <w:noProof/>
          <w:sz w:val="24"/>
          <w:szCs w:val="24"/>
        </w:rPr>
        <w:t>Other problems</w:t>
      </w:r>
      <w:bookmarkEnd w:id="216"/>
    </w:p>
    <w:p w14:paraId="630A8F6F" w14:textId="77777777" w:rsidR="00B86F0E" w:rsidRPr="00B40683" w:rsidRDefault="00B86F0E" w:rsidP="00900BC7">
      <w:pPr>
        <w:widowControl w:val="0"/>
        <w:numPr>
          <w:ilvl w:val="0"/>
          <w:numId w:val="55"/>
        </w:numPr>
        <w:tabs>
          <w:tab w:val="left" w:pos="743"/>
        </w:tabs>
        <w:spacing w:after="120" w:line="240" w:lineRule="exact"/>
        <w:ind w:left="74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Overall, the problems and issues identified by the study reflect the current situation </w:t>
      </w:r>
      <w:r w:rsidRPr="00B40683">
        <w:rPr>
          <w:rStyle w:val="Bodytext4NotBold"/>
          <w:rFonts w:ascii="Times New Roman" w:eastAsiaTheme="minorHAnsi" w:hAnsi="Times New Roman" w:cs="Times New Roman"/>
          <w:b w:val="0"/>
          <w:noProof/>
          <w:sz w:val="24"/>
          <w:szCs w:val="24"/>
        </w:rPr>
        <w:t xml:space="preserve">with few participants that highlighted the existence of additional issues such </w:t>
      </w:r>
      <w:r w:rsidRPr="00B40683">
        <w:rPr>
          <w:rStyle w:val="Bodytext4NotBold"/>
          <w:rFonts w:ascii="Times New Roman" w:eastAsiaTheme="minorHAnsi" w:hAnsi="Times New Roman" w:cs="Times New Roman"/>
          <w:b w:val="0"/>
          <w:noProof/>
          <w:sz w:val="24"/>
          <w:szCs w:val="24"/>
          <w:lang w:val="hr-HR" w:eastAsia="hr-HR" w:bidi="hr-HR"/>
        </w:rPr>
        <w:t>as:</w:t>
      </w:r>
    </w:p>
    <w:p w14:paraId="272D8AF7" w14:textId="77777777" w:rsidR="00B86F0E" w:rsidRDefault="00B86F0E" w:rsidP="00B86F0E">
      <w:pPr>
        <w:spacing w:after="238" w:line="240" w:lineRule="exact"/>
        <w:ind w:left="1480" w:hanging="360"/>
        <w:jc w:val="both"/>
        <w:rPr>
          <w:rFonts w:ascii="Verdana" w:hAnsi="Verdana" w:cs="Times New Roman"/>
          <w:noProof/>
          <w:color w:val="000000"/>
          <w:lang w:bidi="en-US"/>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Existence of different traditions in the national administrative systems. For instance, some Member States have a complex administrative system, with a number of agencies and institutions with different responsibilities. Such complexity at the national level might create difficulties during cross-border operations.</w:t>
      </w:r>
    </w:p>
    <w:p w14:paraId="1938DFF4" w14:textId="77777777" w:rsidR="007E2CCE" w:rsidRDefault="007E2CCE" w:rsidP="00B86F0E">
      <w:pPr>
        <w:spacing w:after="238" w:line="240" w:lineRule="exact"/>
        <w:ind w:left="1480" w:hanging="360"/>
        <w:jc w:val="both"/>
        <w:rPr>
          <w:rFonts w:ascii="Verdana" w:hAnsi="Verdana" w:cs="Times New Roman"/>
          <w:noProof/>
          <w:color w:val="000000"/>
          <w:lang w:bidi="en-US"/>
        </w:rPr>
      </w:pPr>
    </w:p>
    <w:p w14:paraId="35F44C4A" w14:textId="77777777" w:rsidR="00B3238F" w:rsidRDefault="00B3238F" w:rsidP="00B86F0E">
      <w:pPr>
        <w:spacing w:after="238" w:line="240" w:lineRule="exact"/>
        <w:ind w:left="1480" w:hanging="360"/>
        <w:jc w:val="both"/>
        <w:rPr>
          <w:rFonts w:ascii="Verdana" w:hAnsi="Verdana" w:cs="Times New Roman"/>
          <w:noProof/>
          <w:color w:val="000000"/>
          <w:lang w:bidi="en-US"/>
        </w:rPr>
      </w:pPr>
    </w:p>
    <w:p w14:paraId="781F72A5" w14:textId="77777777" w:rsidR="00B86F0E" w:rsidRPr="00B40683" w:rsidRDefault="00B86F0E" w:rsidP="00B86F0E">
      <w:pPr>
        <w:spacing w:after="141"/>
        <w:rPr>
          <w:rFonts w:ascii="Times New Roman" w:hAnsi="Times New Roman" w:cs="Times New Roman"/>
          <w:b/>
          <w:noProof/>
          <w:sz w:val="24"/>
          <w:szCs w:val="24"/>
        </w:rPr>
      </w:pPr>
      <w:r w:rsidRPr="00B40683">
        <w:rPr>
          <w:rStyle w:val="Bodytext50"/>
          <w:rFonts w:ascii="Times New Roman" w:hAnsi="Times New Roman" w:cs="Times New Roman"/>
          <w:bCs w:val="0"/>
          <w:noProof/>
          <w:color w:val="auto"/>
          <w:sz w:val="24"/>
          <w:szCs w:val="24"/>
        </w:rPr>
        <w:t>Break-out session 1 - Access to and exchange of information</w:t>
      </w:r>
    </w:p>
    <w:p w14:paraId="697E13E2" w14:textId="77777777" w:rsidR="00B86F0E" w:rsidRPr="00B40683" w:rsidRDefault="00B86F0E" w:rsidP="00B86F0E">
      <w:pPr>
        <w:keepNext/>
        <w:keepLines/>
        <w:spacing w:after="0"/>
        <w:rPr>
          <w:rFonts w:ascii="Times New Roman" w:hAnsi="Times New Roman" w:cs="Times New Roman"/>
          <w:noProof/>
          <w:sz w:val="24"/>
          <w:szCs w:val="24"/>
        </w:rPr>
      </w:pPr>
      <w:bookmarkStart w:id="217" w:name="bookmark7"/>
      <w:r w:rsidRPr="00B40683">
        <w:rPr>
          <w:rStyle w:val="Heading210"/>
          <w:rFonts w:ascii="Times New Roman" w:hAnsi="Times New Roman" w:cs="Times New Roman"/>
          <w:b w:val="0"/>
          <w:bCs w:val="0"/>
          <w:noProof/>
          <w:sz w:val="24"/>
          <w:szCs w:val="24"/>
        </w:rPr>
        <w:t>What are the issues at stake? Are there practical examples/cases that can illustrate</w:t>
      </w:r>
      <w:bookmarkEnd w:id="217"/>
      <w:r w:rsidR="00141DCF" w:rsidRPr="00B40683">
        <w:rPr>
          <w:rStyle w:val="Heading210"/>
          <w:rFonts w:ascii="Times New Roman" w:hAnsi="Times New Roman" w:cs="Times New Roman"/>
          <w:b w:val="0"/>
          <w:bCs w:val="0"/>
          <w:noProof/>
          <w:sz w:val="24"/>
          <w:szCs w:val="24"/>
        </w:rPr>
        <w:t xml:space="preserve"> </w:t>
      </w:r>
      <w:r w:rsidRPr="00B40683">
        <w:rPr>
          <w:rStyle w:val="Bodytext40"/>
          <w:rFonts w:ascii="Times New Roman" w:hAnsi="Times New Roman" w:cs="Times New Roman"/>
          <w:b w:val="0"/>
          <w:bCs w:val="0"/>
          <w:noProof/>
          <w:color w:val="auto"/>
          <w:sz w:val="24"/>
          <w:szCs w:val="24"/>
        </w:rPr>
        <w:t>the issues identified?</w:t>
      </w:r>
    </w:p>
    <w:p w14:paraId="24CDAD54" w14:textId="77777777" w:rsidR="00B86F0E" w:rsidRPr="00B40683" w:rsidRDefault="00B86F0E" w:rsidP="00900BC7">
      <w:pPr>
        <w:widowControl w:val="0"/>
        <w:numPr>
          <w:ilvl w:val="0"/>
          <w:numId w:val="55"/>
        </w:numPr>
        <w:tabs>
          <w:tab w:val="left" w:pos="743"/>
        </w:tabs>
        <w:spacing w:after="118" w:line="242" w:lineRule="exact"/>
        <w:ind w:left="74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The </w:t>
      </w:r>
      <w:r w:rsidRPr="00B40683">
        <w:rPr>
          <w:rStyle w:val="Bodytext2Bold"/>
          <w:rFonts w:ascii="Times New Roman" w:hAnsi="Times New Roman" w:cs="Times New Roman"/>
          <w:noProof/>
          <w:sz w:val="24"/>
          <w:szCs w:val="24"/>
        </w:rPr>
        <w:t xml:space="preserve">main issues </w:t>
      </w:r>
      <w:r w:rsidRPr="00B40683">
        <w:rPr>
          <w:rFonts w:ascii="Times New Roman" w:hAnsi="Times New Roman" w:cs="Times New Roman"/>
          <w:noProof/>
          <w:color w:val="000000"/>
          <w:sz w:val="24"/>
          <w:szCs w:val="24"/>
          <w:lang w:bidi="en-US"/>
        </w:rPr>
        <w:t>concerning the access to and exchange of information relate to:</w:t>
      </w:r>
    </w:p>
    <w:p w14:paraId="017F3C65" w14:textId="77777777" w:rsidR="00B86F0E" w:rsidRPr="00B40683" w:rsidRDefault="00B86F0E" w:rsidP="00B86F0E">
      <w:pPr>
        <w:spacing w:after="124" w:line="245"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Style w:val="Bodytext2Bold"/>
          <w:rFonts w:ascii="Times New Roman" w:hAnsi="Times New Roman" w:cs="Times New Roman"/>
          <w:noProof/>
          <w:sz w:val="24"/>
          <w:szCs w:val="24"/>
        </w:rPr>
        <w:t xml:space="preserve">Limited awareness and knowledge of relevant </w:t>
      </w:r>
      <w:r w:rsidRPr="00B40683">
        <w:rPr>
          <w:rStyle w:val="Bodytext2Bold"/>
          <w:rFonts w:ascii="Times New Roman" w:hAnsi="Times New Roman" w:cs="Times New Roman"/>
          <w:noProof/>
          <w:sz w:val="24"/>
          <w:szCs w:val="24"/>
          <w:lang w:val="en-GB" w:eastAsia="fr-FR" w:bidi="fr-FR"/>
        </w:rPr>
        <w:t xml:space="preserve">EU </w:t>
      </w:r>
      <w:r w:rsidRPr="00B40683">
        <w:rPr>
          <w:rStyle w:val="Bodytext2Bold"/>
          <w:rFonts w:ascii="Times New Roman" w:hAnsi="Times New Roman" w:cs="Times New Roman"/>
          <w:noProof/>
          <w:sz w:val="24"/>
          <w:szCs w:val="24"/>
        </w:rPr>
        <w:t xml:space="preserve">and/or national databases and </w:t>
      </w:r>
      <w:r w:rsidRPr="00B40683">
        <w:rPr>
          <w:rStyle w:val="Bodytext2Bold"/>
          <w:rFonts w:ascii="Times New Roman" w:hAnsi="Times New Roman" w:cs="Times New Roman"/>
          <w:noProof/>
          <w:sz w:val="24"/>
          <w:szCs w:val="24"/>
          <w:lang w:val="da-DK" w:eastAsia="da-DK" w:bidi="da-DK"/>
        </w:rPr>
        <w:t xml:space="preserve">platforms for information </w:t>
      </w:r>
      <w:r w:rsidRPr="00B40683">
        <w:rPr>
          <w:rStyle w:val="Bodytext2Bold"/>
          <w:rFonts w:ascii="Times New Roman" w:hAnsi="Times New Roman" w:cs="Times New Roman"/>
          <w:noProof/>
          <w:sz w:val="24"/>
          <w:szCs w:val="24"/>
        </w:rPr>
        <w:t>exchange</w:t>
      </w:r>
      <w:r w:rsidRPr="00B40683">
        <w:rPr>
          <w:rFonts w:ascii="Times New Roman" w:hAnsi="Times New Roman" w:cs="Times New Roman"/>
          <w:noProof/>
          <w:color w:val="000000"/>
          <w:sz w:val="24"/>
          <w:szCs w:val="24"/>
          <w:lang w:bidi="en-US"/>
        </w:rPr>
        <w:t xml:space="preserve">. There </w:t>
      </w:r>
      <w:r w:rsidRPr="00B40683">
        <w:rPr>
          <w:rFonts w:ascii="Times New Roman" w:hAnsi="Times New Roman" w:cs="Times New Roman"/>
          <w:noProof/>
          <w:color w:val="000000"/>
          <w:sz w:val="24"/>
          <w:szCs w:val="24"/>
          <w:lang w:val="hr-HR" w:eastAsia="hr-HR" w:bidi="hr-HR"/>
        </w:rPr>
        <w:t xml:space="preserve">are </w:t>
      </w:r>
      <w:r w:rsidRPr="00B40683">
        <w:rPr>
          <w:rFonts w:ascii="Times New Roman" w:hAnsi="Times New Roman" w:cs="Times New Roman"/>
          <w:noProof/>
          <w:color w:val="000000"/>
          <w:sz w:val="24"/>
          <w:szCs w:val="24"/>
          <w:lang w:val="da-DK" w:eastAsia="da-DK" w:bidi="da-DK"/>
        </w:rPr>
        <w:t xml:space="preserve">still </w:t>
      </w:r>
      <w:r w:rsidRPr="00B40683">
        <w:rPr>
          <w:rFonts w:ascii="Times New Roman" w:hAnsi="Times New Roman" w:cs="Times New Roman"/>
          <w:noProof/>
          <w:color w:val="000000"/>
          <w:sz w:val="24"/>
          <w:szCs w:val="24"/>
          <w:lang w:bidi="en-US"/>
        </w:rPr>
        <w:t xml:space="preserve">difficulties in the choice of the most appropriate communication channels, and this creates additional workload </w:t>
      </w:r>
      <w:r w:rsidRPr="00B40683">
        <w:rPr>
          <w:rFonts w:ascii="Times New Roman" w:hAnsi="Times New Roman" w:cs="Times New Roman"/>
          <w:noProof/>
          <w:color w:val="000000"/>
          <w:sz w:val="24"/>
          <w:szCs w:val="24"/>
          <w:lang w:val="da-DK" w:eastAsia="da-DK" w:bidi="da-DK"/>
        </w:rPr>
        <w:t xml:space="preserve">for </w:t>
      </w:r>
      <w:r w:rsidRPr="00B40683">
        <w:rPr>
          <w:rFonts w:ascii="Times New Roman" w:hAnsi="Times New Roman" w:cs="Times New Roman"/>
          <w:noProof/>
          <w:color w:val="000000"/>
          <w:sz w:val="24"/>
          <w:szCs w:val="24"/>
          <w:lang w:bidi="en-US"/>
        </w:rPr>
        <w:t xml:space="preserve">the </w:t>
      </w:r>
      <w:r w:rsidRPr="00B40683">
        <w:rPr>
          <w:rFonts w:ascii="Times New Roman" w:hAnsi="Times New Roman" w:cs="Times New Roman"/>
          <w:noProof/>
          <w:color w:val="000000"/>
          <w:sz w:val="24"/>
          <w:szCs w:val="24"/>
          <w:lang w:val="da-DK" w:eastAsia="da-DK" w:bidi="da-DK"/>
        </w:rPr>
        <w:t xml:space="preserve">staff </w:t>
      </w:r>
      <w:r w:rsidRPr="00B40683">
        <w:rPr>
          <w:rFonts w:ascii="Times New Roman" w:hAnsi="Times New Roman" w:cs="Times New Roman"/>
          <w:noProof/>
          <w:color w:val="000000"/>
          <w:sz w:val="24"/>
          <w:szCs w:val="24"/>
          <w:lang w:bidi="en-US"/>
        </w:rPr>
        <w:t xml:space="preserve">working in the SPOC. Concretely this reflects </w:t>
      </w:r>
      <w:r w:rsidRPr="00B40683">
        <w:rPr>
          <w:rFonts w:ascii="Times New Roman" w:hAnsi="Times New Roman" w:cs="Times New Roman"/>
          <w:noProof/>
          <w:color w:val="000000"/>
          <w:sz w:val="24"/>
          <w:szCs w:val="24"/>
          <w:lang w:val="da-DK" w:eastAsia="da-DK" w:bidi="da-DK"/>
        </w:rPr>
        <w:t>in:</w:t>
      </w:r>
    </w:p>
    <w:p w14:paraId="093CB01C" w14:textId="77777777" w:rsidR="00B86F0E" w:rsidRPr="00B40683" w:rsidRDefault="00B86F0E" w:rsidP="00900BC7">
      <w:pPr>
        <w:widowControl w:val="0"/>
        <w:numPr>
          <w:ilvl w:val="0"/>
          <w:numId w:val="56"/>
        </w:numPr>
        <w:tabs>
          <w:tab w:val="left" w:pos="2200"/>
        </w:tabs>
        <w:spacing w:after="116" w:line="240"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Duplication of requests in different channels such as the i24/7, the Interpol information exchange system, and the Secure Information Exchange </w:t>
      </w:r>
      <w:r w:rsidRPr="00B40683">
        <w:rPr>
          <w:rFonts w:ascii="Times New Roman" w:hAnsi="Times New Roman" w:cs="Times New Roman"/>
          <w:noProof/>
          <w:color w:val="000000"/>
          <w:sz w:val="24"/>
          <w:szCs w:val="24"/>
          <w:lang w:val="cs-CZ" w:eastAsia="cs-CZ" w:bidi="cs-CZ"/>
        </w:rPr>
        <w:t xml:space="preserve">Network </w:t>
      </w:r>
      <w:r w:rsidRPr="00B40683">
        <w:rPr>
          <w:rFonts w:ascii="Times New Roman" w:hAnsi="Times New Roman" w:cs="Times New Roman"/>
          <w:noProof/>
          <w:color w:val="000000"/>
          <w:sz w:val="24"/>
          <w:szCs w:val="24"/>
          <w:lang w:bidi="en-US"/>
        </w:rPr>
        <w:t xml:space="preserve">Application by Europol </w:t>
      </w:r>
      <w:r w:rsidRPr="00B40683">
        <w:rPr>
          <w:rFonts w:ascii="Times New Roman" w:hAnsi="Times New Roman" w:cs="Times New Roman"/>
          <w:noProof/>
          <w:color w:val="000000"/>
          <w:sz w:val="24"/>
          <w:szCs w:val="24"/>
          <w:lang w:val="cs-CZ" w:eastAsia="cs-CZ" w:bidi="cs-CZ"/>
        </w:rPr>
        <w:t>(SIENA);</w:t>
      </w:r>
    </w:p>
    <w:p w14:paraId="783CC53D" w14:textId="77777777" w:rsidR="00B86F0E" w:rsidRPr="00B40683" w:rsidRDefault="00B86F0E" w:rsidP="00900BC7">
      <w:pPr>
        <w:widowControl w:val="0"/>
        <w:numPr>
          <w:ilvl w:val="0"/>
          <w:numId w:val="56"/>
        </w:numPr>
        <w:tabs>
          <w:tab w:val="left" w:pos="2200"/>
        </w:tabs>
        <w:spacing w:after="0" w:line="245"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Use of inappropriate channels (e.g. request </w:t>
      </w:r>
      <w:r w:rsidRPr="00B40683">
        <w:rPr>
          <w:rFonts w:ascii="Times New Roman" w:hAnsi="Times New Roman" w:cs="Times New Roman"/>
          <w:noProof/>
          <w:color w:val="000000"/>
          <w:sz w:val="24"/>
          <w:szCs w:val="24"/>
          <w:lang w:val="da-DK" w:eastAsia="da-DK" w:bidi="da-DK"/>
        </w:rPr>
        <w:t xml:space="preserve">from </w:t>
      </w:r>
      <w:r w:rsidRPr="00B40683">
        <w:rPr>
          <w:rFonts w:ascii="Times New Roman" w:hAnsi="Times New Roman" w:cs="Times New Roman"/>
          <w:noProof/>
          <w:color w:val="000000"/>
          <w:sz w:val="24"/>
          <w:szCs w:val="24"/>
          <w:lang w:bidi="en-US"/>
        </w:rPr>
        <w:t xml:space="preserve">one SIS II </w:t>
      </w:r>
      <w:r w:rsidRPr="00B40683">
        <w:rPr>
          <w:rFonts w:ascii="Times New Roman" w:hAnsi="Times New Roman" w:cs="Times New Roman"/>
          <w:noProof/>
          <w:color w:val="000000"/>
          <w:sz w:val="24"/>
          <w:szCs w:val="24"/>
          <w:lang w:val="da-DK" w:eastAsia="da-DK" w:bidi="da-DK"/>
        </w:rPr>
        <w:t xml:space="preserve">country </w:t>
      </w:r>
      <w:r w:rsidRPr="00B40683">
        <w:rPr>
          <w:rFonts w:ascii="Times New Roman" w:hAnsi="Times New Roman" w:cs="Times New Roman"/>
          <w:noProof/>
          <w:color w:val="000000"/>
          <w:sz w:val="24"/>
          <w:szCs w:val="24"/>
          <w:lang w:bidi="en-US"/>
        </w:rPr>
        <w:t>to another to locate a person is sent via i24/7);</w:t>
      </w:r>
    </w:p>
    <w:p w14:paraId="4E679ACD" w14:textId="77777777" w:rsidR="00B86F0E" w:rsidRPr="00B40683" w:rsidRDefault="00B86F0E" w:rsidP="00900BC7">
      <w:pPr>
        <w:widowControl w:val="0"/>
        <w:numPr>
          <w:ilvl w:val="0"/>
          <w:numId w:val="56"/>
        </w:numPr>
        <w:tabs>
          <w:tab w:val="left" w:pos="2192"/>
        </w:tabs>
        <w:spacing w:after="120" w:line="240"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Police-to-police requests instead of other equally effective mechanisms, such as the European car and driving licence information system (EUCARIS), the European Criminal Records Information System </w:t>
      </w:r>
      <w:r w:rsidRPr="00B40683">
        <w:rPr>
          <w:rFonts w:ascii="Times New Roman" w:hAnsi="Times New Roman" w:cs="Times New Roman"/>
          <w:noProof/>
          <w:color w:val="000000"/>
          <w:sz w:val="24"/>
          <w:szCs w:val="24"/>
          <w:lang w:val="en-GB" w:eastAsia="fr-FR" w:bidi="fr-FR"/>
        </w:rPr>
        <w:t xml:space="preserve">(ECRIS) and the Visa </w:t>
      </w:r>
      <w:r w:rsidRPr="00B40683">
        <w:rPr>
          <w:rFonts w:ascii="Times New Roman" w:hAnsi="Times New Roman" w:cs="Times New Roman"/>
          <w:noProof/>
          <w:color w:val="000000"/>
          <w:sz w:val="24"/>
          <w:szCs w:val="24"/>
          <w:lang w:val="da-DK" w:eastAsia="da-DK" w:bidi="da-DK"/>
        </w:rPr>
        <w:t xml:space="preserve">Information </w:t>
      </w:r>
      <w:r w:rsidRPr="00B40683">
        <w:rPr>
          <w:rFonts w:ascii="Times New Roman" w:hAnsi="Times New Roman" w:cs="Times New Roman"/>
          <w:noProof/>
          <w:color w:val="000000"/>
          <w:sz w:val="24"/>
          <w:szCs w:val="24"/>
          <w:lang w:val="en-GB" w:eastAsia="fr-FR" w:bidi="fr-FR"/>
        </w:rPr>
        <w:t>System (VIS).</w:t>
      </w:r>
    </w:p>
    <w:p w14:paraId="77AA806A" w14:textId="77777777" w:rsidR="00B86F0E" w:rsidRPr="00B40683" w:rsidRDefault="00B86F0E" w:rsidP="00B86F0E">
      <w:pPr>
        <w:spacing w:after="116" w:line="240"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Style w:val="Bodytext2Bold"/>
          <w:rFonts w:ascii="Times New Roman" w:hAnsi="Times New Roman" w:cs="Times New Roman"/>
          <w:noProof/>
          <w:sz w:val="24"/>
          <w:szCs w:val="24"/>
        </w:rPr>
        <w:t xml:space="preserve">Limited cross-matching of national law enforcement databases with </w:t>
      </w:r>
      <w:r w:rsidRPr="00B40683">
        <w:rPr>
          <w:rStyle w:val="Bodytext2Bold"/>
          <w:rFonts w:ascii="Times New Roman" w:hAnsi="Times New Roman" w:cs="Times New Roman"/>
          <w:noProof/>
          <w:sz w:val="24"/>
          <w:szCs w:val="24"/>
          <w:lang w:val="en-GB" w:eastAsia="fr-FR" w:bidi="fr-FR"/>
        </w:rPr>
        <w:t xml:space="preserve">EU </w:t>
      </w:r>
      <w:r w:rsidRPr="00B40683">
        <w:rPr>
          <w:rStyle w:val="Bodytext2Bold"/>
          <w:rFonts w:ascii="Times New Roman" w:hAnsi="Times New Roman" w:cs="Times New Roman"/>
          <w:noProof/>
          <w:sz w:val="24"/>
          <w:szCs w:val="24"/>
        </w:rPr>
        <w:t>databases</w:t>
      </w:r>
      <w:r w:rsidRPr="00B40683">
        <w:rPr>
          <w:rFonts w:ascii="Times New Roman" w:hAnsi="Times New Roman" w:cs="Times New Roman"/>
          <w:noProof/>
          <w:color w:val="000000"/>
          <w:sz w:val="24"/>
          <w:szCs w:val="24"/>
          <w:lang w:bidi="en-US"/>
        </w:rPr>
        <w:t xml:space="preserve">. In view of the increasing interoperability of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 xml:space="preserve">databases in the future, it is important to improve information exchange between Schengen Associated Countries and </w:t>
      </w:r>
      <w:r w:rsidRPr="00B40683">
        <w:rPr>
          <w:rFonts w:ascii="Times New Roman" w:hAnsi="Times New Roman" w:cs="Times New Roman"/>
          <w:noProof/>
          <w:color w:val="000000"/>
          <w:sz w:val="24"/>
          <w:szCs w:val="24"/>
          <w:lang w:val="en-GB" w:eastAsia="fr-FR" w:bidi="fr-FR"/>
        </w:rPr>
        <w:t>Europol.</w:t>
      </w:r>
      <w:r w:rsidRPr="00B40683">
        <w:rPr>
          <w:rFonts w:ascii="Times New Roman" w:hAnsi="Times New Roman" w:cs="Times New Roman"/>
          <w:noProof/>
          <w:color w:val="000000"/>
          <w:sz w:val="24"/>
          <w:szCs w:val="24"/>
          <w:lang w:bidi="en-US"/>
        </w:rPr>
        <w:t xml:space="preserve"> </w:t>
      </w:r>
      <w:r w:rsidRPr="00B40683">
        <w:rPr>
          <w:rFonts w:ascii="Times New Roman" w:hAnsi="Times New Roman" w:cs="Times New Roman"/>
          <w:noProof/>
          <w:color w:val="000000"/>
          <w:sz w:val="24"/>
          <w:szCs w:val="24"/>
          <w:lang w:val="da-DK" w:eastAsia="da-DK" w:bidi="da-DK"/>
        </w:rPr>
        <w:t xml:space="preserve">Moreover, </w:t>
      </w:r>
      <w:r w:rsidRPr="00B40683">
        <w:rPr>
          <w:rFonts w:ascii="Times New Roman" w:hAnsi="Times New Roman" w:cs="Times New Roman"/>
          <w:noProof/>
          <w:color w:val="000000"/>
          <w:sz w:val="24"/>
          <w:szCs w:val="24"/>
          <w:lang w:bidi="en-US"/>
        </w:rPr>
        <w:t xml:space="preserve">another </w:t>
      </w:r>
      <w:r w:rsidRPr="00B40683">
        <w:rPr>
          <w:rFonts w:ascii="Times New Roman" w:hAnsi="Times New Roman" w:cs="Times New Roman"/>
          <w:noProof/>
          <w:color w:val="000000"/>
          <w:sz w:val="24"/>
          <w:szCs w:val="24"/>
          <w:lang w:val="da-DK" w:eastAsia="da-DK" w:bidi="da-DK"/>
        </w:rPr>
        <w:t xml:space="preserve">practical </w:t>
      </w:r>
      <w:r w:rsidRPr="00B40683">
        <w:rPr>
          <w:rFonts w:ascii="Times New Roman" w:hAnsi="Times New Roman" w:cs="Times New Roman"/>
          <w:noProof/>
          <w:color w:val="000000"/>
          <w:sz w:val="24"/>
          <w:szCs w:val="24"/>
          <w:lang w:bidi="en-US"/>
        </w:rPr>
        <w:t xml:space="preserve">obstacle is </w:t>
      </w:r>
      <w:r w:rsidRPr="00B40683">
        <w:rPr>
          <w:rFonts w:ascii="Times New Roman" w:hAnsi="Times New Roman" w:cs="Times New Roman"/>
          <w:noProof/>
          <w:color w:val="000000"/>
          <w:sz w:val="24"/>
          <w:szCs w:val="24"/>
          <w:lang w:val="da-DK" w:eastAsia="da-DK" w:bidi="da-DK"/>
        </w:rPr>
        <w:t xml:space="preserve">represented </w:t>
      </w:r>
      <w:r w:rsidRPr="00B40683">
        <w:rPr>
          <w:rFonts w:ascii="Times New Roman" w:hAnsi="Times New Roman" w:cs="Times New Roman"/>
          <w:noProof/>
          <w:color w:val="000000"/>
          <w:sz w:val="24"/>
          <w:szCs w:val="24"/>
          <w:lang w:bidi="en-US"/>
        </w:rPr>
        <w:t xml:space="preserve">by the fact that Member States, which are full members of </w:t>
      </w:r>
      <w:r w:rsidRPr="00B40683">
        <w:rPr>
          <w:rFonts w:ascii="Times New Roman" w:hAnsi="Times New Roman" w:cs="Times New Roman"/>
          <w:noProof/>
          <w:color w:val="000000"/>
          <w:sz w:val="24"/>
          <w:szCs w:val="24"/>
          <w:lang w:val="en-GB" w:eastAsia="fr-FR" w:bidi="fr-FR"/>
        </w:rPr>
        <w:t xml:space="preserve">Europol, </w:t>
      </w:r>
      <w:r w:rsidRPr="00B40683">
        <w:rPr>
          <w:rFonts w:ascii="Times New Roman" w:hAnsi="Times New Roman" w:cs="Times New Roman"/>
          <w:noProof/>
          <w:color w:val="000000"/>
          <w:sz w:val="24"/>
          <w:szCs w:val="24"/>
          <w:lang w:bidi="en-US"/>
        </w:rPr>
        <w:t xml:space="preserve">can restrict the access to their national data in two ways: they could apply high classification levels (such as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 xml:space="preserve">restricted" or more) on the information or they can require </w:t>
      </w:r>
      <w:r w:rsidRPr="00B40683">
        <w:rPr>
          <w:rFonts w:ascii="Times New Roman" w:hAnsi="Times New Roman" w:cs="Times New Roman"/>
          <w:noProof/>
          <w:color w:val="000000"/>
          <w:sz w:val="24"/>
          <w:szCs w:val="24"/>
          <w:lang w:val="en-GB" w:eastAsia="fr-FR" w:bidi="fr-FR"/>
        </w:rPr>
        <w:t xml:space="preserve">Europol </w:t>
      </w:r>
      <w:r w:rsidRPr="00B40683">
        <w:rPr>
          <w:rFonts w:ascii="Times New Roman" w:hAnsi="Times New Roman" w:cs="Times New Roman"/>
          <w:noProof/>
          <w:color w:val="000000"/>
          <w:sz w:val="24"/>
          <w:szCs w:val="24"/>
          <w:lang w:bidi="en-US"/>
        </w:rPr>
        <w:t xml:space="preserve">to ask for their consent prior to sharing the information. In the daily practice, this means that countries which are partners but not full members of </w:t>
      </w:r>
      <w:r w:rsidRPr="00B40683">
        <w:rPr>
          <w:rFonts w:ascii="Times New Roman" w:hAnsi="Times New Roman" w:cs="Times New Roman"/>
          <w:noProof/>
          <w:color w:val="000000"/>
          <w:sz w:val="24"/>
          <w:szCs w:val="24"/>
          <w:lang w:val="en-GB" w:eastAsia="fr-FR" w:bidi="fr-FR"/>
        </w:rPr>
        <w:t xml:space="preserve">Europol </w:t>
      </w:r>
      <w:r w:rsidRPr="00B40683">
        <w:rPr>
          <w:rFonts w:ascii="Times New Roman" w:hAnsi="Times New Roman" w:cs="Times New Roman"/>
          <w:noProof/>
          <w:color w:val="000000"/>
          <w:sz w:val="24"/>
          <w:szCs w:val="24"/>
          <w:lang w:bidi="en-US"/>
        </w:rPr>
        <w:t xml:space="preserve">(Schengen Associated Countries and </w:t>
      </w:r>
      <w:r w:rsidRPr="00B40683">
        <w:rPr>
          <w:rFonts w:ascii="Times New Roman" w:hAnsi="Times New Roman" w:cs="Times New Roman"/>
          <w:noProof/>
          <w:color w:val="000000"/>
          <w:sz w:val="24"/>
          <w:szCs w:val="24"/>
          <w:lang w:val="en-GB" w:eastAsia="nl-NL" w:bidi="nl-NL"/>
        </w:rPr>
        <w:t xml:space="preserve">Denmark) </w:t>
      </w:r>
      <w:r w:rsidRPr="00B40683">
        <w:rPr>
          <w:rFonts w:ascii="Times New Roman" w:hAnsi="Times New Roman" w:cs="Times New Roman"/>
          <w:noProof/>
          <w:color w:val="000000"/>
          <w:sz w:val="24"/>
          <w:szCs w:val="24"/>
          <w:lang w:val="da-DK" w:eastAsia="da-DK" w:bidi="da-DK"/>
        </w:rPr>
        <w:t xml:space="preserve">often </w:t>
      </w:r>
      <w:r w:rsidRPr="00B40683">
        <w:rPr>
          <w:rFonts w:ascii="Times New Roman" w:hAnsi="Times New Roman" w:cs="Times New Roman"/>
          <w:noProof/>
          <w:color w:val="000000"/>
          <w:sz w:val="24"/>
          <w:szCs w:val="24"/>
          <w:lang w:bidi="en-US"/>
        </w:rPr>
        <w:t xml:space="preserve">experience restrictions in the access to data and information. Even if there is currently a discussion between </w:t>
      </w:r>
      <w:r w:rsidRPr="00B40683">
        <w:rPr>
          <w:rFonts w:ascii="Times New Roman" w:hAnsi="Times New Roman" w:cs="Times New Roman"/>
          <w:noProof/>
          <w:color w:val="000000"/>
          <w:sz w:val="24"/>
          <w:szCs w:val="24"/>
          <w:lang w:val="en-GB" w:eastAsia="fr-FR" w:bidi="fr-FR"/>
        </w:rPr>
        <w:t xml:space="preserve">Europol </w:t>
      </w:r>
      <w:r w:rsidRPr="00B40683">
        <w:rPr>
          <w:rFonts w:ascii="Times New Roman" w:hAnsi="Times New Roman" w:cs="Times New Roman"/>
          <w:noProof/>
          <w:color w:val="000000"/>
          <w:sz w:val="24"/>
          <w:szCs w:val="24"/>
          <w:lang w:bidi="en-US"/>
        </w:rPr>
        <w:t xml:space="preserve">Member States about how to reform Europol's regulation, Schengen Associated Countries </w:t>
      </w:r>
      <w:r w:rsidRPr="00B40683">
        <w:rPr>
          <w:rFonts w:ascii="Times New Roman" w:hAnsi="Times New Roman" w:cs="Times New Roman"/>
          <w:noProof/>
          <w:color w:val="000000"/>
          <w:sz w:val="24"/>
          <w:szCs w:val="24"/>
          <w:lang w:val="da-DK" w:eastAsia="da-DK" w:bidi="da-DK"/>
        </w:rPr>
        <w:t xml:space="preserve">have </w:t>
      </w:r>
      <w:r w:rsidRPr="00B40683">
        <w:rPr>
          <w:rFonts w:ascii="Times New Roman" w:hAnsi="Times New Roman" w:cs="Times New Roman"/>
          <w:noProof/>
          <w:color w:val="000000"/>
          <w:sz w:val="24"/>
          <w:szCs w:val="24"/>
          <w:lang w:val="cs-CZ" w:eastAsia="cs-CZ" w:bidi="cs-CZ"/>
        </w:rPr>
        <w:t xml:space="preserve">not </w:t>
      </w:r>
      <w:r w:rsidRPr="00B40683">
        <w:rPr>
          <w:rFonts w:ascii="Times New Roman" w:hAnsi="Times New Roman" w:cs="Times New Roman"/>
          <w:noProof/>
          <w:color w:val="000000"/>
          <w:sz w:val="24"/>
          <w:szCs w:val="24"/>
          <w:lang w:bidi="en-US"/>
        </w:rPr>
        <w:t xml:space="preserve">been involved in these negotiations. It would be </w:t>
      </w:r>
      <w:r w:rsidRPr="00B40683">
        <w:rPr>
          <w:rFonts w:ascii="Times New Roman" w:hAnsi="Times New Roman" w:cs="Times New Roman"/>
          <w:noProof/>
          <w:color w:val="000000"/>
          <w:sz w:val="24"/>
          <w:szCs w:val="24"/>
          <w:lang w:val="en-GB" w:eastAsia="nl-NL" w:bidi="nl-NL"/>
        </w:rPr>
        <w:t xml:space="preserve">important </w:t>
      </w:r>
      <w:r w:rsidRPr="00B40683">
        <w:rPr>
          <w:rFonts w:ascii="Times New Roman" w:hAnsi="Times New Roman" w:cs="Times New Roman"/>
          <w:noProof/>
          <w:color w:val="000000"/>
          <w:sz w:val="24"/>
          <w:szCs w:val="24"/>
          <w:lang w:bidi="en-US"/>
        </w:rPr>
        <w:t xml:space="preserve">to amend the regulation in </w:t>
      </w:r>
      <w:r w:rsidRPr="00B40683">
        <w:rPr>
          <w:rFonts w:ascii="Times New Roman" w:hAnsi="Times New Roman" w:cs="Times New Roman"/>
          <w:noProof/>
          <w:color w:val="000000"/>
          <w:sz w:val="24"/>
          <w:szCs w:val="24"/>
          <w:lang w:val="da-DK" w:eastAsia="da-DK" w:bidi="da-DK"/>
        </w:rPr>
        <w:t xml:space="preserve">order </w:t>
      </w:r>
      <w:r w:rsidRPr="00B40683">
        <w:rPr>
          <w:rFonts w:ascii="Times New Roman" w:hAnsi="Times New Roman" w:cs="Times New Roman"/>
          <w:noProof/>
          <w:color w:val="000000"/>
          <w:sz w:val="24"/>
          <w:szCs w:val="24"/>
          <w:lang w:bidi="en-US"/>
        </w:rPr>
        <w:t xml:space="preserve">to acknowledge the close relationship that Schengen Associated Countries </w:t>
      </w:r>
      <w:r w:rsidRPr="00B40683">
        <w:rPr>
          <w:rFonts w:ascii="Times New Roman" w:hAnsi="Times New Roman" w:cs="Times New Roman"/>
          <w:noProof/>
          <w:color w:val="000000"/>
          <w:sz w:val="24"/>
          <w:szCs w:val="24"/>
          <w:lang w:val="da-DK" w:eastAsia="da-DK" w:bidi="da-DK"/>
        </w:rPr>
        <w:t xml:space="preserve">have </w:t>
      </w:r>
      <w:r w:rsidRPr="00B40683">
        <w:rPr>
          <w:rFonts w:ascii="Times New Roman" w:hAnsi="Times New Roman" w:cs="Times New Roman"/>
          <w:noProof/>
          <w:color w:val="000000"/>
          <w:sz w:val="24"/>
          <w:szCs w:val="24"/>
          <w:lang w:bidi="en-US"/>
        </w:rPr>
        <w:t xml:space="preserve">with EU Member </w:t>
      </w:r>
      <w:r w:rsidRPr="00B40683">
        <w:rPr>
          <w:rFonts w:ascii="Times New Roman" w:hAnsi="Times New Roman" w:cs="Times New Roman"/>
          <w:noProof/>
          <w:color w:val="000000"/>
          <w:sz w:val="24"/>
          <w:szCs w:val="24"/>
          <w:lang w:val="da-DK" w:eastAsia="da-DK" w:bidi="da-DK"/>
        </w:rPr>
        <w:t xml:space="preserve">States, thus </w:t>
      </w:r>
      <w:r w:rsidRPr="00B40683">
        <w:rPr>
          <w:rFonts w:ascii="Times New Roman" w:hAnsi="Times New Roman" w:cs="Times New Roman"/>
          <w:noProof/>
          <w:color w:val="000000"/>
          <w:sz w:val="24"/>
          <w:szCs w:val="24"/>
          <w:lang w:bidi="en-US"/>
        </w:rPr>
        <w:t xml:space="preserve">enabling their effective participation within </w:t>
      </w:r>
      <w:r w:rsidRPr="00B40683">
        <w:rPr>
          <w:rFonts w:ascii="Times New Roman" w:hAnsi="Times New Roman" w:cs="Times New Roman"/>
          <w:noProof/>
          <w:color w:val="000000"/>
          <w:sz w:val="24"/>
          <w:szCs w:val="24"/>
          <w:lang w:val="en-GB" w:eastAsia="fr-FR" w:bidi="fr-FR"/>
        </w:rPr>
        <w:t xml:space="preserve">Europol. </w:t>
      </w:r>
      <w:r w:rsidRPr="00B40683">
        <w:rPr>
          <w:rFonts w:ascii="Times New Roman" w:hAnsi="Times New Roman" w:cs="Times New Roman"/>
          <w:noProof/>
          <w:color w:val="000000"/>
          <w:sz w:val="24"/>
          <w:szCs w:val="24"/>
          <w:lang w:bidi="en-US"/>
        </w:rPr>
        <w:t xml:space="preserve">In this way, it would be possible to distinguish between Member States, Schengen Associated Countries and </w:t>
      </w:r>
      <w:r w:rsidRPr="00B40683">
        <w:rPr>
          <w:rFonts w:ascii="Times New Roman" w:hAnsi="Times New Roman" w:cs="Times New Roman"/>
          <w:noProof/>
          <w:color w:val="000000"/>
          <w:sz w:val="24"/>
          <w:szCs w:val="24"/>
          <w:lang w:val="hr-HR" w:eastAsia="hr-HR" w:bidi="hr-HR"/>
        </w:rPr>
        <w:t xml:space="preserve">general </w:t>
      </w:r>
      <w:r w:rsidRPr="00B40683">
        <w:rPr>
          <w:rFonts w:ascii="Times New Roman" w:hAnsi="Times New Roman" w:cs="Times New Roman"/>
          <w:noProof/>
          <w:color w:val="000000"/>
          <w:sz w:val="24"/>
          <w:szCs w:val="24"/>
          <w:lang w:val="da-DK" w:eastAsia="da-DK" w:bidi="da-DK"/>
        </w:rPr>
        <w:t xml:space="preserve">Third </w:t>
      </w:r>
      <w:r w:rsidRPr="00B40683">
        <w:rPr>
          <w:rFonts w:ascii="Times New Roman" w:hAnsi="Times New Roman" w:cs="Times New Roman"/>
          <w:noProof/>
          <w:color w:val="000000"/>
          <w:sz w:val="24"/>
          <w:szCs w:val="24"/>
          <w:lang w:bidi="en-US"/>
        </w:rPr>
        <w:t>Countries;</w:t>
      </w:r>
    </w:p>
    <w:p w14:paraId="630D4975" w14:textId="77777777" w:rsidR="00B86F0E" w:rsidRPr="00B40683" w:rsidRDefault="00B86F0E" w:rsidP="00B86F0E">
      <w:pPr>
        <w:spacing w:after="120" w:line="245" w:lineRule="exact"/>
        <w:ind w:left="1480" w:hanging="360"/>
        <w:jc w:val="both"/>
        <w:rPr>
          <w:rFonts w:ascii="Times New Roman" w:hAnsi="Times New Roman" w:cs="Times New Roman"/>
          <w:noProof/>
          <w:sz w:val="24"/>
          <w:szCs w:val="24"/>
        </w:rPr>
      </w:pPr>
      <w:r w:rsidRPr="00B40683">
        <w:rPr>
          <w:rStyle w:val="Bodytext4CourierNew9ptNotBold"/>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val="cs-CZ" w:eastAsia="cs-CZ" w:bidi="cs-CZ"/>
        </w:rPr>
        <w:t xml:space="preserve">Limited </w:t>
      </w:r>
      <w:r w:rsidRPr="00B40683">
        <w:rPr>
          <w:rFonts w:ascii="Times New Roman" w:hAnsi="Times New Roman" w:cs="Times New Roman"/>
          <w:noProof/>
          <w:color w:val="000000"/>
          <w:sz w:val="24"/>
          <w:szCs w:val="24"/>
          <w:lang w:bidi="en-US"/>
        </w:rPr>
        <w:t>access to EU and/or national databases relevant to law enforcement cooperation;</w:t>
      </w:r>
    </w:p>
    <w:p w14:paraId="0FC7FD86" w14:textId="77777777" w:rsidR="00B86F0E" w:rsidRPr="00B40683" w:rsidRDefault="00B86F0E" w:rsidP="00B86F0E">
      <w:pPr>
        <w:spacing w:after="120" w:line="245"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val="cs-CZ" w:eastAsia="cs-CZ" w:bidi="cs-CZ"/>
        </w:rPr>
        <w:t xml:space="preserve">Limited </w:t>
      </w:r>
      <w:r w:rsidRPr="00B40683">
        <w:rPr>
          <w:rFonts w:ascii="Times New Roman" w:hAnsi="Times New Roman" w:cs="Times New Roman"/>
          <w:noProof/>
          <w:color w:val="000000"/>
          <w:sz w:val="24"/>
          <w:szCs w:val="24"/>
          <w:lang w:bidi="en-US"/>
        </w:rPr>
        <w:t xml:space="preserve">availability of secured </w:t>
      </w:r>
      <w:r w:rsidRPr="00B40683">
        <w:rPr>
          <w:rFonts w:ascii="Times New Roman" w:hAnsi="Times New Roman" w:cs="Times New Roman"/>
          <w:noProof/>
          <w:color w:val="000000"/>
          <w:sz w:val="24"/>
          <w:szCs w:val="24"/>
          <w:lang w:val="da-DK" w:eastAsia="da-DK" w:bidi="da-DK"/>
        </w:rPr>
        <w:t xml:space="preserve">information </w:t>
      </w:r>
      <w:r w:rsidRPr="00B40683">
        <w:rPr>
          <w:rFonts w:ascii="Times New Roman" w:hAnsi="Times New Roman" w:cs="Times New Roman"/>
          <w:noProof/>
          <w:color w:val="000000"/>
          <w:sz w:val="24"/>
          <w:szCs w:val="24"/>
          <w:lang w:bidi="en-US"/>
        </w:rPr>
        <w:t>channels as well as limited mobile access to law enforcement databases;</w:t>
      </w:r>
    </w:p>
    <w:p w14:paraId="0655C65D" w14:textId="77777777" w:rsidR="00B86F0E" w:rsidRPr="00B40683" w:rsidRDefault="00B86F0E" w:rsidP="00B86F0E">
      <w:pPr>
        <w:spacing w:after="120" w:line="245"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 xml:space="preserve">Fragmentation of the EU framework </w:t>
      </w:r>
      <w:r w:rsidRPr="00B40683">
        <w:rPr>
          <w:rFonts w:ascii="Times New Roman" w:hAnsi="Times New Roman" w:cs="Times New Roman"/>
          <w:noProof/>
          <w:color w:val="000000"/>
          <w:sz w:val="24"/>
          <w:szCs w:val="24"/>
          <w:lang w:val="da-DK" w:eastAsia="da-DK" w:bidi="da-DK"/>
        </w:rPr>
        <w:t xml:space="preserve">for </w:t>
      </w:r>
      <w:r w:rsidRPr="00B40683">
        <w:rPr>
          <w:rFonts w:ascii="Times New Roman" w:hAnsi="Times New Roman" w:cs="Times New Roman"/>
          <w:noProof/>
          <w:color w:val="000000"/>
          <w:sz w:val="24"/>
          <w:szCs w:val="24"/>
          <w:lang w:bidi="en-US"/>
        </w:rPr>
        <w:t xml:space="preserve">cross-border cooperation. There </w:t>
      </w:r>
      <w:r w:rsidRPr="00B40683">
        <w:rPr>
          <w:rFonts w:ascii="Times New Roman" w:hAnsi="Times New Roman" w:cs="Times New Roman"/>
          <w:noProof/>
          <w:color w:val="000000"/>
          <w:sz w:val="24"/>
          <w:szCs w:val="24"/>
          <w:lang w:val="hr-HR" w:eastAsia="hr-HR" w:bidi="hr-HR"/>
        </w:rPr>
        <w:t xml:space="preserve">are </w:t>
      </w:r>
      <w:r w:rsidRPr="00B40683">
        <w:rPr>
          <w:rFonts w:ascii="Times New Roman" w:hAnsi="Times New Roman" w:cs="Times New Roman"/>
          <w:noProof/>
          <w:color w:val="000000"/>
          <w:sz w:val="24"/>
          <w:szCs w:val="24"/>
          <w:lang w:bidi="en-US"/>
        </w:rPr>
        <w:t xml:space="preserve">around 31 binding and 18 non-binding measures concerning international Law Enforcement cooperation. This </w:t>
      </w:r>
      <w:r w:rsidRPr="00B40683">
        <w:rPr>
          <w:rFonts w:ascii="Times New Roman" w:hAnsi="Times New Roman" w:cs="Times New Roman"/>
          <w:noProof/>
          <w:color w:val="000000"/>
          <w:sz w:val="24"/>
          <w:szCs w:val="24"/>
          <w:lang w:val="da-DK" w:eastAsia="da-DK" w:bidi="da-DK"/>
        </w:rPr>
        <w:t xml:space="preserve">level </w:t>
      </w:r>
      <w:r w:rsidRPr="00B40683">
        <w:rPr>
          <w:rFonts w:ascii="Times New Roman" w:hAnsi="Times New Roman" w:cs="Times New Roman"/>
          <w:noProof/>
          <w:color w:val="000000"/>
          <w:sz w:val="24"/>
          <w:szCs w:val="24"/>
          <w:lang w:bidi="en-US"/>
        </w:rPr>
        <w:t xml:space="preserve">of fragmentation makes it difficult </w:t>
      </w:r>
      <w:r w:rsidRPr="00B40683">
        <w:rPr>
          <w:rFonts w:ascii="Times New Roman" w:hAnsi="Times New Roman" w:cs="Times New Roman"/>
          <w:noProof/>
          <w:color w:val="000000"/>
          <w:sz w:val="24"/>
          <w:szCs w:val="24"/>
          <w:lang w:val="da-DK" w:eastAsia="da-DK" w:bidi="da-DK"/>
        </w:rPr>
        <w:t xml:space="preserve">for </w:t>
      </w:r>
      <w:r w:rsidRPr="00B40683">
        <w:rPr>
          <w:rFonts w:ascii="Times New Roman" w:hAnsi="Times New Roman" w:cs="Times New Roman"/>
          <w:noProof/>
          <w:color w:val="000000"/>
          <w:sz w:val="24"/>
          <w:szCs w:val="24"/>
          <w:lang w:bidi="en-US"/>
        </w:rPr>
        <w:t>practitioners to have a holistic picture of the available tools;</w:t>
      </w:r>
    </w:p>
    <w:p w14:paraId="23A7989B" w14:textId="77777777" w:rsidR="00B86F0E" w:rsidRPr="00B40683" w:rsidRDefault="00B86F0E" w:rsidP="00B86F0E">
      <w:pPr>
        <w:spacing w:after="111" w:line="245"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val="da-DK" w:eastAsia="da-DK" w:bidi="da-DK"/>
        </w:rPr>
        <w:t xml:space="preserve">Mixed </w:t>
      </w:r>
      <w:r w:rsidRPr="00B40683">
        <w:rPr>
          <w:rFonts w:ascii="Times New Roman" w:hAnsi="Times New Roman" w:cs="Times New Roman"/>
          <w:noProof/>
          <w:color w:val="000000"/>
          <w:sz w:val="24"/>
          <w:szCs w:val="24"/>
          <w:lang w:bidi="en-US"/>
        </w:rPr>
        <w:t xml:space="preserve">opinions on the </w:t>
      </w:r>
      <w:r w:rsidRPr="00B40683">
        <w:rPr>
          <w:rFonts w:ascii="Times New Roman" w:hAnsi="Times New Roman" w:cs="Times New Roman"/>
          <w:noProof/>
          <w:color w:val="000000"/>
          <w:sz w:val="24"/>
          <w:szCs w:val="24"/>
          <w:lang w:val="cs-CZ" w:eastAsia="cs-CZ" w:bidi="cs-CZ"/>
        </w:rPr>
        <w:t xml:space="preserve">existence </w:t>
      </w:r>
      <w:r w:rsidRPr="00B40683">
        <w:rPr>
          <w:rFonts w:ascii="Times New Roman" w:hAnsi="Times New Roman" w:cs="Times New Roman"/>
          <w:noProof/>
          <w:color w:val="000000"/>
          <w:sz w:val="24"/>
          <w:szCs w:val="24"/>
          <w:lang w:bidi="en-US"/>
        </w:rPr>
        <w:t xml:space="preserve">of uncertainties in the </w:t>
      </w:r>
      <w:r w:rsidRPr="00B40683">
        <w:rPr>
          <w:rFonts w:ascii="Times New Roman" w:hAnsi="Times New Roman" w:cs="Times New Roman"/>
          <w:noProof/>
          <w:color w:val="000000"/>
          <w:sz w:val="24"/>
          <w:szCs w:val="24"/>
          <w:lang w:val="da-DK" w:eastAsia="da-DK" w:bidi="da-DK"/>
        </w:rPr>
        <w:t xml:space="preserve">exchange </w:t>
      </w:r>
      <w:r w:rsidRPr="00B40683">
        <w:rPr>
          <w:rFonts w:ascii="Times New Roman" w:hAnsi="Times New Roman" w:cs="Times New Roman"/>
          <w:noProof/>
          <w:color w:val="000000"/>
          <w:sz w:val="24"/>
          <w:szCs w:val="24"/>
          <w:lang w:bidi="en-US"/>
        </w:rPr>
        <w:t xml:space="preserve">of </w:t>
      </w:r>
      <w:r w:rsidRPr="00B40683">
        <w:rPr>
          <w:rFonts w:ascii="Times New Roman" w:hAnsi="Times New Roman" w:cs="Times New Roman"/>
          <w:noProof/>
          <w:color w:val="000000"/>
          <w:sz w:val="24"/>
          <w:szCs w:val="24"/>
          <w:lang w:val="da-DK" w:eastAsia="da-DK" w:bidi="da-DK"/>
        </w:rPr>
        <w:t xml:space="preserve">information </w:t>
      </w:r>
      <w:r w:rsidRPr="00B40683">
        <w:rPr>
          <w:rFonts w:ascii="Times New Roman" w:hAnsi="Times New Roman" w:cs="Times New Roman"/>
          <w:noProof/>
          <w:color w:val="000000"/>
          <w:sz w:val="24"/>
          <w:szCs w:val="24"/>
          <w:lang w:bidi="en-US"/>
        </w:rPr>
        <w:t xml:space="preserve">created by the different scope of application of the SFD and the </w:t>
      </w:r>
      <w:r w:rsidRPr="00B40683">
        <w:rPr>
          <w:rFonts w:ascii="Times New Roman" w:hAnsi="Times New Roman" w:cs="Times New Roman"/>
          <w:noProof/>
          <w:color w:val="000000"/>
          <w:sz w:val="24"/>
          <w:szCs w:val="24"/>
          <w:lang w:val="pl-PL" w:eastAsia="pl-PL" w:bidi="pl-PL"/>
        </w:rPr>
        <w:t>CISA.</w:t>
      </w:r>
    </w:p>
    <w:p w14:paraId="6F963C56" w14:textId="77777777" w:rsidR="00B86F0E" w:rsidRPr="00B40683" w:rsidRDefault="00B86F0E" w:rsidP="00B86F0E">
      <w:pPr>
        <w:spacing w:after="33" w:line="256" w:lineRule="exact"/>
        <w:ind w:left="1480" w:hanging="360"/>
        <w:jc w:val="both"/>
        <w:rPr>
          <w:rFonts w:ascii="Times New Roman" w:hAnsi="Times New Roman" w:cs="Times New Roman"/>
          <w:noProof/>
          <w:sz w:val="24"/>
          <w:szCs w:val="24"/>
        </w:rPr>
      </w:pPr>
      <w:r w:rsidRPr="00B40683">
        <w:rPr>
          <w:rStyle w:val="Bodytext4CourierNew9ptNotBold"/>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There are some problems in the implementation of the SFD:</w:t>
      </w:r>
    </w:p>
    <w:p w14:paraId="71959AC3" w14:textId="77777777" w:rsidR="00B86F0E" w:rsidRPr="00B40683" w:rsidRDefault="00B86F0E" w:rsidP="00900BC7">
      <w:pPr>
        <w:widowControl w:val="0"/>
        <w:numPr>
          <w:ilvl w:val="0"/>
          <w:numId w:val="56"/>
        </w:numPr>
        <w:tabs>
          <w:tab w:val="left" w:pos="2192"/>
        </w:tabs>
        <w:spacing w:after="0" w:line="365"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Unclear definition of time limits (urgent, non-urgent and other cases);</w:t>
      </w:r>
    </w:p>
    <w:p w14:paraId="135F1DDC" w14:textId="77777777" w:rsidR="00B86F0E" w:rsidRPr="00B40683" w:rsidRDefault="00B86F0E" w:rsidP="00900BC7">
      <w:pPr>
        <w:widowControl w:val="0"/>
        <w:numPr>
          <w:ilvl w:val="0"/>
          <w:numId w:val="56"/>
        </w:numPr>
        <w:tabs>
          <w:tab w:val="left" w:pos="2192"/>
        </w:tabs>
        <w:spacing w:after="0" w:line="365"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form is too cumbersome;</w:t>
      </w:r>
    </w:p>
    <w:p w14:paraId="43092D81" w14:textId="77777777" w:rsidR="00B86F0E" w:rsidRPr="00B40683" w:rsidRDefault="00B86F0E" w:rsidP="00900BC7">
      <w:pPr>
        <w:widowControl w:val="0"/>
        <w:numPr>
          <w:ilvl w:val="0"/>
          <w:numId w:val="56"/>
        </w:numPr>
        <w:tabs>
          <w:tab w:val="left" w:pos="2192"/>
        </w:tabs>
        <w:spacing w:after="0" w:line="365"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form is not used;</w:t>
      </w:r>
    </w:p>
    <w:p w14:paraId="52238AA0" w14:textId="77777777" w:rsidR="00B86F0E" w:rsidRPr="00B40683" w:rsidRDefault="00B86F0E" w:rsidP="00900BC7">
      <w:pPr>
        <w:widowControl w:val="0"/>
        <w:numPr>
          <w:ilvl w:val="0"/>
          <w:numId w:val="56"/>
        </w:numPr>
        <w:tabs>
          <w:tab w:val="left" w:pos="2192"/>
        </w:tabs>
        <w:spacing w:after="116" w:line="240"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Principle of availability is not respected (notably in police-judicial cooperation </w:t>
      </w:r>
      <w:r w:rsidRPr="00B40683">
        <w:rPr>
          <w:rFonts w:ascii="Times New Roman" w:hAnsi="Times New Roman" w:cs="Times New Roman"/>
          <w:noProof/>
          <w:color w:val="000000"/>
          <w:sz w:val="24"/>
          <w:szCs w:val="24"/>
          <w:lang w:val="en-GB" w:eastAsia="nl-NL" w:bidi="nl-NL"/>
        </w:rPr>
        <w:t xml:space="preserve">context). </w:t>
      </w:r>
      <w:r w:rsidRPr="00B40683">
        <w:rPr>
          <w:rFonts w:ascii="Times New Roman" w:hAnsi="Times New Roman" w:cs="Times New Roman"/>
          <w:noProof/>
          <w:color w:val="000000"/>
          <w:sz w:val="24"/>
          <w:szCs w:val="24"/>
          <w:lang w:bidi="en-US"/>
        </w:rPr>
        <w:t xml:space="preserve">It could happen that local </w:t>
      </w:r>
      <w:r w:rsidRPr="00B40683">
        <w:rPr>
          <w:rFonts w:ascii="Times New Roman" w:hAnsi="Times New Roman" w:cs="Times New Roman"/>
          <w:noProof/>
          <w:color w:val="000000"/>
          <w:sz w:val="24"/>
          <w:szCs w:val="24"/>
          <w:lang w:val="hr-HR" w:eastAsia="hr-HR" w:bidi="hr-HR"/>
        </w:rPr>
        <w:t xml:space="preserve">police </w:t>
      </w:r>
      <w:r w:rsidRPr="00B40683">
        <w:rPr>
          <w:rFonts w:ascii="Times New Roman" w:hAnsi="Times New Roman" w:cs="Times New Roman"/>
          <w:noProof/>
          <w:color w:val="000000"/>
          <w:sz w:val="24"/>
          <w:szCs w:val="24"/>
          <w:lang w:bidi="en-US"/>
        </w:rPr>
        <w:t xml:space="preserve">officers or departments </w:t>
      </w:r>
      <w:r w:rsidRPr="00B40683">
        <w:rPr>
          <w:rFonts w:ascii="Times New Roman" w:hAnsi="Times New Roman" w:cs="Times New Roman"/>
          <w:noProof/>
          <w:color w:val="000000"/>
          <w:sz w:val="24"/>
          <w:szCs w:val="24"/>
          <w:lang w:val="hr-HR" w:eastAsia="hr-HR" w:bidi="hr-HR"/>
        </w:rPr>
        <w:t xml:space="preserve">are </w:t>
      </w:r>
      <w:r w:rsidRPr="00B40683">
        <w:rPr>
          <w:rFonts w:ascii="Times New Roman" w:hAnsi="Times New Roman" w:cs="Times New Roman"/>
          <w:noProof/>
          <w:color w:val="000000"/>
          <w:sz w:val="24"/>
          <w:szCs w:val="24"/>
          <w:lang w:bidi="en-US"/>
        </w:rPr>
        <w:t>not aware of EU regulation and of the principle of availability. For instance, in a given Member State, there could be a SPOC and several state/local police forces which sometimes are not aware of the functioning of the system;</w:t>
      </w:r>
    </w:p>
    <w:p w14:paraId="3889F105" w14:textId="77777777" w:rsidR="00B86F0E" w:rsidRPr="00B40683" w:rsidRDefault="00B86F0E" w:rsidP="00900BC7">
      <w:pPr>
        <w:widowControl w:val="0"/>
        <w:numPr>
          <w:ilvl w:val="0"/>
          <w:numId w:val="56"/>
        </w:numPr>
        <w:tabs>
          <w:tab w:val="left" w:pos="2192"/>
        </w:tabs>
        <w:spacing w:after="120" w:line="245"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Obstacles linked to different national transposition measures. The provisions of the SFD are transposed by all Member States but differences in the national transposition can affect the way requests for information coming from other Member States are managed;</w:t>
      </w:r>
    </w:p>
    <w:p w14:paraId="1EF01EF1" w14:textId="77777777" w:rsidR="00B86F0E" w:rsidRPr="00B40683" w:rsidRDefault="00B86F0E" w:rsidP="00900BC7">
      <w:pPr>
        <w:widowControl w:val="0"/>
        <w:numPr>
          <w:ilvl w:val="0"/>
          <w:numId w:val="56"/>
        </w:numPr>
        <w:tabs>
          <w:tab w:val="left" w:pos="2192"/>
        </w:tabs>
        <w:spacing w:after="104" w:line="245" w:lineRule="exact"/>
        <w:ind w:left="220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Cases of "fishing". Examples of one Member State sending an urgent request to all Member States under the SFD without any indication of the country they are seeking for an answer. This creates unnecessary workload for the SPOCs;</w:t>
      </w:r>
    </w:p>
    <w:p w14:paraId="7CDFBA05" w14:textId="77777777" w:rsidR="00B86F0E" w:rsidRPr="00B40683" w:rsidRDefault="00B86F0E" w:rsidP="00B86F0E">
      <w:pPr>
        <w:spacing w:line="240" w:lineRule="exact"/>
        <w:ind w:left="2200" w:hanging="360"/>
        <w:jc w:val="both"/>
        <w:rPr>
          <w:rFonts w:ascii="Times New Roman" w:hAnsi="Times New Roman" w:cs="Times New Roman"/>
          <w:noProof/>
          <w:sz w:val="24"/>
          <w:szCs w:val="24"/>
        </w:rPr>
      </w:pPr>
      <w:r w:rsidRPr="00B40683">
        <w:rPr>
          <w:rStyle w:val="Bodytext2Arial105pt"/>
          <w:rFonts w:ascii="Times New Roman" w:hAnsi="Times New Roman" w:cs="Times New Roman"/>
          <w:noProof/>
          <w:sz w:val="24"/>
          <w:szCs w:val="24"/>
        </w:rPr>
        <w:t>■</w:t>
      </w:r>
      <w:r w:rsidRPr="00B40683">
        <w:rPr>
          <w:rFonts w:ascii="Times New Roman" w:hAnsi="Times New Roman" w:cs="Times New Roman"/>
          <w:noProof/>
          <w:color w:val="000000"/>
          <w:sz w:val="24"/>
          <w:szCs w:val="24"/>
          <w:lang w:bidi="en-US"/>
        </w:rPr>
        <w:t xml:space="preserve"> Requests for additional information. When sending a request to another Member State, there </w:t>
      </w:r>
      <w:r w:rsidRPr="00B40683">
        <w:rPr>
          <w:rFonts w:ascii="Times New Roman" w:hAnsi="Times New Roman" w:cs="Times New Roman"/>
          <w:noProof/>
          <w:color w:val="000000"/>
          <w:sz w:val="24"/>
          <w:szCs w:val="24"/>
          <w:lang w:val="hr-HR" w:eastAsia="hr-HR" w:bidi="hr-HR"/>
        </w:rPr>
        <w:t xml:space="preserve">are </w:t>
      </w:r>
      <w:r w:rsidRPr="00B40683">
        <w:rPr>
          <w:rFonts w:ascii="Times New Roman" w:hAnsi="Times New Roman" w:cs="Times New Roman"/>
          <w:noProof/>
          <w:color w:val="000000"/>
          <w:sz w:val="24"/>
          <w:szCs w:val="24"/>
          <w:lang w:bidi="en-US"/>
        </w:rPr>
        <w:t xml:space="preserve">sometimes issues as the </w:t>
      </w:r>
      <w:r w:rsidRPr="00B40683">
        <w:rPr>
          <w:rFonts w:ascii="Times New Roman" w:hAnsi="Times New Roman" w:cs="Times New Roman"/>
          <w:noProof/>
          <w:color w:val="000000"/>
          <w:sz w:val="24"/>
          <w:szCs w:val="24"/>
          <w:lang w:val="en-GB" w:eastAsia="nl-NL" w:bidi="nl-NL"/>
        </w:rPr>
        <w:t xml:space="preserve">counterpart </w:t>
      </w:r>
      <w:r w:rsidRPr="00B40683">
        <w:rPr>
          <w:rFonts w:ascii="Times New Roman" w:hAnsi="Times New Roman" w:cs="Times New Roman"/>
          <w:noProof/>
          <w:color w:val="000000"/>
          <w:sz w:val="24"/>
          <w:szCs w:val="24"/>
          <w:lang w:bidi="en-US"/>
        </w:rPr>
        <w:t xml:space="preserve">may request additional documentation (e.g. a European Investigation Order or Mutual Legal </w:t>
      </w:r>
      <w:r w:rsidRPr="00B40683">
        <w:rPr>
          <w:rFonts w:ascii="Times New Roman" w:hAnsi="Times New Roman" w:cs="Times New Roman"/>
          <w:noProof/>
          <w:color w:val="000000"/>
          <w:sz w:val="24"/>
          <w:szCs w:val="24"/>
          <w:lang w:val="da-DK" w:eastAsia="da-DK" w:bidi="da-DK"/>
        </w:rPr>
        <w:t xml:space="preserve">Assistance </w:t>
      </w:r>
      <w:r w:rsidRPr="00B40683">
        <w:rPr>
          <w:rFonts w:ascii="Times New Roman" w:hAnsi="Times New Roman" w:cs="Times New Roman"/>
          <w:noProof/>
          <w:color w:val="000000"/>
          <w:sz w:val="24"/>
          <w:szCs w:val="24"/>
          <w:lang w:bidi="en-US"/>
        </w:rPr>
        <w:t xml:space="preserve">request). Member States can share </w:t>
      </w:r>
      <w:r w:rsidRPr="00B40683">
        <w:rPr>
          <w:rFonts w:ascii="Times New Roman" w:hAnsi="Times New Roman" w:cs="Times New Roman"/>
          <w:noProof/>
          <w:color w:val="000000"/>
          <w:sz w:val="24"/>
          <w:szCs w:val="24"/>
          <w:lang w:val="da-DK" w:eastAsia="da-DK" w:bidi="da-DK"/>
        </w:rPr>
        <w:t xml:space="preserve">information </w:t>
      </w:r>
      <w:r w:rsidRPr="00B40683">
        <w:rPr>
          <w:rFonts w:ascii="Times New Roman" w:hAnsi="Times New Roman" w:cs="Times New Roman"/>
          <w:noProof/>
          <w:color w:val="000000"/>
          <w:sz w:val="24"/>
          <w:szCs w:val="24"/>
          <w:lang w:bidi="en-US"/>
        </w:rPr>
        <w:t xml:space="preserve">according to the SFD but in </w:t>
      </w:r>
      <w:r w:rsidRPr="00B40683">
        <w:rPr>
          <w:rFonts w:ascii="Times New Roman" w:hAnsi="Times New Roman" w:cs="Times New Roman"/>
          <w:noProof/>
          <w:color w:val="000000"/>
          <w:sz w:val="24"/>
          <w:szCs w:val="24"/>
          <w:lang w:val="cs-CZ" w:eastAsia="cs-CZ" w:bidi="cs-CZ"/>
        </w:rPr>
        <w:t xml:space="preserve">many </w:t>
      </w:r>
      <w:r w:rsidRPr="00B40683">
        <w:rPr>
          <w:rFonts w:ascii="Times New Roman" w:hAnsi="Times New Roman" w:cs="Times New Roman"/>
          <w:noProof/>
          <w:color w:val="000000"/>
          <w:sz w:val="24"/>
          <w:szCs w:val="24"/>
          <w:lang w:bidi="en-US"/>
        </w:rPr>
        <w:t xml:space="preserve">cases they prefer to stay on the safe side and to request </w:t>
      </w:r>
      <w:r w:rsidRPr="00B40683">
        <w:rPr>
          <w:rFonts w:ascii="Times New Roman" w:hAnsi="Times New Roman" w:cs="Times New Roman"/>
          <w:noProof/>
          <w:color w:val="000000"/>
          <w:sz w:val="24"/>
          <w:szCs w:val="24"/>
          <w:lang w:val="da-DK" w:eastAsia="da-DK" w:bidi="da-DK"/>
        </w:rPr>
        <w:t xml:space="preserve">for </w:t>
      </w:r>
      <w:r w:rsidRPr="00B40683">
        <w:rPr>
          <w:rFonts w:ascii="Times New Roman" w:hAnsi="Times New Roman" w:cs="Times New Roman"/>
          <w:noProof/>
          <w:color w:val="000000"/>
          <w:sz w:val="24"/>
          <w:szCs w:val="24"/>
          <w:lang w:bidi="en-US"/>
        </w:rPr>
        <w:t>additional documentation;</w:t>
      </w:r>
    </w:p>
    <w:p w14:paraId="2DF0540B" w14:textId="77777777" w:rsidR="00B86F0E" w:rsidRPr="00B40683" w:rsidRDefault="00B86F0E" w:rsidP="00B86F0E">
      <w:pPr>
        <w:spacing w:after="218" w:line="240"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 xml:space="preserve">No issues have been raised regarding the requirements set in the </w:t>
      </w:r>
      <w:r w:rsidRPr="00B40683">
        <w:rPr>
          <w:rFonts w:ascii="Times New Roman" w:hAnsi="Times New Roman" w:cs="Times New Roman"/>
          <w:noProof/>
          <w:color w:val="000000"/>
          <w:sz w:val="24"/>
          <w:szCs w:val="24"/>
          <w:lang w:val="de-DE" w:eastAsia="de-DE" w:bidi="de-DE"/>
        </w:rPr>
        <w:t xml:space="preserve">Prüm </w:t>
      </w:r>
      <w:r w:rsidRPr="00B40683">
        <w:rPr>
          <w:rFonts w:ascii="Times New Roman" w:hAnsi="Times New Roman" w:cs="Times New Roman"/>
          <w:noProof/>
          <w:color w:val="000000"/>
          <w:sz w:val="24"/>
          <w:szCs w:val="24"/>
          <w:lang w:bidi="en-US"/>
        </w:rPr>
        <w:t xml:space="preserve">Decisions on the supply of information in order to prevent terrorist offences. Usually </w:t>
      </w:r>
      <w:r w:rsidRPr="00B40683">
        <w:rPr>
          <w:rFonts w:ascii="Times New Roman" w:hAnsi="Times New Roman" w:cs="Times New Roman"/>
          <w:noProof/>
          <w:color w:val="000000"/>
          <w:sz w:val="24"/>
          <w:szCs w:val="24"/>
          <w:lang w:val="da-DK" w:eastAsia="da-DK" w:bidi="da-DK"/>
        </w:rPr>
        <w:t xml:space="preserve">information </w:t>
      </w:r>
      <w:r w:rsidRPr="00B40683">
        <w:rPr>
          <w:rFonts w:ascii="Times New Roman" w:hAnsi="Times New Roman" w:cs="Times New Roman"/>
          <w:noProof/>
          <w:color w:val="000000"/>
          <w:sz w:val="24"/>
          <w:szCs w:val="24"/>
          <w:lang w:bidi="en-US"/>
        </w:rPr>
        <w:t xml:space="preserve">concerning </w:t>
      </w:r>
      <w:r w:rsidRPr="00B40683">
        <w:rPr>
          <w:rFonts w:ascii="Times New Roman" w:hAnsi="Times New Roman" w:cs="Times New Roman"/>
          <w:noProof/>
          <w:color w:val="000000"/>
          <w:sz w:val="24"/>
          <w:szCs w:val="24"/>
          <w:lang w:val="da-DK" w:eastAsia="da-DK" w:bidi="da-DK"/>
        </w:rPr>
        <w:t xml:space="preserve">terrorist </w:t>
      </w:r>
      <w:r w:rsidRPr="00B40683">
        <w:rPr>
          <w:rFonts w:ascii="Times New Roman" w:hAnsi="Times New Roman" w:cs="Times New Roman"/>
          <w:noProof/>
          <w:color w:val="000000"/>
          <w:sz w:val="24"/>
          <w:szCs w:val="24"/>
          <w:lang w:bidi="en-US"/>
        </w:rPr>
        <w:t xml:space="preserve">offences is exchanged </w:t>
      </w:r>
      <w:r w:rsidRPr="00B40683">
        <w:rPr>
          <w:rFonts w:ascii="Times New Roman" w:hAnsi="Times New Roman" w:cs="Times New Roman"/>
          <w:noProof/>
          <w:color w:val="000000"/>
          <w:sz w:val="24"/>
          <w:szCs w:val="24"/>
          <w:lang w:val="da-DK" w:eastAsia="da-DK" w:bidi="da-DK"/>
        </w:rPr>
        <w:t xml:space="preserve">through </w:t>
      </w:r>
      <w:r w:rsidRPr="00B40683">
        <w:rPr>
          <w:rFonts w:ascii="Times New Roman" w:hAnsi="Times New Roman" w:cs="Times New Roman"/>
          <w:noProof/>
          <w:color w:val="000000"/>
          <w:sz w:val="24"/>
          <w:szCs w:val="24"/>
          <w:lang w:bidi="en-US"/>
        </w:rPr>
        <w:t xml:space="preserve">specific </w:t>
      </w:r>
      <w:r w:rsidRPr="00B40683">
        <w:rPr>
          <w:rFonts w:ascii="Times New Roman" w:hAnsi="Times New Roman" w:cs="Times New Roman"/>
          <w:noProof/>
          <w:color w:val="000000"/>
          <w:sz w:val="24"/>
          <w:szCs w:val="24"/>
          <w:lang w:val="da-DK" w:eastAsia="da-DK" w:bidi="da-DK"/>
        </w:rPr>
        <w:t xml:space="preserve">information </w:t>
      </w:r>
      <w:r w:rsidRPr="00B40683">
        <w:rPr>
          <w:rFonts w:ascii="Times New Roman" w:hAnsi="Times New Roman" w:cs="Times New Roman"/>
          <w:noProof/>
          <w:color w:val="000000"/>
          <w:sz w:val="24"/>
          <w:szCs w:val="24"/>
          <w:lang w:bidi="en-US"/>
        </w:rPr>
        <w:t xml:space="preserve">channels and mechanisms which </w:t>
      </w:r>
      <w:r w:rsidRPr="00B40683">
        <w:rPr>
          <w:rFonts w:ascii="Times New Roman" w:hAnsi="Times New Roman" w:cs="Times New Roman"/>
          <w:noProof/>
          <w:color w:val="000000"/>
          <w:sz w:val="24"/>
          <w:szCs w:val="24"/>
          <w:lang w:val="hr-HR" w:eastAsia="hr-HR" w:bidi="hr-HR"/>
        </w:rPr>
        <w:t xml:space="preserve">are </w:t>
      </w:r>
      <w:r w:rsidRPr="00B40683">
        <w:rPr>
          <w:rFonts w:ascii="Times New Roman" w:hAnsi="Times New Roman" w:cs="Times New Roman"/>
          <w:noProof/>
          <w:color w:val="000000"/>
          <w:sz w:val="24"/>
          <w:szCs w:val="24"/>
          <w:lang w:bidi="en-US"/>
        </w:rPr>
        <w:t xml:space="preserve">identified based on available </w:t>
      </w:r>
      <w:r w:rsidRPr="00B40683">
        <w:rPr>
          <w:rFonts w:ascii="Times New Roman" w:hAnsi="Times New Roman" w:cs="Times New Roman"/>
          <w:noProof/>
          <w:color w:val="000000"/>
          <w:sz w:val="24"/>
          <w:szCs w:val="24"/>
          <w:lang w:val="da-DK" w:eastAsia="da-DK" w:bidi="da-DK"/>
        </w:rPr>
        <w:t xml:space="preserve">guidelines </w:t>
      </w:r>
      <w:r w:rsidRPr="00B40683">
        <w:rPr>
          <w:rFonts w:ascii="Times New Roman" w:hAnsi="Times New Roman" w:cs="Times New Roman"/>
          <w:noProof/>
          <w:color w:val="000000"/>
          <w:sz w:val="24"/>
          <w:szCs w:val="24"/>
          <w:lang w:bidi="en-US"/>
        </w:rPr>
        <w:t xml:space="preserve">and operational instructions (e.g. Draft SPOC Guidelines for cross-border law enforcement information exchange, </w:t>
      </w:r>
      <w:r w:rsidRPr="00B40683">
        <w:rPr>
          <w:rFonts w:ascii="Times New Roman" w:hAnsi="Times New Roman" w:cs="Times New Roman"/>
          <w:noProof/>
          <w:color w:val="000000"/>
          <w:sz w:val="24"/>
          <w:szCs w:val="24"/>
          <w:lang w:val="bg-BG" w:eastAsia="bg-BG" w:bidi="bg-BG"/>
        </w:rPr>
        <w:t xml:space="preserve">6721/14, </w:t>
      </w:r>
      <w:r w:rsidRPr="00B40683">
        <w:rPr>
          <w:rFonts w:ascii="Times New Roman" w:hAnsi="Times New Roman" w:cs="Times New Roman"/>
          <w:noProof/>
          <w:color w:val="000000"/>
          <w:sz w:val="24"/>
          <w:szCs w:val="24"/>
          <w:lang w:bidi="en-US"/>
        </w:rPr>
        <w:t xml:space="preserve">and Proposal for a Practical Advisor for Law Enforcement Information Exchange, </w:t>
      </w:r>
      <w:r w:rsidRPr="00B40683">
        <w:rPr>
          <w:rFonts w:ascii="Times New Roman" w:hAnsi="Times New Roman" w:cs="Times New Roman"/>
          <w:noProof/>
          <w:color w:val="000000"/>
          <w:sz w:val="24"/>
          <w:szCs w:val="24"/>
          <w:lang w:val="bg-BG" w:eastAsia="bg-BG" w:bidi="bg-BG"/>
        </w:rPr>
        <w:t xml:space="preserve">6243/18), </w:t>
      </w:r>
      <w:r w:rsidRPr="00B40683">
        <w:rPr>
          <w:rFonts w:ascii="Times New Roman" w:hAnsi="Times New Roman" w:cs="Times New Roman"/>
          <w:noProof/>
          <w:color w:val="000000"/>
          <w:sz w:val="24"/>
          <w:szCs w:val="24"/>
          <w:lang w:bidi="en-US"/>
        </w:rPr>
        <w:t xml:space="preserve">rather than pursuant to the </w:t>
      </w:r>
      <w:r w:rsidRPr="00B40683">
        <w:rPr>
          <w:rFonts w:ascii="Times New Roman" w:hAnsi="Times New Roman" w:cs="Times New Roman"/>
          <w:noProof/>
          <w:color w:val="000000"/>
          <w:sz w:val="24"/>
          <w:szCs w:val="24"/>
          <w:lang w:val="de-DE" w:eastAsia="de-DE" w:bidi="de-DE"/>
        </w:rPr>
        <w:t xml:space="preserve">Prüm </w:t>
      </w:r>
      <w:r w:rsidRPr="00B40683">
        <w:rPr>
          <w:rFonts w:ascii="Times New Roman" w:hAnsi="Times New Roman" w:cs="Times New Roman"/>
          <w:noProof/>
          <w:color w:val="000000"/>
          <w:sz w:val="24"/>
          <w:szCs w:val="24"/>
          <w:lang w:bidi="en-US"/>
        </w:rPr>
        <w:t>Decisions.</w:t>
      </w:r>
    </w:p>
    <w:p w14:paraId="77D4F825" w14:textId="77777777" w:rsidR="00B86F0E" w:rsidRPr="00B40683" w:rsidRDefault="00B86F0E" w:rsidP="00B86F0E">
      <w:pPr>
        <w:keepNext/>
        <w:keepLines/>
        <w:spacing w:after="71"/>
        <w:rPr>
          <w:rFonts w:ascii="Times New Roman" w:hAnsi="Times New Roman" w:cs="Times New Roman"/>
          <w:noProof/>
          <w:sz w:val="24"/>
          <w:szCs w:val="24"/>
        </w:rPr>
      </w:pPr>
      <w:bookmarkStart w:id="218" w:name="bookmark8"/>
      <w:r w:rsidRPr="00B40683">
        <w:rPr>
          <w:rStyle w:val="Heading210"/>
          <w:rFonts w:ascii="Times New Roman" w:hAnsi="Times New Roman" w:cs="Times New Roman"/>
          <w:b w:val="0"/>
          <w:bCs w:val="0"/>
          <w:noProof/>
          <w:sz w:val="24"/>
          <w:szCs w:val="24"/>
        </w:rPr>
        <w:t>In light of likely future security, technological, social, policy and economic</w:t>
      </w:r>
      <w:bookmarkEnd w:id="218"/>
    </w:p>
    <w:p w14:paraId="40408E97" w14:textId="77777777" w:rsidR="00B86F0E" w:rsidRPr="00B40683" w:rsidRDefault="00B86F0E" w:rsidP="00237337">
      <w:pPr>
        <w:spacing w:after="0" w:line="240" w:lineRule="auto"/>
        <w:jc w:val="both"/>
        <w:rPr>
          <w:rFonts w:ascii="Times New Roman" w:hAnsi="Times New Roman" w:cs="Times New Roman"/>
          <w:noProof/>
          <w:sz w:val="24"/>
          <w:szCs w:val="24"/>
        </w:rPr>
      </w:pPr>
      <w:r w:rsidRPr="00B40683">
        <w:rPr>
          <w:rStyle w:val="Bodytext40"/>
          <w:rFonts w:ascii="Times New Roman" w:hAnsi="Times New Roman" w:cs="Times New Roman"/>
          <w:b w:val="0"/>
          <w:bCs w:val="0"/>
          <w:noProof/>
          <w:color w:val="auto"/>
          <w:sz w:val="24"/>
          <w:szCs w:val="24"/>
        </w:rPr>
        <w:t xml:space="preserve">developments, how would the driver and the related issues evolve in case no further </w:t>
      </w:r>
      <w:r w:rsidRPr="00B40683">
        <w:rPr>
          <w:rStyle w:val="Bodytext40"/>
          <w:rFonts w:ascii="Times New Roman" w:hAnsi="Times New Roman" w:cs="Times New Roman"/>
          <w:b w:val="0"/>
          <w:bCs w:val="0"/>
          <w:noProof/>
          <w:color w:val="auto"/>
          <w:sz w:val="24"/>
          <w:szCs w:val="24"/>
          <w:lang w:val="de-DE" w:eastAsia="de-DE" w:bidi="de-DE"/>
        </w:rPr>
        <w:t>EU</w:t>
      </w:r>
    </w:p>
    <w:p w14:paraId="07AB071C" w14:textId="77777777" w:rsidR="00B86F0E" w:rsidRPr="00B40683" w:rsidRDefault="00B86F0E" w:rsidP="00237337">
      <w:pPr>
        <w:spacing w:after="0" w:line="240" w:lineRule="auto"/>
        <w:jc w:val="both"/>
        <w:rPr>
          <w:rFonts w:ascii="Times New Roman" w:hAnsi="Times New Roman" w:cs="Times New Roman"/>
          <w:noProof/>
          <w:sz w:val="24"/>
          <w:szCs w:val="24"/>
        </w:rPr>
      </w:pPr>
      <w:r w:rsidRPr="00B40683">
        <w:rPr>
          <w:rStyle w:val="Bodytext40"/>
          <w:rFonts w:ascii="Times New Roman" w:hAnsi="Times New Roman" w:cs="Times New Roman"/>
          <w:b w:val="0"/>
          <w:bCs w:val="0"/>
          <w:noProof/>
          <w:color w:val="auto"/>
          <w:sz w:val="24"/>
          <w:szCs w:val="24"/>
        </w:rPr>
        <w:t>action is taken?</w:t>
      </w:r>
    </w:p>
    <w:p w14:paraId="473C5EE4" w14:textId="77777777" w:rsidR="00B86F0E" w:rsidRPr="00B40683" w:rsidRDefault="00B86F0E" w:rsidP="00900BC7">
      <w:pPr>
        <w:widowControl w:val="0"/>
        <w:numPr>
          <w:ilvl w:val="0"/>
          <w:numId w:val="55"/>
        </w:numPr>
        <w:tabs>
          <w:tab w:val="left" w:pos="735"/>
        </w:tabs>
        <w:spacing w:after="96" w:line="245" w:lineRule="exact"/>
        <w:ind w:left="74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Current issues related to the access to and exchange of information will </w:t>
      </w:r>
      <w:r w:rsidRPr="00B40683">
        <w:rPr>
          <w:rStyle w:val="Bodytext2Bold"/>
          <w:rFonts w:ascii="Times New Roman" w:hAnsi="Times New Roman" w:cs="Times New Roman"/>
          <w:noProof/>
          <w:sz w:val="24"/>
          <w:szCs w:val="24"/>
        </w:rPr>
        <w:t xml:space="preserve">likely become more relevant </w:t>
      </w:r>
      <w:r w:rsidRPr="00B40683">
        <w:rPr>
          <w:rFonts w:ascii="Times New Roman" w:hAnsi="Times New Roman" w:cs="Times New Roman"/>
          <w:noProof/>
          <w:color w:val="000000"/>
          <w:sz w:val="24"/>
          <w:szCs w:val="24"/>
          <w:lang w:bidi="en-US"/>
        </w:rPr>
        <w:t xml:space="preserve">in the next 5-10 years in case no further </w:t>
      </w:r>
      <w:r w:rsidRPr="00B40683">
        <w:rPr>
          <w:rFonts w:ascii="Times New Roman" w:hAnsi="Times New Roman" w:cs="Times New Roman"/>
          <w:noProof/>
          <w:color w:val="000000"/>
          <w:sz w:val="24"/>
          <w:szCs w:val="24"/>
          <w:lang w:val="de-DE" w:eastAsia="de-DE" w:bidi="de-DE"/>
        </w:rPr>
        <w:t xml:space="preserve">EU </w:t>
      </w:r>
      <w:r w:rsidRPr="00B40683">
        <w:rPr>
          <w:rFonts w:ascii="Times New Roman" w:hAnsi="Times New Roman" w:cs="Times New Roman"/>
          <w:noProof/>
          <w:color w:val="000000"/>
          <w:sz w:val="24"/>
          <w:szCs w:val="24"/>
          <w:lang w:bidi="en-US"/>
        </w:rPr>
        <w:t>action is taken.</w:t>
      </w:r>
    </w:p>
    <w:p w14:paraId="721120A0" w14:textId="77777777" w:rsidR="00B86F0E" w:rsidRPr="00B40683" w:rsidRDefault="00B86F0E" w:rsidP="00900BC7">
      <w:pPr>
        <w:widowControl w:val="0"/>
        <w:numPr>
          <w:ilvl w:val="0"/>
          <w:numId w:val="55"/>
        </w:numPr>
        <w:tabs>
          <w:tab w:val="left" w:pos="735"/>
        </w:tabs>
        <w:spacing w:after="100" w:line="250" w:lineRule="exact"/>
        <w:ind w:left="740" w:hanging="360"/>
        <w:rPr>
          <w:rFonts w:ascii="Times New Roman" w:hAnsi="Times New Roman" w:cs="Times New Roman"/>
          <w:noProof/>
          <w:sz w:val="24"/>
          <w:szCs w:val="24"/>
        </w:rPr>
      </w:pPr>
      <w:r w:rsidRPr="00B40683">
        <w:rPr>
          <w:rStyle w:val="Bodytext2Bold"/>
          <w:rFonts w:ascii="Times New Roman" w:hAnsi="Times New Roman" w:cs="Times New Roman"/>
          <w:noProof/>
          <w:sz w:val="24"/>
          <w:szCs w:val="24"/>
        </w:rPr>
        <w:t xml:space="preserve">Technological, security and policy developments </w:t>
      </w:r>
      <w:r w:rsidRPr="00B40683">
        <w:rPr>
          <w:rFonts w:ascii="Times New Roman" w:hAnsi="Times New Roman" w:cs="Times New Roman"/>
          <w:noProof/>
          <w:color w:val="000000"/>
          <w:sz w:val="24"/>
          <w:szCs w:val="24"/>
          <w:lang w:bidi="en-US"/>
        </w:rPr>
        <w:t xml:space="preserve">will significantly affect the </w:t>
      </w:r>
      <w:r w:rsidRPr="00B40683">
        <w:rPr>
          <w:rFonts w:ascii="Times New Roman" w:hAnsi="Times New Roman" w:cs="Times New Roman"/>
          <w:noProof/>
          <w:color w:val="000000"/>
          <w:sz w:val="24"/>
          <w:szCs w:val="24"/>
          <w:lang w:val="da-DK" w:eastAsia="da-DK" w:bidi="da-DK"/>
        </w:rPr>
        <w:t xml:space="preserve">evolution </w:t>
      </w:r>
      <w:r w:rsidRPr="00B40683">
        <w:rPr>
          <w:rFonts w:ascii="Times New Roman" w:hAnsi="Times New Roman" w:cs="Times New Roman"/>
          <w:noProof/>
          <w:color w:val="000000"/>
          <w:sz w:val="24"/>
          <w:szCs w:val="24"/>
          <w:lang w:bidi="en-US"/>
        </w:rPr>
        <w:t xml:space="preserve">of the existing issues. Among the examples </w:t>
      </w:r>
      <w:r w:rsidRPr="00B40683">
        <w:rPr>
          <w:rFonts w:ascii="Times New Roman" w:hAnsi="Times New Roman" w:cs="Times New Roman"/>
          <w:noProof/>
          <w:color w:val="000000"/>
          <w:sz w:val="24"/>
          <w:szCs w:val="24"/>
          <w:lang w:val="da-DK" w:eastAsia="da-DK" w:bidi="da-DK"/>
        </w:rPr>
        <w:t>reported:</w:t>
      </w:r>
    </w:p>
    <w:p w14:paraId="161D8520" w14:textId="77777777" w:rsidR="00B86F0E" w:rsidRPr="00B40683" w:rsidRDefault="00B86F0E" w:rsidP="00B86F0E">
      <w:pPr>
        <w:spacing w:after="104" w:line="250"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 xml:space="preserve">The use of artificial intelligence is likely to have a strong </w:t>
      </w:r>
      <w:r w:rsidRPr="00B40683">
        <w:rPr>
          <w:rFonts w:ascii="Times New Roman" w:hAnsi="Times New Roman" w:cs="Times New Roman"/>
          <w:noProof/>
          <w:color w:val="000000"/>
          <w:sz w:val="24"/>
          <w:szCs w:val="24"/>
          <w:lang w:val="hr-HR" w:eastAsia="hr-HR" w:bidi="hr-HR"/>
        </w:rPr>
        <w:t xml:space="preserve">influence </w:t>
      </w:r>
      <w:r w:rsidRPr="00B40683">
        <w:rPr>
          <w:rFonts w:ascii="Times New Roman" w:hAnsi="Times New Roman" w:cs="Times New Roman"/>
          <w:noProof/>
          <w:color w:val="000000"/>
          <w:sz w:val="24"/>
          <w:szCs w:val="24"/>
          <w:lang w:bidi="en-US"/>
        </w:rPr>
        <w:t xml:space="preserve">on criminals and </w:t>
      </w:r>
      <w:r w:rsidRPr="00B40683">
        <w:rPr>
          <w:rFonts w:ascii="Times New Roman" w:hAnsi="Times New Roman" w:cs="Times New Roman"/>
          <w:noProof/>
          <w:color w:val="000000"/>
          <w:sz w:val="24"/>
          <w:szCs w:val="24"/>
          <w:lang w:val="hr-HR" w:eastAsia="hr-HR" w:bidi="hr-HR"/>
        </w:rPr>
        <w:t xml:space="preserve">police </w:t>
      </w:r>
      <w:r w:rsidRPr="00B40683">
        <w:rPr>
          <w:rFonts w:ascii="Times New Roman" w:hAnsi="Times New Roman" w:cs="Times New Roman"/>
          <w:noProof/>
          <w:color w:val="000000"/>
          <w:sz w:val="24"/>
          <w:szCs w:val="24"/>
          <w:lang w:bidi="en-US"/>
        </w:rPr>
        <w:t xml:space="preserve">modus </w:t>
      </w:r>
      <w:r w:rsidRPr="00B40683">
        <w:rPr>
          <w:rFonts w:ascii="Times New Roman" w:hAnsi="Times New Roman" w:cs="Times New Roman"/>
          <w:noProof/>
          <w:color w:val="000000"/>
          <w:sz w:val="24"/>
          <w:szCs w:val="24"/>
          <w:lang w:val="fi-FI" w:eastAsia="fi-FI" w:bidi="fi-FI"/>
        </w:rPr>
        <w:t>operandi;</w:t>
      </w:r>
    </w:p>
    <w:p w14:paraId="0588DECA" w14:textId="77777777" w:rsidR="00B86F0E" w:rsidRPr="00B40683" w:rsidRDefault="00B86F0E" w:rsidP="00B86F0E">
      <w:pPr>
        <w:spacing w:line="245"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 xml:space="preserve">The use of cryptocurrencies poses </w:t>
      </w:r>
      <w:r w:rsidRPr="00B40683">
        <w:rPr>
          <w:rFonts w:ascii="Times New Roman" w:hAnsi="Times New Roman" w:cs="Times New Roman"/>
          <w:noProof/>
          <w:color w:val="000000"/>
          <w:sz w:val="24"/>
          <w:szCs w:val="24"/>
          <w:lang w:val="da-DK" w:eastAsia="da-DK" w:bidi="da-DK"/>
        </w:rPr>
        <w:t xml:space="preserve">new </w:t>
      </w:r>
      <w:r w:rsidRPr="00B40683">
        <w:rPr>
          <w:rFonts w:ascii="Times New Roman" w:hAnsi="Times New Roman" w:cs="Times New Roman"/>
          <w:noProof/>
          <w:color w:val="000000"/>
          <w:sz w:val="24"/>
          <w:szCs w:val="24"/>
          <w:lang w:bidi="en-US"/>
        </w:rPr>
        <w:t>challenges to law enforcement, especially regarding handling these assets once they have been seized;</w:t>
      </w:r>
    </w:p>
    <w:p w14:paraId="6ED7ADC4" w14:textId="77777777" w:rsidR="00B86F0E" w:rsidRPr="00B40683" w:rsidRDefault="00B86F0E" w:rsidP="00B86F0E">
      <w:pPr>
        <w:spacing w:after="222" w:line="245"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The increasing volume of data and information to be stored (e.g. means of proof for court) is challenging the current capacity of the databases of law enforcement authorities.</w:t>
      </w:r>
    </w:p>
    <w:p w14:paraId="633235DB" w14:textId="77777777" w:rsidR="00B86F0E" w:rsidRPr="00B40683" w:rsidRDefault="00B86F0E" w:rsidP="00B86F0E">
      <w:pPr>
        <w:keepNext/>
        <w:keepLines/>
        <w:spacing w:after="222"/>
        <w:rPr>
          <w:rFonts w:ascii="Times New Roman" w:hAnsi="Times New Roman" w:cs="Times New Roman"/>
          <w:noProof/>
          <w:sz w:val="24"/>
          <w:szCs w:val="24"/>
        </w:rPr>
      </w:pPr>
      <w:bookmarkStart w:id="219" w:name="bookmark9"/>
      <w:r w:rsidRPr="00B40683">
        <w:rPr>
          <w:rStyle w:val="Heading210"/>
          <w:rFonts w:ascii="Times New Roman" w:hAnsi="Times New Roman" w:cs="Times New Roman"/>
          <w:b w:val="0"/>
          <w:bCs w:val="0"/>
          <w:noProof/>
          <w:sz w:val="24"/>
          <w:szCs w:val="24"/>
        </w:rPr>
        <w:t xml:space="preserve">Is there a need for </w:t>
      </w:r>
      <w:r w:rsidRPr="00B40683">
        <w:rPr>
          <w:rStyle w:val="Heading210"/>
          <w:rFonts w:ascii="Times New Roman" w:hAnsi="Times New Roman" w:cs="Times New Roman"/>
          <w:b w:val="0"/>
          <w:bCs w:val="0"/>
          <w:noProof/>
          <w:sz w:val="24"/>
          <w:szCs w:val="24"/>
          <w:lang w:val="de-DE" w:eastAsia="de-DE" w:bidi="de-DE"/>
        </w:rPr>
        <w:t xml:space="preserve">EU </w:t>
      </w:r>
      <w:r w:rsidRPr="00B40683">
        <w:rPr>
          <w:rStyle w:val="Heading210"/>
          <w:rFonts w:ascii="Times New Roman" w:hAnsi="Times New Roman" w:cs="Times New Roman"/>
          <w:b w:val="0"/>
          <w:bCs w:val="0"/>
          <w:noProof/>
          <w:sz w:val="24"/>
          <w:szCs w:val="24"/>
        </w:rPr>
        <w:t>intervention to address this driver and the related issues?</w:t>
      </w:r>
      <w:bookmarkEnd w:id="219"/>
    </w:p>
    <w:p w14:paraId="184903EE" w14:textId="77777777" w:rsidR="00B86F0E" w:rsidRPr="00B40683" w:rsidRDefault="00B86F0E" w:rsidP="00900BC7">
      <w:pPr>
        <w:widowControl w:val="0"/>
        <w:numPr>
          <w:ilvl w:val="0"/>
          <w:numId w:val="55"/>
        </w:numPr>
        <w:tabs>
          <w:tab w:val="left" w:pos="735"/>
        </w:tabs>
        <w:spacing w:after="98" w:line="240" w:lineRule="exact"/>
        <w:ind w:left="740" w:hanging="360"/>
        <w:rPr>
          <w:rFonts w:ascii="Times New Roman" w:hAnsi="Times New Roman" w:cs="Times New Roman"/>
          <w:noProof/>
          <w:sz w:val="24"/>
          <w:szCs w:val="24"/>
        </w:rPr>
      </w:pPr>
      <w:r w:rsidRPr="00B40683">
        <w:rPr>
          <w:rStyle w:val="Bodytext2Bold"/>
          <w:rFonts w:ascii="Times New Roman" w:hAnsi="Times New Roman" w:cs="Times New Roman"/>
          <w:noProof/>
          <w:sz w:val="24"/>
          <w:szCs w:val="24"/>
        </w:rPr>
        <w:t xml:space="preserve">There is a need for </w:t>
      </w:r>
      <w:r w:rsidRPr="00B40683">
        <w:rPr>
          <w:rStyle w:val="Bodytext2Bold"/>
          <w:rFonts w:ascii="Times New Roman" w:hAnsi="Times New Roman" w:cs="Times New Roman"/>
          <w:noProof/>
          <w:sz w:val="24"/>
          <w:szCs w:val="24"/>
          <w:lang w:val="de-DE" w:eastAsia="de-DE" w:bidi="de-DE"/>
        </w:rPr>
        <w:t xml:space="preserve">EU </w:t>
      </w:r>
      <w:r w:rsidRPr="00B40683">
        <w:rPr>
          <w:rStyle w:val="Bodytext2Bold"/>
          <w:rFonts w:ascii="Times New Roman" w:hAnsi="Times New Roman" w:cs="Times New Roman"/>
          <w:noProof/>
          <w:sz w:val="24"/>
          <w:szCs w:val="24"/>
        </w:rPr>
        <w:t xml:space="preserve">intervention </w:t>
      </w:r>
      <w:r w:rsidRPr="00B40683">
        <w:rPr>
          <w:rFonts w:ascii="Times New Roman" w:hAnsi="Times New Roman" w:cs="Times New Roman"/>
          <w:noProof/>
          <w:color w:val="000000"/>
          <w:sz w:val="24"/>
          <w:szCs w:val="24"/>
          <w:lang w:bidi="en-US"/>
        </w:rPr>
        <w:t>to address the issues related to the access to and the exchange of information.</w:t>
      </w:r>
    </w:p>
    <w:p w14:paraId="44286E1E" w14:textId="77777777" w:rsidR="00B86F0E" w:rsidRPr="00B40683" w:rsidRDefault="00B86F0E" w:rsidP="00900BC7">
      <w:pPr>
        <w:widowControl w:val="0"/>
        <w:numPr>
          <w:ilvl w:val="0"/>
          <w:numId w:val="55"/>
        </w:numPr>
        <w:tabs>
          <w:tab w:val="left" w:pos="735"/>
        </w:tabs>
        <w:spacing w:after="102" w:line="242" w:lineRule="exact"/>
        <w:ind w:left="74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The </w:t>
      </w:r>
      <w:r w:rsidRPr="00B40683">
        <w:rPr>
          <w:rFonts w:ascii="Times New Roman" w:hAnsi="Times New Roman" w:cs="Times New Roman"/>
          <w:noProof/>
          <w:color w:val="000000"/>
          <w:sz w:val="24"/>
          <w:szCs w:val="24"/>
          <w:lang w:val="de-DE" w:eastAsia="de-DE" w:bidi="de-DE"/>
        </w:rPr>
        <w:t xml:space="preserve">EU </w:t>
      </w:r>
      <w:r w:rsidRPr="00B40683">
        <w:rPr>
          <w:rFonts w:ascii="Times New Roman" w:hAnsi="Times New Roman" w:cs="Times New Roman"/>
          <w:noProof/>
          <w:color w:val="000000"/>
          <w:sz w:val="24"/>
          <w:szCs w:val="24"/>
          <w:lang w:bidi="en-US"/>
        </w:rPr>
        <w:t>intervention should focus on:</w:t>
      </w:r>
    </w:p>
    <w:p w14:paraId="5E1558A0" w14:textId="77777777" w:rsidR="00B86F0E" w:rsidRPr="00B40683" w:rsidRDefault="00B86F0E" w:rsidP="00B86F0E">
      <w:pPr>
        <w:spacing w:after="87" w:line="240"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 xml:space="preserve">The interconnection and streamlining of available systems for the exchange of information. Member States may currently adopt different communication channels since the EU measures in </w:t>
      </w:r>
      <w:r w:rsidRPr="00B40683">
        <w:rPr>
          <w:rFonts w:ascii="Times New Roman" w:hAnsi="Times New Roman" w:cs="Times New Roman"/>
          <w:noProof/>
          <w:color w:val="000000"/>
          <w:sz w:val="24"/>
          <w:szCs w:val="24"/>
          <w:lang w:val="da-DK" w:eastAsia="da-DK" w:bidi="da-DK"/>
        </w:rPr>
        <w:t xml:space="preserve">this </w:t>
      </w:r>
      <w:r w:rsidRPr="00B40683">
        <w:rPr>
          <w:rFonts w:ascii="Times New Roman" w:hAnsi="Times New Roman" w:cs="Times New Roman"/>
          <w:noProof/>
          <w:color w:val="000000"/>
          <w:sz w:val="24"/>
          <w:szCs w:val="24"/>
          <w:lang w:bidi="en-US"/>
        </w:rPr>
        <w:t xml:space="preserve">regard </w:t>
      </w:r>
      <w:r w:rsidRPr="00B40683">
        <w:rPr>
          <w:rFonts w:ascii="Times New Roman" w:hAnsi="Times New Roman" w:cs="Times New Roman"/>
          <w:noProof/>
          <w:color w:val="000000"/>
          <w:sz w:val="24"/>
          <w:szCs w:val="24"/>
          <w:lang w:val="hr-HR" w:eastAsia="hr-HR" w:bidi="hr-HR"/>
        </w:rPr>
        <w:t xml:space="preserve">are </w:t>
      </w:r>
      <w:r w:rsidRPr="00B40683">
        <w:rPr>
          <w:rFonts w:ascii="Times New Roman" w:hAnsi="Times New Roman" w:cs="Times New Roman"/>
          <w:noProof/>
          <w:color w:val="000000"/>
          <w:sz w:val="24"/>
          <w:szCs w:val="24"/>
          <w:lang w:val="cs-CZ" w:eastAsia="cs-CZ" w:bidi="cs-CZ"/>
        </w:rPr>
        <w:t xml:space="preserve">not </w:t>
      </w:r>
      <w:r w:rsidRPr="00B40683">
        <w:rPr>
          <w:rFonts w:ascii="Times New Roman" w:hAnsi="Times New Roman" w:cs="Times New Roman"/>
          <w:noProof/>
          <w:color w:val="000000"/>
          <w:sz w:val="24"/>
          <w:szCs w:val="24"/>
          <w:lang w:bidi="en-US"/>
        </w:rPr>
        <w:t xml:space="preserve">binding. </w:t>
      </w:r>
      <w:r w:rsidRPr="00B40683">
        <w:rPr>
          <w:rFonts w:ascii="Times New Roman" w:hAnsi="Times New Roman" w:cs="Times New Roman"/>
          <w:noProof/>
          <w:color w:val="000000"/>
          <w:sz w:val="24"/>
          <w:szCs w:val="24"/>
          <w:lang w:val="en-GB" w:eastAsia="nl-NL" w:bidi="nl-NL"/>
        </w:rPr>
        <w:t xml:space="preserve">Different </w:t>
      </w:r>
      <w:r w:rsidRPr="00B40683">
        <w:rPr>
          <w:rFonts w:ascii="Times New Roman" w:hAnsi="Times New Roman" w:cs="Times New Roman"/>
          <w:noProof/>
          <w:color w:val="000000"/>
          <w:sz w:val="24"/>
          <w:szCs w:val="24"/>
          <w:lang w:bidi="en-US"/>
        </w:rPr>
        <w:t xml:space="preserve">Member States may adopt distinct communication channels depending on the crime areas. Some databases can be accessed only when performing a research in a specific crime area. This generates some limitations and might be a point of attention. According to the </w:t>
      </w:r>
      <w:r w:rsidRPr="00B40683">
        <w:rPr>
          <w:rFonts w:ascii="Times New Roman" w:hAnsi="Times New Roman" w:cs="Times New Roman"/>
          <w:noProof/>
          <w:color w:val="000000"/>
          <w:sz w:val="24"/>
          <w:szCs w:val="24"/>
          <w:lang w:val="de-DE" w:eastAsia="de-DE" w:bidi="de-DE"/>
        </w:rPr>
        <w:t xml:space="preserve">Prüm </w:t>
      </w:r>
      <w:r w:rsidRPr="00B40683">
        <w:rPr>
          <w:rFonts w:ascii="Times New Roman" w:hAnsi="Times New Roman" w:cs="Times New Roman"/>
          <w:noProof/>
          <w:color w:val="000000"/>
          <w:sz w:val="24"/>
          <w:szCs w:val="24"/>
          <w:lang w:bidi="en-US"/>
        </w:rPr>
        <w:t xml:space="preserve">Decisions, in </w:t>
      </w:r>
      <w:r w:rsidRPr="00B40683">
        <w:rPr>
          <w:rFonts w:ascii="Times New Roman" w:hAnsi="Times New Roman" w:cs="Times New Roman"/>
          <w:noProof/>
          <w:color w:val="000000"/>
          <w:sz w:val="24"/>
          <w:szCs w:val="24"/>
          <w:lang w:val="da-DK" w:eastAsia="da-DK" w:bidi="da-DK"/>
        </w:rPr>
        <w:t xml:space="preserve">order for </w:t>
      </w:r>
      <w:r w:rsidRPr="00B40683">
        <w:rPr>
          <w:rFonts w:ascii="Times New Roman" w:hAnsi="Times New Roman" w:cs="Times New Roman"/>
          <w:noProof/>
          <w:color w:val="000000"/>
          <w:sz w:val="24"/>
          <w:szCs w:val="24"/>
          <w:lang w:bidi="en-US"/>
        </w:rPr>
        <w:t xml:space="preserve">one Member State to be </w:t>
      </w:r>
      <w:r w:rsidRPr="00B40683">
        <w:rPr>
          <w:rFonts w:ascii="Times New Roman" w:hAnsi="Times New Roman" w:cs="Times New Roman"/>
          <w:noProof/>
          <w:color w:val="000000"/>
          <w:sz w:val="24"/>
          <w:szCs w:val="24"/>
          <w:lang w:val="da-DK" w:eastAsia="da-DK" w:bidi="da-DK"/>
        </w:rPr>
        <w:t xml:space="preserve">able </w:t>
      </w:r>
      <w:r w:rsidRPr="00B40683">
        <w:rPr>
          <w:rFonts w:ascii="Times New Roman" w:hAnsi="Times New Roman" w:cs="Times New Roman"/>
          <w:noProof/>
          <w:color w:val="000000"/>
          <w:sz w:val="24"/>
          <w:szCs w:val="24"/>
          <w:lang w:bidi="en-US"/>
        </w:rPr>
        <w:t xml:space="preserve">to undertake </w:t>
      </w:r>
      <w:r w:rsidRPr="00B40683">
        <w:rPr>
          <w:rFonts w:ascii="Times New Roman" w:hAnsi="Times New Roman" w:cs="Times New Roman"/>
          <w:noProof/>
          <w:color w:val="000000"/>
          <w:sz w:val="24"/>
          <w:szCs w:val="24"/>
          <w:lang w:val="da-DK" w:eastAsia="da-DK" w:bidi="da-DK"/>
        </w:rPr>
        <w:t xml:space="preserve">direct </w:t>
      </w:r>
      <w:r w:rsidRPr="00B40683">
        <w:rPr>
          <w:rFonts w:ascii="Times New Roman" w:hAnsi="Times New Roman" w:cs="Times New Roman"/>
          <w:noProof/>
          <w:color w:val="000000"/>
          <w:sz w:val="24"/>
          <w:szCs w:val="24"/>
          <w:lang w:bidi="en-US"/>
        </w:rPr>
        <w:t xml:space="preserve">exchanges with other Member States, 26 bilateral </w:t>
      </w:r>
      <w:r w:rsidRPr="00B40683">
        <w:rPr>
          <w:rFonts w:ascii="Times New Roman" w:hAnsi="Times New Roman" w:cs="Times New Roman"/>
          <w:noProof/>
          <w:color w:val="000000"/>
          <w:sz w:val="24"/>
          <w:szCs w:val="24"/>
          <w:lang w:val="en-GB" w:eastAsia="nl-NL" w:bidi="nl-NL"/>
        </w:rPr>
        <w:t xml:space="preserve">interfaces </w:t>
      </w:r>
      <w:r w:rsidRPr="00B40683">
        <w:rPr>
          <w:rFonts w:ascii="Times New Roman" w:hAnsi="Times New Roman" w:cs="Times New Roman"/>
          <w:noProof/>
          <w:color w:val="000000"/>
          <w:sz w:val="24"/>
          <w:szCs w:val="24"/>
          <w:lang w:val="hr-HR" w:eastAsia="hr-HR" w:bidi="hr-HR"/>
        </w:rPr>
        <w:t xml:space="preserve">are </w:t>
      </w:r>
      <w:r w:rsidRPr="00B40683">
        <w:rPr>
          <w:rFonts w:ascii="Times New Roman" w:hAnsi="Times New Roman" w:cs="Times New Roman"/>
          <w:noProof/>
          <w:color w:val="000000"/>
          <w:sz w:val="24"/>
          <w:szCs w:val="24"/>
          <w:lang w:bidi="en-US"/>
        </w:rPr>
        <w:t xml:space="preserve">required. However, it is not required to establish a connection with all Member States and therefore not all Member States </w:t>
      </w:r>
      <w:r w:rsidRPr="00B40683">
        <w:rPr>
          <w:rFonts w:ascii="Times New Roman" w:hAnsi="Times New Roman" w:cs="Times New Roman"/>
          <w:noProof/>
          <w:color w:val="000000"/>
          <w:sz w:val="24"/>
          <w:szCs w:val="24"/>
          <w:lang w:val="hr-HR" w:eastAsia="hr-HR" w:bidi="hr-HR"/>
        </w:rPr>
        <w:t xml:space="preserve">are </w:t>
      </w:r>
      <w:r w:rsidRPr="00B40683">
        <w:rPr>
          <w:rFonts w:ascii="Times New Roman" w:hAnsi="Times New Roman" w:cs="Times New Roman"/>
          <w:noProof/>
          <w:color w:val="000000"/>
          <w:sz w:val="24"/>
          <w:szCs w:val="24"/>
          <w:lang w:bidi="en-US"/>
        </w:rPr>
        <w:t xml:space="preserve">connected and share </w:t>
      </w:r>
      <w:r w:rsidRPr="00B40683">
        <w:rPr>
          <w:rFonts w:ascii="Times New Roman" w:hAnsi="Times New Roman" w:cs="Times New Roman"/>
          <w:noProof/>
          <w:color w:val="000000"/>
          <w:sz w:val="24"/>
          <w:szCs w:val="24"/>
          <w:lang w:val="hr-HR" w:eastAsia="hr-HR" w:bidi="hr-HR"/>
        </w:rPr>
        <w:t xml:space="preserve">DNA, </w:t>
      </w:r>
      <w:r w:rsidRPr="00B40683">
        <w:rPr>
          <w:rFonts w:ascii="Times New Roman" w:hAnsi="Times New Roman" w:cs="Times New Roman"/>
          <w:noProof/>
          <w:color w:val="000000"/>
          <w:sz w:val="24"/>
          <w:szCs w:val="24"/>
          <w:lang w:bidi="en-US"/>
        </w:rPr>
        <w:t xml:space="preserve">fingerprints and other kind of </w:t>
      </w:r>
      <w:r w:rsidRPr="00B40683">
        <w:rPr>
          <w:rFonts w:ascii="Times New Roman" w:hAnsi="Times New Roman" w:cs="Times New Roman"/>
          <w:noProof/>
          <w:color w:val="000000"/>
          <w:sz w:val="24"/>
          <w:szCs w:val="24"/>
          <w:lang w:val="cs-CZ" w:eastAsia="cs-CZ" w:bidi="cs-CZ"/>
        </w:rPr>
        <w:t>data;</w:t>
      </w:r>
    </w:p>
    <w:p w14:paraId="73F5E942" w14:textId="77777777" w:rsidR="00B86F0E" w:rsidRPr="00B40683" w:rsidRDefault="00B86F0E" w:rsidP="00B86F0E">
      <w:pPr>
        <w:spacing w:line="256"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 xml:space="preserve">The </w:t>
      </w:r>
      <w:r w:rsidRPr="00B40683">
        <w:rPr>
          <w:rFonts w:ascii="Times New Roman" w:hAnsi="Times New Roman" w:cs="Times New Roman"/>
          <w:noProof/>
          <w:color w:val="000000"/>
          <w:sz w:val="24"/>
          <w:szCs w:val="24"/>
          <w:lang w:val="da-DK" w:eastAsia="da-DK" w:bidi="da-DK"/>
        </w:rPr>
        <w:t xml:space="preserve">overall </w:t>
      </w:r>
      <w:r w:rsidRPr="00B40683">
        <w:rPr>
          <w:rFonts w:ascii="Times New Roman" w:hAnsi="Times New Roman" w:cs="Times New Roman"/>
          <w:noProof/>
          <w:color w:val="000000"/>
          <w:sz w:val="24"/>
          <w:szCs w:val="24"/>
          <w:lang w:bidi="en-US"/>
        </w:rPr>
        <w:t>consistency of the EU legal framework;</w:t>
      </w:r>
    </w:p>
    <w:p w14:paraId="3C0281D6" w14:textId="77777777" w:rsidR="00B86F0E" w:rsidRPr="00B40683" w:rsidRDefault="00B86F0E" w:rsidP="00B86F0E">
      <w:pPr>
        <w:spacing w:after="111" w:line="256" w:lineRule="exact"/>
        <w:ind w:left="1480" w:hanging="360"/>
        <w:jc w:val="both"/>
        <w:rPr>
          <w:rFonts w:ascii="Times New Roman" w:hAnsi="Times New Roman" w:cs="Times New Roman"/>
          <w:noProof/>
          <w:sz w:val="24"/>
          <w:szCs w:val="24"/>
        </w:rPr>
      </w:pPr>
      <w:r w:rsidRPr="00B40683">
        <w:rPr>
          <w:rStyle w:val="Bodytext2CourierNew9pt"/>
          <w:rFonts w:ascii="Times New Roman" w:hAnsi="Times New Roman" w:cs="Times New Roman"/>
          <w:noProof/>
          <w:sz w:val="24"/>
          <w:szCs w:val="24"/>
        </w:rPr>
        <w:t xml:space="preserve">o </w:t>
      </w:r>
      <w:r w:rsidRPr="00B40683">
        <w:rPr>
          <w:rFonts w:ascii="Times New Roman" w:hAnsi="Times New Roman" w:cs="Times New Roman"/>
          <w:noProof/>
          <w:color w:val="000000"/>
          <w:sz w:val="24"/>
          <w:szCs w:val="24"/>
          <w:lang w:bidi="en-US"/>
        </w:rPr>
        <w:t>Awareness and capacity of national law enforcement authorities.</w:t>
      </w:r>
    </w:p>
    <w:p w14:paraId="473BC822" w14:textId="77777777" w:rsidR="00B86F0E" w:rsidRPr="00B40683" w:rsidRDefault="00B86F0E" w:rsidP="00B86F0E">
      <w:pPr>
        <w:keepNext/>
        <w:keepLines/>
        <w:spacing w:after="0"/>
        <w:rPr>
          <w:rFonts w:ascii="Times New Roman" w:hAnsi="Times New Roman" w:cs="Times New Roman"/>
          <w:noProof/>
          <w:sz w:val="24"/>
          <w:szCs w:val="24"/>
        </w:rPr>
      </w:pPr>
      <w:bookmarkStart w:id="220" w:name="bookmark10"/>
      <w:r w:rsidRPr="00B40683">
        <w:rPr>
          <w:rStyle w:val="Heading210"/>
          <w:rFonts w:ascii="Times New Roman" w:hAnsi="Times New Roman" w:cs="Times New Roman"/>
          <w:b w:val="0"/>
          <w:bCs w:val="0"/>
          <w:noProof/>
          <w:sz w:val="24"/>
          <w:szCs w:val="24"/>
        </w:rPr>
        <w:t>What types of policy measures could be considered to address the issues included under</w:t>
      </w:r>
      <w:bookmarkEnd w:id="220"/>
    </w:p>
    <w:p w14:paraId="5B798E93" w14:textId="77777777" w:rsidR="00B86F0E" w:rsidRPr="00B40683" w:rsidRDefault="00B86F0E" w:rsidP="00B86F0E">
      <w:pPr>
        <w:rPr>
          <w:rFonts w:ascii="Times New Roman" w:hAnsi="Times New Roman" w:cs="Times New Roman"/>
          <w:noProof/>
          <w:sz w:val="24"/>
          <w:szCs w:val="24"/>
        </w:rPr>
      </w:pPr>
      <w:r w:rsidRPr="00B40683">
        <w:rPr>
          <w:rStyle w:val="Bodytext40"/>
          <w:rFonts w:ascii="Times New Roman" w:hAnsi="Times New Roman" w:cs="Times New Roman"/>
          <w:b w:val="0"/>
          <w:bCs w:val="0"/>
          <w:noProof/>
          <w:color w:val="auto"/>
          <w:sz w:val="24"/>
          <w:szCs w:val="24"/>
        </w:rPr>
        <w:t>this driver?</w:t>
      </w:r>
    </w:p>
    <w:p w14:paraId="615F8F84" w14:textId="77777777" w:rsidR="00B86F0E" w:rsidRPr="00B40683" w:rsidRDefault="00B86F0E" w:rsidP="00900BC7">
      <w:pPr>
        <w:widowControl w:val="0"/>
        <w:numPr>
          <w:ilvl w:val="0"/>
          <w:numId w:val="55"/>
        </w:numPr>
        <w:tabs>
          <w:tab w:val="left" w:pos="742"/>
        </w:tabs>
        <w:spacing w:after="120" w:line="240" w:lineRule="exact"/>
        <w:ind w:left="760" w:hanging="38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A clearer definition and regulation of the SPOCs through binding instruments could help Member States to allocate the resources needed for integrating the different channels in coordinated structures.</w:t>
      </w:r>
    </w:p>
    <w:p w14:paraId="2A11AD4C" w14:textId="77777777" w:rsidR="00B86F0E" w:rsidRPr="00B40683" w:rsidRDefault="00B86F0E" w:rsidP="00900BC7">
      <w:pPr>
        <w:widowControl w:val="0"/>
        <w:numPr>
          <w:ilvl w:val="0"/>
          <w:numId w:val="55"/>
        </w:numPr>
        <w:tabs>
          <w:tab w:val="left" w:pos="742"/>
        </w:tabs>
        <w:spacing w:after="116" w:line="240" w:lineRule="exact"/>
        <w:ind w:left="760" w:hanging="38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Mixed views on the opportunity for the Commission to indicate a preferred communication channel (e.g. SIENA) to be used by all countries to exchange certain types of information with two participants considering this a good way to simplify cross-border cooperation and one in favour of leaving room to national law enforcement authorities to decide. Without suggesting the Commission to indicate a preferred communication channel, it has also been suggested to define harmonised criteria on the choice of the channels in order to avoid duplications;</w:t>
      </w:r>
    </w:p>
    <w:p w14:paraId="0331F722" w14:textId="77777777" w:rsidR="00B86F0E" w:rsidRPr="00B40683" w:rsidRDefault="00B86F0E" w:rsidP="00900BC7">
      <w:pPr>
        <w:widowControl w:val="0"/>
        <w:numPr>
          <w:ilvl w:val="0"/>
          <w:numId w:val="55"/>
        </w:numPr>
        <w:tabs>
          <w:tab w:val="left" w:pos="742"/>
        </w:tabs>
        <w:spacing w:after="116" w:line="245" w:lineRule="exact"/>
        <w:ind w:left="760" w:hanging="38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Promotion of a common business requirements for the Case Management System (CMS) among SPOCs;</w:t>
      </w:r>
    </w:p>
    <w:p w14:paraId="2EE28182" w14:textId="77777777" w:rsidR="00B86F0E" w:rsidRPr="00B40683" w:rsidRDefault="00B86F0E" w:rsidP="00900BC7">
      <w:pPr>
        <w:widowControl w:val="0"/>
        <w:numPr>
          <w:ilvl w:val="0"/>
          <w:numId w:val="55"/>
        </w:numPr>
        <w:tabs>
          <w:tab w:val="left" w:pos="742"/>
        </w:tabs>
        <w:spacing w:after="126" w:line="250" w:lineRule="exact"/>
        <w:ind w:left="760" w:hanging="38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Ensure the presence of a SPOCs in all countries and ensure they can access all national and international databases;</w:t>
      </w:r>
    </w:p>
    <w:p w14:paraId="428F2DDF" w14:textId="77777777" w:rsidR="00B86F0E" w:rsidRPr="00B40683" w:rsidRDefault="00B86F0E" w:rsidP="00900BC7">
      <w:pPr>
        <w:widowControl w:val="0"/>
        <w:numPr>
          <w:ilvl w:val="0"/>
          <w:numId w:val="55"/>
        </w:numPr>
        <w:tabs>
          <w:tab w:val="left" w:pos="742"/>
        </w:tabs>
        <w:spacing w:after="239" w:line="242" w:lineRule="exact"/>
        <w:ind w:left="760" w:hanging="38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Organisation of specific trainings at the national level and through CEPOL webinars.</w:t>
      </w:r>
    </w:p>
    <w:p w14:paraId="09DFA619" w14:textId="77777777" w:rsidR="00B86F0E" w:rsidRPr="00B40683" w:rsidRDefault="00B86F0E" w:rsidP="00B86F0E">
      <w:pPr>
        <w:spacing w:after="141"/>
        <w:jc w:val="both"/>
        <w:rPr>
          <w:rFonts w:ascii="Times New Roman" w:hAnsi="Times New Roman" w:cs="Times New Roman"/>
          <w:b/>
          <w:noProof/>
          <w:sz w:val="24"/>
          <w:szCs w:val="24"/>
        </w:rPr>
      </w:pPr>
      <w:r w:rsidRPr="00B40683">
        <w:rPr>
          <w:rStyle w:val="Bodytext50"/>
          <w:rFonts w:ascii="Times New Roman" w:hAnsi="Times New Roman" w:cs="Times New Roman"/>
          <w:bCs w:val="0"/>
          <w:noProof/>
          <w:color w:val="auto"/>
          <w:sz w:val="24"/>
          <w:szCs w:val="24"/>
        </w:rPr>
        <w:t>Plenary discussion on the outcomes of the break-out sessions</w:t>
      </w:r>
    </w:p>
    <w:p w14:paraId="63F3B7A4" w14:textId="77777777" w:rsidR="00B86F0E" w:rsidRPr="00B40683" w:rsidRDefault="00B86F0E" w:rsidP="00B86F0E">
      <w:pPr>
        <w:keepNext/>
        <w:keepLines/>
        <w:spacing w:after="259"/>
        <w:jc w:val="both"/>
        <w:rPr>
          <w:rFonts w:ascii="Times New Roman" w:hAnsi="Times New Roman" w:cs="Times New Roman"/>
          <w:noProof/>
          <w:sz w:val="24"/>
          <w:szCs w:val="24"/>
        </w:rPr>
      </w:pPr>
      <w:bookmarkStart w:id="221" w:name="bookmark21"/>
      <w:r w:rsidRPr="00B40683">
        <w:rPr>
          <w:rStyle w:val="Heading210"/>
          <w:rFonts w:ascii="Times New Roman" w:hAnsi="Times New Roman" w:cs="Times New Roman"/>
          <w:b w:val="0"/>
          <w:bCs w:val="0"/>
          <w:noProof/>
          <w:sz w:val="24"/>
          <w:szCs w:val="24"/>
        </w:rPr>
        <w:t>What are the issues at stake?</w:t>
      </w:r>
      <w:bookmarkEnd w:id="221"/>
    </w:p>
    <w:p w14:paraId="17D8EF03" w14:textId="77777777" w:rsidR="00B86F0E" w:rsidRPr="00B40683" w:rsidRDefault="00B86F0E" w:rsidP="00B86F0E">
      <w:pPr>
        <w:pStyle w:val="Bodytext60"/>
        <w:shd w:val="clear" w:color="auto" w:fill="auto"/>
        <w:spacing w:before="0" w:after="242"/>
        <w:ind w:left="1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Main findings</w:t>
      </w:r>
    </w:p>
    <w:p w14:paraId="78561729" w14:textId="77777777" w:rsidR="00B86F0E" w:rsidRPr="00B40683" w:rsidRDefault="00B86F0E" w:rsidP="00900BC7">
      <w:pPr>
        <w:pStyle w:val="Bodytext60"/>
        <w:numPr>
          <w:ilvl w:val="0"/>
          <w:numId w:val="57"/>
        </w:numPr>
        <w:shd w:val="clear" w:color="auto" w:fill="auto"/>
        <w:tabs>
          <w:tab w:val="left" w:pos="499"/>
        </w:tabs>
        <w:spacing w:before="0" w:after="0" w:line="216" w:lineRule="exact"/>
        <w:ind w:left="1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Access to and exchange of information</w:t>
      </w:r>
    </w:p>
    <w:p w14:paraId="19C36E44" w14:textId="77777777" w:rsidR="00B86F0E" w:rsidRPr="00B40683" w:rsidRDefault="00B86F0E" w:rsidP="00900BC7">
      <w:pPr>
        <w:pStyle w:val="Bodytext70"/>
        <w:numPr>
          <w:ilvl w:val="0"/>
          <w:numId w:val="56"/>
        </w:numPr>
        <w:shd w:val="clear" w:color="auto" w:fill="auto"/>
        <w:tabs>
          <w:tab w:val="left" w:pos="843"/>
        </w:tabs>
        <w:ind w:left="880" w:right="16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Key issues include limited awareness of and access to relevant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and national databases as well as limited interoperability of national systems;</w:t>
      </w:r>
    </w:p>
    <w:p w14:paraId="7969EF9B" w14:textId="77777777" w:rsidR="00B86F0E" w:rsidRPr="00B40683" w:rsidRDefault="00B86F0E" w:rsidP="00900BC7">
      <w:pPr>
        <w:pStyle w:val="Bodytext70"/>
        <w:numPr>
          <w:ilvl w:val="0"/>
          <w:numId w:val="56"/>
        </w:numPr>
        <w:shd w:val="clear" w:color="auto" w:fill="auto"/>
        <w:tabs>
          <w:tab w:val="left" w:pos="843"/>
        </w:tabs>
        <w:ind w:left="880" w:right="16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Some issues specifically relate to the implementation of the SFD, notably the form included within is too cumbersome and the definition of urgency/timeframe is not clear;</w:t>
      </w:r>
    </w:p>
    <w:p w14:paraId="701A0365" w14:textId="77777777" w:rsidR="005F2562" w:rsidRPr="00B40683" w:rsidRDefault="00B86F0E" w:rsidP="00305706">
      <w:pPr>
        <w:pStyle w:val="Bodytext70"/>
        <w:shd w:val="clear" w:color="auto" w:fill="auto"/>
        <w:tabs>
          <w:tab w:val="left" w:pos="843"/>
        </w:tabs>
        <w:spacing w:after="240"/>
        <w:ind w:right="160" w:firstLine="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Police-to-police requests instead of other equally effective mechanisms (such as EUCARIS, </w:t>
      </w:r>
      <w:r w:rsidRPr="00B40683">
        <w:rPr>
          <w:rFonts w:ascii="Times New Roman" w:hAnsi="Times New Roman" w:cs="Times New Roman"/>
          <w:noProof/>
          <w:color w:val="000000"/>
          <w:sz w:val="24"/>
          <w:szCs w:val="24"/>
          <w:lang w:val="en-GB" w:eastAsia="fr-FR" w:bidi="fr-FR"/>
        </w:rPr>
        <w:t xml:space="preserve">ECRIS, </w:t>
      </w:r>
      <w:r w:rsidRPr="00B40683">
        <w:rPr>
          <w:rFonts w:ascii="Times New Roman" w:hAnsi="Times New Roman" w:cs="Times New Roman"/>
          <w:noProof/>
          <w:color w:val="000000"/>
          <w:sz w:val="24"/>
          <w:szCs w:val="24"/>
          <w:lang w:bidi="en-US"/>
        </w:rPr>
        <w:t>VIS etc).</w:t>
      </w:r>
    </w:p>
    <w:p w14:paraId="31011DB9" w14:textId="77777777" w:rsidR="00B86F0E" w:rsidRPr="00B40683" w:rsidRDefault="00B86F0E" w:rsidP="00B86F0E">
      <w:pPr>
        <w:spacing w:after="273" w:line="283" w:lineRule="exact"/>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main findings discussed during the break-out sessions have been confirmed and no comments were raised.</w:t>
      </w:r>
    </w:p>
    <w:p w14:paraId="12DE0891" w14:textId="77777777" w:rsidR="00B86F0E" w:rsidRPr="00B40683" w:rsidRDefault="00B86F0E" w:rsidP="00B86F0E">
      <w:pPr>
        <w:keepNext/>
        <w:keepLines/>
        <w:spacing w:after="65"/>
        <w:jc w:val="both"/>
        <w:rPr>
          <w:rFonts w:ascii="Times New Roman" w:hAnsi="Times New Roman" w:cs="Times New Roman"/>
          <w:noProof/>
          <w:sz w:val="24"/>
          <w:szCs w:val="24"/>
        </w:rPr>
      </w:pPr>
      <w:bookmarkStart w:id="222" w:name="bookmark22"/>
      <w:r w:rsidRPr="00B40683">
        <w:rPr>
          <w:rStyle w:val="Heading210"/>
          <w:rFonts w:ascii="Times New Roman" w:hAnsi="Times New Roman" w:cs="Times New Roman"/>
          <w:b w:val="0"/>
          <w:bCs w:val="0"/>
          <w:noProof/>
          <w:sz w:val="24"/>
          <w:szCs w:val="24"/>
        </w:rPr>
        <w:t>Are there practical examples/cases that can illustrate the issues identified?</w:t>
      </w:r>
      <w:bookmarkEnd w:id="222"/>
    </w:p>
    <w:p w14:paraId="6AFB6BA7" w14:textId="77777777" w:rsidR="00B86F0E" w:rsidRPr="00B40683" w:rsidRDefault="00B86F0E" w:rsidP="00B86F0E">
      <w:pPr>
        <w:pStyle w:val="Bodytext60"/>
        <w:shd w:val="clear" w:color="auto" w:fill="auto"/>
        <w:spacing w:before="0" w:after="0" w:line="461" w:lineRule="exact"/>
        <w:ind w:left="1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Main findings</w:t>
      </w:r>
    </w:p>
    <w:p w14:paraId="4A5DE2B9" w14:textId="77777777" w:rsidR="00B86F0E" w:rsidRPr="00B40683" w:rsidRDefault="00B86F0E" w:rsidP="00900BC7">
      <w:pPr>
        <w:pStyle w:val="Bodytext60"/>
        <w:numPr>
          <w:ilvl w:val="0"/>
          <w:numId w:val="58"/>
        </w:numPr>
        <w:shd w:val="clear" w:color="auto" w:fill="auto"/>
        <w:tabs>
          <w:tab w:val="left" w:pos="499"/>
        </w:tabs>
        <w:spacing w:before="0" w:after="0" w:line="461" w:lineRule="exact"/>
        <w:ind w:left="1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Access to and exchange of information</w:t>
      </w:r>
    </w:p>
    <w:p w14:paraId="0ECFB332" w14:textId="77777777" w:rsidR="00B86F0E" w:rsidRPr="00B40683" w:rsidRDefault="00B86F0E" w:rsidP="00B86F0E">
      <w:pPr>
        <w:pStyle w:val="Bodytext70"/>
        <w:shd w:val="clear" w:color="auto" w:fill="auto"/>
        <w:spacing w:line="222" w:lineRule="exact"/>
        <w:ind w:left="880" w:hanging="360"/>
        <w:rPr>
          <w:rFonts w:ascii="Times New Roman" w:hAnsi="Times New Roman" w:cs="Times New Roman"/>
          <w:noProof/>
          <w:sz w:val="24"/>
          <w:szCs w:val="24"/>
        </w:rPr>
      </w:pPr>
      <w:r w:rsidRPr="00B40683">
        <w:rPr>
          <w:rStyle w:val="Bodytext7Arial95pt"/>
          <w:rFonts w:ascii="Times New Roman" w:hAnsi="Times New Roman" w:cs="Times New Roman"/>
          <w:noProof/>
          <w:sz w:val="24"/>
          <w:szCs w:val="24"/>
        </w:rPr>
        <w:t>■</w:t>
      </w:r>
      <w:r w:rsidRPr="00B40683">
        <w:rPr>
          <w:rFonts w:ascii="Times New Roman" w:hAnsi="Times New Roman" w:cs="Times New Roman"/>
          <w:noProof/>
          <w:color w:val="000000"/>
          <w:sz w:val="24"/>
          <w:szCs w:val="24"/>
          <w:lang w:bidi="en-US"/>
        </w:rPr>
        <w:t xml:space="preserve"> Schengen Associated Countries do not have direct access to Europol's databases;</w:t>
      </w:r>
    </w:p>
    <w:p w14:paraId="511A2C6D" w14:textId="77777777" w:rsidR="00B86F0E" w:rsidRPr="00B40683" w:rsidRDefault="00B86F0E" w:rsidP="00900BC7">
      <w:pPr>
        <w:pStyle w:val="Bodytext70"/>
        <w:numPr>
          <w:ilvl w:val="0"/>
          <w:numId w:val="56"/>
        </w:numPr>
        <w:shd w:val="clear" w:color="auto" w:fill="auto"/>
        <w:tabs>
          <w:tab w:val="left" w:pos="860"/>
        </w:tabs>
        <w:ind w:left="860" w:right="16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Unnecessary transmission of information through different channels (duplication or requests through I-24/7 and SIENA). Use of inappropriate channel (request from one </w:t>
      </w:r>
      <w:r w:rsidRPr="00B40683">
        <w:rPr>
          <w:rFonts w:ascii="Times New Roman" w:hAnsi="Times New Roman" w:cs="Times New Roman"/>
          <w:noProof/>
          <w:color w:val="000000"/>
          <w:sz w:val="24"/>
          <w:szCs w:val="24"/>
          <w:lang w:val="hr-HR" w:eastAsia="hr-HR" w:bidi="hr-HR"/>
        </w:rPr>
        <w:t xml:space="preserve">SIS </w:t>
      </w:r>
      <w:r w:rsidRPr="00B40683">
        <w:rPr>
          <w:rFonts w:ascii="Times New Roman" w:hAnsi="Times New Roman" w:cs="Times New Roman"/>
          <w:noProof/>
          <w:color w:val="000000"/>
          <w:sz w:val="24"/>
          <w:szCs w:val="24"/>
          <w:lang w:bidi="en-US"/>
        </w:rPr>
        <w:t>II country to another to locate a person is sent via I-24/7);</w:t>
      </w:r>
    </w:p>
    <w:p w14:paraId="74273254" w14:textId="77777777" w:rsidR="00B86F0E" w:rsidRPr="00B40683" w:rsidRDefault="00B86F0E" w:rsidP="00900BC7">
      <w:pPr>
        <w:pStyle w:val="Bodytext70"/>
        <w:numPr>
          <w:ilvl w:val="0"/>
          <w:numId w:val="56"/>
        </w:numPr>
        <w:shd w:val="clear" w:color="auto" w:fill="auto"/>
        <w:tabs>
          <w:tab w:val="left" w:pos="860"/>
        </w:tabs>
        <w:spacing w:after="240"/>
        <w:ind w:left="860" w:right="16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Requirements for the SPOC CMS (interconnection with different channels, national and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databases, automation of checks).</w:t>
      </w:r>
    </w:p>
    <w:p w14:paraId="1EC2AD77" w14:textId="77777777" w:rsidR="00B86F0E" w:rsidRPr="00B40683" w:rsidRDefault="00B86F0E" w:rsidP="00B86F0E">
      <w:pPr>
        <w:spacing w:after="24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No additional examples have been provided.</w:t>
      </w:r>
    </w:p>
    <w:p w14:paraId="2D8565E7" w14:textId="77777777" w:rsidR="00B86F0E" w:rsidRPr="00B40683" w:rsidRDefault="00B86F0E" w:rsidP="00B86F0E">
      <w:pPr>
        <w:keepNext/>
        <w:keepLines/>
        <w:spacing w:after="0"/>
        <w:rPr>
          <w:rFonts w:ascii="Times New Roman" w:hAnsi="Times New Roman" w:cs="Times New Roman"/>
          <w:noProof/>
          <w:sz w:val="24"/>
          <w:szCs w:val="24"/>
        </w:rPr>
      </w:pPr>
      <w:bookmarkStart w:id="223" w:name="bookmark23"/>
      <w:r w:rsidRPr="00B40683">
        <w:rPr>
          <w:rStyle w:val="Heading210"/>
          <w:rFonts w:ascii="Times New Roman" w:hAnsi="Times New Roman" w:cs="Times New Roman"/>
          <w:b w:val="0"/>
          <w:bCs w:val="0"/>
          <w:noProof/>
          <w:sz w:val="24"/>
          <w:szCs w:val="24"/>
        </w:rPr>
        <w:t>In light of likely future security, technological, social, policy and economic</w:t>
      </w:r>
      <w:bookmarkEnd w:id="223"/>
    </w:p>
    <w:p w14:paraId="71A3272E" w14:textId="77777777" w:rsidR="00B86F0E" w:rsidRPr="00B40683" w:rsidRDefault="00B86F0E" w:rsidP="00BA18A0">
      <w:pPr>
        <w:spacing w:after="0" w:line="240" w:lineRule="auto"/>
        <w:rPr>
          <w:rFonts w:ascii="Times New Roman" w:hAnsi="Times New Roman" w:cs="Times New Roman"/>
          <w:noProof/>
          <w:sz w:val="24"/>
          <w:szCs w:val="24"/>
        </w:rPr>
      </w:pPr>
      <w:r w:rsidRPr="00B40683">
        <w:rPr>
          <w:rStyle w:val="Bodytext40"/>
          <w:rFonts w:ascii="Times New Roman" w:hAnsi="Times New Roman" w:cs="Times New Roman"/>
          <w:b w:val="0"/>
          <w:bCs w:val="0"/>
          <w:noProof/>
          <w:color w:val="auto"/>
          <w:sz w:val="24"/>
          <w:szCs w:val="24"/>
        </w:rPr>
        <w:t xml:space="preserve">developments, how would the driver and the related issues evolve in case no further </w:t>
      </w:r>
      <w:r w:rsidRPr="00B40683">
        <w:rPr>
          <w:rStyle w:val="Bodytext40"/>
          <w:rFonts w:ascii="Times New Roman" w:hAnsi="Times New Roman" w:cs="Times New Roman"/>
          <w:b w:val="0"/>
          <w:bCs w:val="0"/>
          <w:noProof/>
          <w:color w:val="auto"/>
          <w:sz w:val="24"/>
          <w:szCs w:val="24"/>
          <w:lang w:val="en-GB" w:eastAsia="fr-FR" w:bidi="fr-FR"/>
        </w:rPr>
        <w:t>EU</w:t>
      </w:r>
    </w:p>
    <w:p w14:paraId="1B230EDE" w14:textId="77777777" w:rsidR="00B86F0E" w:rsidRPr="00B40683" w:rsidRDefault="00B86F0E" w:rsidP="00BA18A0">
      <w:pPr>
        <w:spacing w:after="0" w:line="240" w:lineRule="auto"/>
        <w:rPr>
          <w:rFonts w:ascii="Times New Roman" w:hAnsi="Times New Roman" w:cs="Times New Roman"/>
          <w:noProof/>
          <w:sz w:val="24"/>
          <w:szCs w:val="24"/>
        </w:rPr>
      </w:pPr>
      <w:r w:rsidRPr="00B40683">
        <w:rPr>
          <w:rStyle w:val="Bodytext40"/>
          <w:rFonts w:ascii="Times New Roman" w:hAnsi="Times New Roman" w:cs="Times New Roman"/>
          <w:b w:val="0"/>
          <w:bCs w:val="0"/>
          <w:noProof/>
          <w:color w:val="auto"/>
          <w:sz w:val="24"/>
          <w:szCs w:val="24"/>
        </w:rPr>
        <w:t>action is taken?</w:t>
      </w:r>
    </w:p>
    <w:p w14:paraId="2AFE1791" w14:textId="77777777" w:rsidR="00155C13" w:rsidRPr="00B40683" w:rsidRDefault="00155C13" w:rsidP="00B86F0E">
      <w:pPr>
        <w:pStyle w:val="Bodytext60"/>
        <w:shd w:val="clear" w:color="auto" w:fill="auto"/>
        <w:spacing w:before="0" w:after="238"/>
        <w:ind w:left="140"/>
        <w:rPr>
          <w:rFonts w:ascii="Times New Roman" w:hAnsi="Times New Roman" w:cs="Times New Roman"/>
          <w:noProof/>
          <w:color w:val="000000"/>
          <w:sz w:val="24"/>
          <w:szCs w:val="24"/>
          <w:lang w:bidi="en-US"/>
        </w:rPr>
      </w:pPr>
    </w:p>
    <w:p w14:paraId="70DAE300" w14:textId="77777777" w:rsidR="00B86F0E" w:rsidRPr="00B40683" w:rsidRDefault="00B86F0E" w:rsidP="00B86F0E">
      <w:pPr>
        <w:pStyle w:val="Bodytext60"/>
        <w:shd w:val="clear" w:color="auto" w:fill="auto"/>
        <w:spacing w:before="0" w:after="238"/>
        <w:ind w:left="14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Main findings</w:t>
      </w:r>
    </w:p>
    <w:p w14:paraId="1843623A" w14:textId="77777777" w:rsidR="00B86F0E" w:rsidRPr="00B40683" w:rsidRDefault="00B86F0E" w:rsidP="00900BC7">
      <w:pPr>
        <w:pStyle w:val="Bodytext60"/>
        <w:numPr>
          <w:ilvl w:val="0"/>
          <w:numId w:val="59"/>
        </w:numPr>
        <w:shd w:val="clear" w:color="auto" w:fill="auto"/>
        <w:tabs>
          <w:tab w:val="left" w:pos="463"/>
        </w:tabs>
        <w:spacing w:before="0" w:after="0" w:line="221" w:lineRule="exact"/>
        <w:ind w:left="14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Access to and exchange of information</w:t>
      </w:r>
    </w:p>
    <w:p w14:paraId="6C1BFBD9" w14:textId="77777777" w:rsidR="00B86F0E" w:rsidRPr="00B40683" w:rsidRDefault="00B86F0E" w:rsidP="00900BC7">
      <w:pPr>
        <w:pStyle w:val="Bodytext70"/>
        <w:numPr>
          <w:ilvl w:val="0"/>
          <w:numId w:val="56"/>
        </w:numPr>
        <w:shd w:val="clear" w:color="auto" w:fill="auto"/>
        <w:tabs>
          <w:tab w:val="left" w:pos="860"/>
        </w:tabs>
        <w:spacing w:line="221" w:lineRule="exact"/>
        <w:ind w:left="86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Current problems will become more relevant in case no further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action is taken;</w:t>
      </w:r>
    </w:p>
    <w:p w14:paraId="08999731" w14:textId="77777777" w:rsidR="00B86F0E" w:rsidRPr="00B40683" w:rsidRDefault="00B86F0E" w:rsidP="00900BC7">
      <w:pPr>
        <w:pStyle w:val="Bodytext70"/>
        <w:numPr>
          <w:ilvl w:val="0"/>
          <w:numId w:val="56"/>
        </w:numPr>
        <w:shd w:val="clear" w:color="auto" w:fill="auto"/>
        <w:tabs>
          <w:tab w:val="left" w:pos="860"/>
        </w:tabs>
        <w:spacing w:after="242" w:line="221" w:lineRule="exact"/>
        <w:ind w:left="860" w:right="16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worsening of current problems is mainly attributed to new and evolving technological developments likely to affect the access to and exchange of information.</w:t>
      </w:r>
    </w:p>
    <w:p w14:paraId="0749E0E3" w14:textId="77777777" w:rsidR="00B86F0E" w:rsidRPr="00B40683" w:rsidRDefault="00B86F0E" w:rsidP="00B86F0E">
      <w:pPr>
        <w:keepNext/>
        <w:keepLines/>
        <w:spacing w:after="259"/>
        <w:rPr>
          <w:rFonts w:ascii="Times New Roman" w:hAnsi="Times New Roman" w:cs="Times New Roman"/>
          <w:noProof/>
          <w:sz w:val="24"/>
          <w:szCs w:val="24"/>
        </w:rPr>
      </w:pPr>
      <w:bookmarkStart w:id="224" w:name="bookmark24"/>
      <w:r w:rsidRPr="00B40683">
        <w:rPr>
          <w:rStyle w:val="Heading210"/>
          <w:rFonts w:ascii="Times New Roman" w:hAnsi="Times New Roman" w:cs="Times New Roman"/>
          <w:b w:val="0"/>
          <w:bCs w:val="0"/>
          <w:noProof/>
          <w:sz w:val="24"/>
          <w:szCs w:val="24"/>
        </w:rPr>
        <w:t xml:space="preserve">Is there a need for </w:t>
      </w:r>
      <w:r w:rsidRPr="00B40683">
        <w:rPr>
          <w:rStyle w:val="Heading210"/>
          <w:rFonts w:ascii="Times New Roman" w:hAnsi="Times New Roman" w:cs="Times New Roman"/>
          <w:b w:val="0"/>
          <w:bCs w:val="0"/>
          <w:noProof/>
          <w:sz w:val="24"/>
          <w:szCs w:val="24"/>
          <w:lang w:val="en-GB" w:eastAsia="fr-FR" w:bidi="fr-FR"/>
        </w:rPr>
        <w:t xml:space="preserve">EU </w:t>
      </w:r>
      <w:r w:rsidRPr="00B40683">
        <w:rPr>
          <w:rStyle w:val="Heading210"/>
          <w:rFonts w:ascii="Times New Roman" w:hAnsi="Times New Roman" w:cs="Times New Roman"/>
          <w:b w:val="0"/>
          <w:bCs w:val="0"/>
          <w:noProof/>
          <w:sz w:val="24"/>
          <w:szCs w:val="24"/>
        </w:rPr>
        <w:t>intervention to address this driver and the related issues?</w:t>
      </w:r>
      <w:bookmarkEnd w:id="224"/>
    </w:p>
    <w:p w14:paraId="38450CC7" w14:textId="77777777" w:rsidR="00B86F0E" w:rsidRPr="00B40683" w:rsidRDefault="00B86F0E" w:rsidP="00B86F0E">
      <w:pPr>
        <w:pStyle w:val="Bodytext60"/>
        <w:shd w:val="clear" w:color="auto" w:fill="auto"/>
        <w:spacing w:before="0"/>
        <w:ind w:left="14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Main findings</w:t>
      </w:r>
    </w:p>
    <w:p w14:paraId="4C07FD7E" w14:textId="77777777" w:rsidR="00B86F0E" w:rsidRPr="00B40683" w:rsidRDefault="00B86F0E" w:rsidP="00900BC7">
      <w:pPr>
        <w:pStyle w:val="Bodytext60"/>
        <w:numPr>
          <w:ilvl w:val="0"/>
          <w:numId w:val="60"/>
        </w:numPr>
        <w:shd w:val="clear" w:color="auto" w:fill="auto"/>
        <w:tabs>
          <w:tab w:val="left" w:pos="463"/>
        </w:tabs>
        <w:spacing w:before="0" w:after="0"/>
        <w:ind w:left="14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Access to and exchange of information</w:t>
      </w:r>
    </w:p>
    <w:p w14:paraId="6994A463" w14:textId="77777777" w:rsidR="00B86F0E" w:rsidRPr="00B40683" w:rsidRDefault="00B86F0E" w:rsidP="00B86F0E">
      <w:pPr>
        <w:pStyle w:val="Bodytext70"/>
        <w:shd w:val="clear" w:color="auto" w:fill="auto"/>
        <w:spacing w:line="222" w:lineRule="exact"/>
        <w:ind w:left="860" w:hanging="360"/>
        <w:rPr>
          <w:rFonts w:ascii="Times New Roman" w:hAnsi="Times New Roman" w:cs="Times New Roman"/>
          <w:noProof/>
          <w:sz w:val="24"/>
          <w:szCs w:val="24"/>
        </w:rPr>
      </w:pPr>
      <w:r w:rsidRPr="00B40683">
        <w:rPr>
          <w:rStyle w:val="Bodytext7Arial95pt"/>
          <w:rFonts w:ascii="Times New Roman" w:hAnsi="Times New Roman" w:cs="Times New Roman"/>
          <w:noProof/>
          <w:sz w:val="24"/>
          <w:szCs w:val="24"/>
        </w:rPr>
        <w:t>■</w:t>
      </w:r>
      <w:r w:rsidRPr="00B40683">
        <w:rPr>
          <w:rFonts w:ascii="Times New Roman" w:hAnsi="Times New Roman" w:cs="Times New Roman"/>
          <w:noProof/>
          <w:color w:val="000000"/>
          <w:sz w:val="24"/>
          <w:szCs w:val="24"/>
          <w:lang w:bidi="en-US"/>
        </w:rPr>
        <w:t xml:space="preserve"> Current problems need to be addressed at the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level.</w:t>
      </w:r>
    </w:p>
    <w:p w14:paraId="06734D19" w14:textId="77777777" w:rsidR="00B86F0E" w:rsidRPr="00B40683" w:rsidRDefault="00B86F0E" w:rsidP="00B86F0E">
      <w:pPr>
        <w:spacing w:after="269" w:line="278" w:lineRule="exact"/>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main findings discussed during the break-out sessions have been confirmed and no comments were raised.</w:t>
      </w:r>
    </w:p>
    <w:p w14:paraId="10617779" w14:textId="77777777" w:rsidR="00B86F0E" w:rsidRPr="00B40683" w:rsidRDefault="00B86F0E" w:rsidP="00155C13">
      <w:pPr>
        <w:keepNext/>
        <w:keepLines/>
        <w:spacing w:after="0"/>
        <w:jc w:val="both"/>
        <w:rPr>
          <w:rStyle w:val="Bodytext40"/>
          <w:rFonts w:ascii="Times New Roman" w:hAnsi="Times New Roman" w:cs="Times New Roman"/>
          <w:b w:val="0"/>
          <w:bCs w:val="0"/>
          <w:noProof/>
          <w:color w:val="auto"/>
          <w:sz w:val="24"/>
          <w:szCs w:val="24"/>
        </w:rPr>
      </w:pPr>
      <w:bookmarkStart w:id="225" w:name="bookmark25"/>
      <w:r w:rsidRPr="00B40683">
        <w:rPr>
          <w:rStyle w:val="Heading210"/>
          <w:rFonts w:ascii="Times New Roman" w:hAnsi="Times New Roman" w:cs="Times New Roman"/>
          <w:b w:val="0"/>
          <w:bCs w:val="0"/>
          <w:noProof/>
          <w:sz w:val="24"/>
          <w:szCs w:val="24"/>
        </w:rPr>
        <w:t>What types of policy measures could be considered to address the issues included under</w:t>
      </w:r>
      <w:bookmarkEnd w:id="225"/>
      <w:r w:rsidR="00155C13" w:rsidRPr="00B40683">
        <w:rPr>
          <w:rStyle w:val="Bodytext40"/>
          <w:rFonts w:ascii="Times New Roman" w:hAnsi="Times New Roman" w:cs="Times New Roman"/>
          <w:b w:val="0"/>
          <w:bCs w:val="0"/>
          <w:noProof/>
          <w:color w:val="auto"/>
          <w:sz w:val="24"/>
          <w:szCs w:val="24"/>
        </w:rPr>
        <w:t xml:space="preserve"> </w:t>
      </w:r>
      <w:r w:rsidRPr="00B40683">
        <w:rPr>
          <w:rStyle w:val="Bodytext40"/>
          <w:rFonts w:ascii="Times New Roman" w:hAnsi="Times New Roman" w:cs="Times New Roman"/>
          <w:b w:val="0"/>
          <w:bCs w:val="0"/>
          <w:noProof/>
          <w:color w:val="auto"/>
          <w:sz w:val="24"/>
          <w:szCs w:val="24"/>
        </w:rPr>
        <w:t>this driver?</w:t>
      </w:r>
    </w:p>
    <w:p w14:paraId="06312A10" w14:textId="77777777" w:rsidR="00155C13" w:rsidRPr="00B40683" w:rsidRDefault="00155C13" w:rsidP="00155C13">
      <w:pPr>
        <w:keepNext/>
        <w:keepLines/>
        <w:spacing w:after="0"/>
        <w:jc w:val="both"/>
        <w:rPr>
          <w:rFonts w:ascii="Times New Roman" w:hAnsi="Times New Roman" w:cs="Times New Roman"/>
          <w:noProof/>
          <w:sz w:val="24"/>
          <w:szCs w:val="24"/>
        </w:rPr>
      </w:pPr>
    </w:p>
    <w:p w14:paraId="272757C5" w14:textId="77777777" w:rsidR="00B86F0E" w:rsidRPr="00B40683" w:rsidRDefault="00B86F0E" w:rsidP="00B86F0E">
      <w:pPr>
        <w:pStyle w:val="Bodytext60"/>
        <w:shd w:val="clear" w:color="auto" w:fill="auto"/>
        <w:spacing w:before="0" w:after="242"/>
        <w:ind w:left="1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Main findings</w:t>
      </w:r>
    </w:p>
    <w:p w14:paraId="2B5EDDA2" w14:textId="77777777" w:rsidR="00B86F0E" w:rsidRPr="00B40683" w:rsidRDefault="00B86F0E" w:rsidP="00900BC7">
      <w:pPr>
        <w:pStyle w:val="Bodytext60"/>
        <w:numPr>
          <w:ilvl w:val="0"/>
          <w:numId w:val="61"/>
        </w:numPr>
        <w:shd w:val="clear" w:color="auto" w:fill="auto"/>
        <w:tabs>
          <w:tab w:val="left" w:pos="493"/>
        </w:tabs>
        <w:spacing w:before="0" w:after="0" w:line="216" w:lineRule="exact"/>
        <w:ind w:left="1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Access to and exchange of information</w:t>
      </w:r>
    </w:p>
    <w:p w14:paraId="71696B1D" w14:textId="77777777" w:rsidR="00B86F0E" w:rsidRPr="00B40683" w:rsidRDefault="00B86F0E" w:rsidP="00900BC7">
      <w:pPr>
        <w:pStyle w:val="Bodytext70"/>
        <w:numPr>
          <w:ilvl w:val="0"/>
          <w:numId w:val="56"/>
        </w:numPr>
        <w:shd w:val="clear" w:color="auto" w:fill="auto"/>
        <w:tabs>
          <w:tab w:val="left" w:pos="836"/>
        </w:tabs>
        <w:spacing w:after="240"/>
        <w:ind w:left="880" w:right="160" w:hanging="360"/>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 xml:space="preserve">In order to improve access to and information exchange, the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 xml:space="preserve">intervention shall ensure full interconnection and streamlining of available systems for the exchange of information, the overall consistency of the </w:t>
      </w:r>
      <w:r w:rsidRPr="00B40683">
        <w:rPr>
          <w:rFonts w:ascii="Times New Roman" w:hAnsi="Times New Roman" w:cs="Times New Roman"/>
          <w:noProof/>
          <w:color w:val="000000"/>
          <w:sz w:val="24"/>
          <w:szCs w:val="24"/>
          <w:lang w:val="en-GB" w:eastAsia="fr-FR" w:bidi="fr-FR"/>
        </w:rPr>
        <w:t xml:space="preserve">EU </w:t>
      </w:r>
      <w:r w:rsidRPr="00B40683">
        <w:rPr>
          <w:rFonts w:ascii="Times New Roman" w:hAnsi="Times New Roman" w:cs="Times New Roman"/>
          <w:noProof/>
          <w:color w:val="000000"/>
          <w:sz w:val="24"/>
          <w:szCs w:val="24"/>
          <w:lang w:bidi="en-US"/>
        </w:rPr>
        <w:t>legal framework, and the full awareness and capacity of national law enforcement authorities. To a lesser extent, it should also ensure the integration of modern requirements into fundamental rights and data protection rules;</w:t>
      </w:r>
    </w:p>
    <w:p w14:paraId="743F1A83" w14:textId="77777777" w:rsidR="00B86F0E" w:rsidRPr="00B40683" w:rsidRDefault="00B86F0E" w:rsidP="00B86F0E">
      <w:pPr>
        <w:spacing w:after="267" w:line="278" w:lineRule="exact"/>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main findings discussed during the break-out sessions have been confirmed and no major comments were raised except for the following:</w:t>
      </w:r>
    </w:p>
    <w:p w14:paraId="33E911D8" w14:textId="77777777" w:rsidR="00B86F0E" w:rsidRPr="00B40683" w:rsidRDefault="00B86F0E" w:rsidP="00900BC7">
      <w:pPr>
        <w:widowControl w:val="0"/>
        <w:numPr>
          <w:ilvl w:val="0"/>
          <w:numId w:val="55"/>
        </w:numPr>
        <w:tabs>
          <w:tab w:val="left" w:pos="836"/>
        </w:tabs>
        <w:spacing w:after="222" w:line="245"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With regard to the possibility to extend the scope of surveillance activities to additional crime areas such as tobacco smuggling, it would be better and more important to extend the competences of certain law enforcement authorities instead of broadening the scope of a single investigative tool.</w:t>
      </w:r>
    </w:p>
    <w:p w14:paraId="0F5E67DC" w14:textId="77777777" w:rsidR="00B86F0E" w:rsidRPr="00B40683" w:rsidRDefault="00B86F0E" w:rsidP="00B86F0E">
      <w:pPr>
        <w:spacing w:after="119"/>
        <w:jc w:val="both"/>
        <w:rPr>
          <w:rFonts w:ascii="Times New Roman" w:hAnsi="Times New Roman" w:cs="Times New Roman"/>
          <w:b/>
          <w:noProof/>
          <w:sz w:val="24"/>
          <w:szCs w:val="24"/>
        </w:rPr>
      </w:pPr>
      <w:r w:rsidRPr="00B40683">
        <w:rPr>
          <w:rStyle w:val="Bodytext50"/>
          <w:rFonts w:ascii="Times New Roman" w:hAnsi="Times New Roman" w:cs="Times New Roman"/>
          <w:bCs w:val="0"/>
          <w:noProof/>
          <w:color w:val="auto"/>
          <w:sz w:val="24"/>
          <w:szCs w:val="24"/>
        </w:rPr>
        <w:t>Concluding remarks from the Commission</w:t>
      </w:r>
    </w:p>
    <w:p w14:paraId="33C314FA" w14:textId="77777777" w:rsidR="00B86F0E" w:rsidRPr="00B40683" w:rsidRDefault="00B86F0E" w:rsidP="00900BC7">
      <w:pPr>
        <w:widowControl w:val="0"/>
        <w:numPr>
          <w:ilvl w:val="0"/>
          <w:numId w:val="55"/>
        </w:numPr>
        <w:tabs>
          <w:tab w:val="left" w:pos="836"/>
        </w:tabs>
        <w:spacing w:after="100" w:line="245"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meeting achieved its intended goal to define the issues faced today by law enforcement authorities.</w:t>
      </w:r>
    </w:p>
    <w:p w14:paraId="5E087B2F" w14:textId="77777777" w:rsidR="00B86F0E" w:rsidRPr="00B40683" w:rsidRDefault="00B86F0E" w:rsidP="00900BC7">
      <w:pPr>
        <w:widowControl w:val="0"/>
        <w:numPr>
          <w:ilvl w:val="0"/>
          <w:numId w:val="55"/>
        </w:numPr>
        <w:tabs>
          <w:tab w:val="left" w:pos="836"/>
        </w:tabs>
        <w:spacing w:after="93" w:line="245"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consultation activities for the study are still ongoing and all participants are invited to take part, especially to the online survey.</w:t>
      </w:r>
    </w:p>
    <w:p w14:paraId="066A950A" w14:textId="77777777" w:rsidR="00B86F0E" w:rsidRPr="00B40683" w:rsidRDefault="00B86F0E" w:rsidP="00900BC7">
      <w:pPr>
        <w:widowControl w:val="0"/>
        <w:numPr>
          <w:ilvl w:val="0"/>
          <w:numId w:val="55"/>
        </w:numPr>
        <w:tabs>
          <w:tab w:val="left" w:pos="836"/>
        </w:tabs>
        <w:spacing w:after="108" w:line="254"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The Contractor will submit the study interim report on mid-April. This will include the analysis of the problem and then the study will focus on the possible future policy options.</w:t>
      </w:r>
    </w:p>
    <w:p w14:paraId="41E467BD" w14:textId="77777777" w:rsidR="00B86F0E" w:rsidRPr="00B40683" w:rsidRDefault="00B86F0E" w:rsidP="00900BC7">
      <w:pPr>
        <w:widowControl w:val="0"/>
        <w:numPr>
          <w:ilvl w:val="0"/>
          <w:numId w:val="55"/>
        </w:numPr>
        <w:tabs>
          <w:tab w:val="left" w:pos="836"/>
        </w:tabs>
        <w:spacing w:after="0" w:line="245" w:lineRule="exact"/>
        <w:ind w:left="760" w:hanging="360"/>
        <w:jc w:val="both"/>
        <w:rPr>
          <w:rFonts w:ascii="Times New Roman" w:hAnsi="Times New Roman" w:cs="Times New Roman"/>
          <w:noProof/>
          <w:sz w:val="24"/>
          <w:szCs w:val="24"/>
        </w:rPr>
      </w:pPr>
      <w:r w:rsidRPr="00B40683">
        <w:rPr>
          <w:rFonts w:ascii="Times New Roman" w:hAnsi="Times New Roman" w:cs="Times New Roman"/>
          <w:noProof/>
          <w:color w:val="000000"/>
          <w:sz w:val="24"/>
          <w:szCs w:val="24"/>
          <w:lang w:bidi="en-US"/>
        </w:rPr>
        <w:t>Another workshop will be organised in May to discuss the impacts of the possible policy options.</w:t>
      </w:r>
    </w:p>
    <w:p w14:paraId="726CA5F5" w14:textId="77777777" w:rsidR="00B40683" w:rsidRDefault="00B40683" w:rsidP="00B40683">
      <w:pPr>
        <w:widowControl w:val="0"/>
        <w:tabs>
          <w:tab w:val="left" w:pos="836"/>
        </w:tabs>
        <w:spacing w:after="0" w:line="245" w:lineRule="exact"/>
        <w:jc w:val="both"/>
        <w:rPr>
          <w:rFonts w:ascii="Times New Roman" w:hAnsi="Times New Roman" w:cs="Times New Roman"/>
          <w:noProof/>
          <w:color w:val="000000"/>
          <w:sz w:val="24"/>
          <w:szCs w:val="24"/>
          <w:lang w:bidi="en-US"/>
        </w:rPr>
      </w:pPr>
    </w:p>
    <w:p w14:paraId="4D27A236" w14:textId="77777777" w:rsidR="00B40683" w:rsidRDefault="00B40683" w:rsidP="00B40683">
      <w:pPr>
        <w:widowControl w:val="0"/>
        <w:tabs>
          <w:tab w:val="left" w:pos="836"/>
        </w:tabs>
        <w:spacing w:after="0" w:line="245" w:lineRule="exact"/>
        <w:jc w:val="both"/>
        <w:rPr>
          <w:rFonts w:ascii="Times New Roman" w:hAnsi="Times New Roman" w:cs="Times New Roman"/>
          <w:noProof/>
          <w:color w:val="000000"/>
          <w:sz w:val="24"/>
          <w:szCs w:val="24"/>
          <w:lang w:bidi="en-US"/>
        </w:rPr>
      </w:pPr>
    </w:p>
    <w:p w14:paraId="0486D55A" w14:textId="77777777" w:rsidR="00B40683" w:rsidRPr="00B40683" w:rsidRDefault="00B40683" w:rsidP="00B40683">
      <w:pPr>
        <w:widowControl w:val="0"/>
        <w:tabs>
          <w:tab w:val="left" w:pos="836"/>
        </w:tabs>
        <w:spacing w:after="0" w:line="245" w:lineRule="exact"/>
        <w:jc w:val="both"/>
        <w:rPr>
          <w:rFonts w:ascii="Times New Roman" w:hAnsi="Times New Roman" w:cs="Times New Roman"/>
          <w:noProof/>
          <w:sz w:val="24"/>
          <w:szCs w:val="24"/>
        </w:rPr>
      </w:pPr>
    </w:p>
    <w:p w14:paraId="43B3881B" w14:textId="77777777" w:rsidR="00B86F0E" w:rsidRPr="00B40683" w:rsidRDefault="00B86F0E" w:rsidP="00CC7EC2">
      <w:pPr>
        <w:pStyle w:val="Text1"/>
        <w:ind w:left="0"/>
        <w:rPr>
          <w:b/>
          <w:noProof/>
          <w:szCs w:val="24"/>
        </w:rPr>
      </w:pPr>
      <w:r w:rsidRPr="00B40683">
        <w:rPr>
          <w:b/>
          <w:noProof/>
          <w:szCs w:val="24"/>
        </w:rPr>
        <w:t>Ad hoc workshop of 25 May 2021</w:t>
      </w:r>
      <w:r w:rsidR="00393C68" w:rsidRPr="00B40683">
        <w:rPr>
          <w:b/>
          <w:noProof/>
          <w:szCs w:val="24"/>
        </w:rPr>
        <w:t xml:space="preserve"> </w:t>
      </w:r>
      <w:r w:rsidR="00393C68" w:rsidRPr="00B40683">
        <w:rPr>
          <w:i/>
          <w:noProof/>
          <w:szCs w:val="24"/>
        </w:rPr>
        <w:t>[As drafted by the independent contractor]</w:t>
      </w:r>
    </w:p>
    <w:p w14:paraId="5979464E" w14:textId="77777777" w:rsidR="00B86F0E" w:rsidRPr="00B40683" w:rsidRDefault="00B86F0E" w:rsidP="00237337">
      <w:pPr>
        <w:spacing w:after="0" w:line="240" w:lineRule="auto"/>
        <w:contextualSpacing/>
        <w:jc w:val="both"/>
        <w:rPr>
          <w:rFonts w:ascii="Times New Roman" w:hAnsi="Times New Roman" w:cs="Times New Roman"/>
          <w:i/>
          <w:iCs/>
          <w:noProof/>
          <w:sz w:val="24"/>
          <w:szCs w:val="24"/>
        </w:rPr>
      </w:pPr>
      <w:r w:rsidRPr="00B40683">
        <w:rPr>
          <w:rFonts w:ascii="Times New Roman" w:hAnsi="Times New Roman" w:cs="Times New Roman"/>
          <w:bCs/>
          <w:i/>
          <w:iCs/>
          <w:noProof/>
          <w:sz w:val="24"/>
          <w:szCs w:val="24"/>
        </w:rPr>
        <w:t>Summary of the discussions</w:t>
      </w:r>
      <w:r w:rsidRPr="00B40683">
        <w:rPr>
          <w:rStyle w:val="FootnoteReference"/>
          <w:rFonts w:ascii="Times New Roman" w:hAnsi="Times New Roman" w:cs="Times New Roman"/>
          <w:bCs/>
          <w:i/>
          <w:iCs/>
          <w:noProof/>
          <w:sz w:val="24"/>
          <w:szCs w:val="24"/>
        </w:rPr>
        <w:footnoteReference w:id="337"/>
      </w:r>
      <w:r w:rsidRPr="00B40683">
        <w:rPr>
          <w:rFonts w:ascii="Times New Roman" w:hAnsi="Times New Roman" w:cs="Times New Roman"/>
          <w:bCs/>
          <w:i/>
          <w:iCs/>
          <w:noProof/>
          <w:sz w:val="24"/>
          <w:szCs w:val="24"/>
        </w:rPr>
        <w:t xml:space="preserve"> </w:t>
      </w:r>
    </w:p>
    <w:p w14:paraId="1A4B88ED" w14:textId="77777777" w:rsidR="00B86F0E" w:rsidRPr="00B40683" w:rsidRDefault="00B86F0E" w:rsidP="00237337">
      <w:pPr>
        <w:spacing w:after="0" w:line="240" w:lineRule="auto"/>
        <w:contextualSpacing/>
        <w:jc w:val="both"/>
        <w:rPr>
          <w:rFonts w:ascii="Times New Roman" w:hAnsi="Times New Roman" w:cs="Times New Roman"/>
          <w:i/>
          <w:iCs/>
          <w:noProof/>
          <w:sz w:val="24"/>
          <w:szCs w:val="24"/>
        </w:rPr>
      </w:pPr>
    </w:p>
    <w:p w14:paraId="5ED0BBF8" w14:textId="77777777" w:rsidR="00B86F0E" w:rsidRPr="00B40683" w:rsidRDefault="00B86F0E" w:rsidP="00237337">
      <w:pPr>
        <w:spacing w:after="0" w:line="240" w:lineRule="auto"/>
        <w:contextualSpacing/>
        <w:jc w:val="both"/>
        <w:rPr>
          <w:rFonts w:ascii="Times New Roman" w:hAnsi="Times New Roman" w:cs="Times New Roman"/>
          <w:b/>
          <w:noProof/>
          <w:sz w:val="24"/>
          <w:szCs w:val="24"/>
        </w:rPr>
      </w:pPr>
      <w:r w:rsidRPr="00B40683">
        <w:rPr>
          <w:rFonts w:ascii="Times New Roman" w:hAnsi="Times New Roman" w:cs="Times New Roman"/>
          <w:b/>
          <w:bCs/>
          <w:noProof/>
          <w:sz w:val="24"/>
          <w:szCs w:val="24"/>
        </w:rPr>
        <w:t>Attendees</w:t>
      </w:r>
    </w:p>
    <w:p w14:paraId="08C80B10"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On behalf of the European Commission: Adrian Perez-Martinez, Aleksandra Tukisa, Anna Moscibroda, Antoine Billard, Eleni Chronopoulou, Florence Fensie, Jesper van Putten, Jolande Prinssen, Julian Siegl, Mario Cuschieri, Massimiliano Mini, Mickael Roudaut, Oana Hidveghi, Olivier Micol, Patrick Hamon, Pestelli Vanni, Sandra Moeller, Robertus Rozenburg.</w:t>
      </w:r>
    </w:p>
    <w:p w14:paraId="7D5D22DA"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p>
    <w:p w14:paraId="790EEE51"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On behalf of the countries: National representatives from Law Enforcement Authorities of all EU Member States and Schengen associated countries (except Iceland and Liechtenstein).</w:t>
      </w:r>
    </w:p>
    <w:p w14:paraId="4CD993A2"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p>
    <w:p w14:paraId="52019195" w14:textId="77777777" w:rsidR="00B86F0E" w:rsidRPr="00B40683" w:rsidRDefault="00B86F0E" w:rsidP="000316D9">
      <w:pPr>
        <w:spacing w:after="0" w:line="240" w:lineRule="auto"/>
        <w:contextualSpacing/>
        <w:jc w:val="both"/>
        <w:rPr>
          <w:rFonts w:ascii="Times New Roman" w:hAnsi="Times New Roman" w:cs="Times New Roman"/>
          <w:b/>
          <w:bCs/>
          <w:noProof/>
          <w:sz w:val="24"/>
          <w:szCs w:val="24"/>
        </w:rPr>
      </w:pPr>
      <w:r w:rsidRPr="00B40683">
        <w:rPr>
          <w:rFonts w:ascii="Times New Roman" w:hAnsi="Times New Roman" w:cs="Times New Roman"/>
          <w:b/>
          <w:bCs/>
          <w:noProof/>
          <w:sz w:val="24"/>
          <w:szCs w:val="24"/>
        </w:rPr>
        <w:t>Acronyms</w:t>
      </w:r>
    </w:p>
    <w:p w14:paraId="213AD1E7"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CISA</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Convention Implementing the Schengen Agreement</w:t>
      </w:r>
    </w:p>
    <w:p w14:paraId="68935D69"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CMS</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Case Management System</w:t>
      </w:r>
    </w:p>
    <w:p w14:paraId="787384D2"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LEA</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 xml:space="preserve">Law Enforcement Authority </w:t>
      </w:r>
    </w:p>
    <w:p w14:paraId="02BB59EA"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MS</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Member State</w:t>
      </w:r>
    </w:p>
    <w:p w14:paraId="68750F97"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PCCCs</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Police and Customs Cooperation Centres</w:t>
      </w:r>
    </w:p>
    <w:p w14:paraId="6DE40CCA"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SFD</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Swedish Framework Decision</w:t>
      </w:r>
    </w:p>
    <w:p w14:paraId="60CB98AB"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SIENA</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Secure Information Exchange Network Application</w:t>
      </w:r>
    </w:p>
    <w:p w14:paraId="7DACB88D"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SIS (II)</w:t>
      </w:r>
      <w:r w:rsidRPr="00B40683">
        <w:rPr>
          <w:rFonts w:ascii="Times New Roman" w:eastAsia="Times New Roman" w:hAnsi="Times New Roman" w:cs="Times New Roman"/>
          <w:noProof/>
          <w:sz w:val="24"/>
          <w:szCs w:val="24"/>
          <w:lang w:eastAsia="nl-BE"/>
        </w:rPr>
        <w:tab/>
        <w:t>Schengen Information System</w:t>
      </w:r>
    </w:p>
    <w:p w14:paraId="6630F0A8"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SOC</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Serious and Organized Crime</w:t>
      </w:r>
    </w:p>
    <w:p w14:paraId="7E8D4B8C" w14:textId="77777777" w:rsidR="00B86F0E" w:rsidRPr="00B40683" w:rsidRDefault="00B86F0E" w:rsidP="000316D9">
      <w:pPr>
        <w:spacing w:after="0" w:line="240" w:lineRule="auto"/>
        <w:contextualSpacing/>
        <w:jc w:val="both"/>
        <w:rPr>
          <w:rFonts w:ascii="Times New Roman" w:eastAsia="Times New Roman" w:hAnsi="Times New Roman" w:cs="Times New Roman"/>
          <w:noProof/>
          <w:sz w:val="24"/>
          <w:szCs w:val="24"/>
          <w:lang w:eastAsia="nl-BE"/>
        </w:rPr>
      </w:pPr>
      <w:r w:rsidRPr="00B40683">
        <w:rPr>
          <w:rFonts w:ascii="Times New Roman" w:eastAsia="Times New Roman" w:hAnsi="Times New Roman" w:cs="Times New Roman"/>
          <w:noProof/>
          <w:sz w:val="24"/>
          <w:szCs w:val="24"/>
          <w:lang w:eastAsia="nl-BE"/>
        </w:rPr>
        <w:t>SPOCs</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Single Points of Contact</w:t>
      </w:r>
    </w:p>
    <w:p w14:paraId="0D9836FE" w14:textId="77777777" w:rsidR="003A0469" w:rsidRPr="00B40683" w:rsidRDefault="00B86F0E" w:rsidP="00B86F0E">
      <w:pPr>
        <w:spacing w:after="0" w:line="240" w:lineRule="auto"/>
        <w:jc w:val="both"/>
        <w:rPr>
          <w:rFonts w:ascii="Times New Roman" w:hAnsi="Times New Roman" w:cs="Times New Roman"/>
          <w:noProof/>
          <w:sz w:val="24"/>
          <w:szCs w:val="24"/>
        </w:rPr>
      </w:pPr>
      <w:r w:rsidRPr="00B40683">
        <w:rPr>
          <w:rFonts w:ascii="Times New Roman" w:eastAsia="Times New Roman" w:hAnsi="Times New Roman" w:cs="Times New Roman"/>
          <w:noProof/>
          <w:sz w:val="24"/>
          <w:szCs w:val="24"/>
          <w:lang w:eastAsia="nl-BE"/>
        </w:rPr>
        <w:t>UMF</w:t>
      </w:r>
      <w:r w:rsidRPr="00B40683">
        <w:rPr>
          <w:rFonts w:ascii="Times New Roman" w:eastAsia="Times New Roman" w:hAnsi="Times New Roman" w:cs="Times New Roman"/>
          <w:noProof/>
          <w:sz w:val="24"/>
          <w:szCs w:val="24"/>
          <w:lang w:eastAsia="nl-BE"/>
        </w:rPr>
        <w:tab/>
      </w:r>
      <w:r w:rsidRPr="00B40683">
        <w:rPr>
          <w:rFonts w:ascii="Times New Roman" w:eastAsia="Times New Roman" w:hAnsi="Times New Roman" w:cs="Times New Roman"/>
          <w:noProof/>
          <w:sz w:val="24"/>
          <w:szCs w:val="24"/>
          <w:lang w:eastAsia="nl-BE"/>
        </w:rPr>
        <w:tab/>
        <w:t>Universal Message Format</w:t>
      </w:r>
    </w:p>
    <w:p w14:paraId="23826EF0" w14:textId="77777777" w:rsidR="00B86F0E" w:rsidRPr="00B40683" w:rsidRDefault="00B86F0E" w:rsidP="00B86F0E">
      <w:pPr>
        <w:spacing w:after="0" w:line="240" w:lineRule="auto"/>
        <w:contextualSpacing/>
        <w:jc w:val="both"/>
        <w:rPr>
          <w:rFonts w:ascii="Times New Roman" w:hAnsi="Times New Roman" w:cs="Times New Roman"/>
          <w:b/>
          <w:noProof/>
          <w:sz w:val="24"/>
          <w:szCs w:val="24"/>
          <w:lang w:val="en-GB"/>
        </w:rPr>
      </w:pPr>
      <w:r w:rsidRPr="00B40683">
        <w:rPr>
          <w:rFonts w:ascii="Times New Roman" w:hAnsi="Times New Roman" w:cs="Times New Roman"/>
          <w:b/>
          <w:noProof/>
          <w:sz w:val="24"/>
          <w:szCs w:val="24"/>
          <w:lang w:val="en-GB"/>
        </w:rPr>
        <w:t>Welcome and presentation of the agenda</w:t>
      </w:r>
    </w:p>
    <w:p w14:paraId="5DE6BDA9" w14:textId="77777777" w:rsidR="00B86F0E" w:rsidRPr="00B40683" w:rsidRDefault="00B86F0E" w:rsidP="00B86F0E">
      <w:pPr>
        <w:spacing w:after="0" w:line="240" w:lineRule="auto"/>
        <w:contextualSpacing/>
        <w:jc w:val="both"/>
        <w:rPr>
          <w:rFonts w:ascii="Times New Roman" w:hAnsi="Times New Roman" w:cs="Times New Roman"/>
          <w:b/>
          <w:noProof/>
          <w:sz w:val="24"/>
          <w:szCs w:val="24"/>
          <w:lang w:val="en-GB"/>
        </w:rPr>
      </w:pPr>
    </w:p>
    <w:p w14:paraId="7806D961" w14:textId="77777777" w:rsidR="00B86F0E" w:rsidRPr="00B40683" w:rsidRDefault="00B86F0E" w:rsidP="00237337">
      <w:p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 xml:space="preserve">The contractor welcomed all participants and thanked them for their participation. In the following, the contractor introduced the housekeeping rules for the workshop, including the relevant technical functionalities of the tools to be used and the communication rules. As a closing to this introduction, all participants were invited and highly encouraged to be active and involved in the discussions ahead. </w:t>
      </w:r>
    </w:p>
    <w:p w14:paraId="39CE480A" w14:textId="77777777" w:rsidR="00B86F0E" w:rsidRPr="00B40683" w:rsidRDefault="00B86F0E" w:rsidP="00237337">
      <w:pPr>
        <w:spacing w:after="0" w:line="240" w:lineRule="auto"/>
        <w:jc w:val="both"/>
        <w:rPr>
          <w:rFonts w:ascii="Times New Roman" w:hAnsi="Times New Roman" w:cs="Times New Roman"/>
          <w:iCs/>
          <w:noProof/>
          <w:sz w:val="24"/>
          <w:szCs w:val="24"/>
        </w:rPr>
      </w:pPr>
    </w:p>
    <w:p w14:paraId="39AE6D64" w14:textId="77777777" w:rsidR="00B86F0E" w:rsidRPr="00B40683" w:rsidRDefault="00B86F0E" w:rsidP="00237337">
      <w:p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As a next point, Slido (as well as its relevant functionalities) was introduced as the tool for launching poll questions (by emphasising that the choices uploaded by the participants will not be statistically analysed on an individual level). Again, the contractor emphasised the importance of interaction for the policy options to address current problems efficiently and effectively.</w:t>
      </w:r>
    </w:p>
    <w:p w14:paraId="73A77349" w14:textId="77777777" w:rsidR="00B86F0E" w:rsidRPr="00B40683" w:rsidRDefault="00B86F0E" w:rsidP="00237337">
      <w:pPr>
        <w:spacing w:after="0" w:line="240" w:lineRule="auto"/>
        <w:jc w:val="both"/>
        <w:rPr>
          <w:rFonts w:ascii="Times New Roman" w:hAnsi="Times New Roman" w:cs="Times New Roman"/>
          <w:iCs/>
          <w:noProof/>
          <w:sz w:val="24"/>
          <w:szCs w:val="24"/>
        </w:rPr>
      </w:pPr>
    </w:p>
    <w:p w14:paraId="79FEAF2D" w14:textId="77777777" w:rsidR="00B86F0E" w:rsidRPr="00B40683" w:rsidRDefault="00B86F0E" w:rsidP="00237337">
      <w:p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Subsequently</w:t>
      </w:r>
      <w:r w:rsidRPr="00B40683">
        <w:rPr>
          <w:rFonts w:ascii="Times New Roman" w:hAnsi="Times New Roman" w:cs="Times New Roman"/>
          <w:iCs/>
          <w:noProof/>
          <w:color w:val="000000"/>
          <w:spacing w:val="-2"/>
          <w:sz w:val="24"/>
          <w:szCs w:val="24"/>
        </w:rPr>
        <w:t xml:space="preserve">, the collection of national stakeholder’s points of view on the possible EU measures to address current problems affecting cross-border law enforcement cooperation as well as the discussion of likely impacts of these measures were </w:t>
      </w:r>
      <w:r w:rsidRPr="00B40683">
        <w:rPr>
          <w:rFonts w:ascii="Times New Roman" w:hAnsi="Times New Roman" w:cs="Times New Roman"/>
          <w:iCs/>
          <w:noProof/>
          <w:sz w:val="24"/>
          <w:szCs w:val="24"/>
        </w:rPr>
        <w:t xml:space="preserve">presented as the overall objective of the workshop. </w:t>
      </w:r>
    </w:p>
    <w:p w14:paraId="3A9354B3" w14:textId="77777777" w:rsidR="00B86F0E" w:rsidRPr="00B40683" w:rsidRDefault="00B86F0E" w:rsidP="00237337">
      <w:pPr>
        <w:spacing w:after="0" w:line="240" w:lineRule="auto"/>
        <w:jc w:val="both"/>
        <w:rPr>
          <w:rFonts w:ascii="Times New Roman" w:hAnsi="Times New Roman" w:cs="Times New Roman"/>
          <w:iCs/>
          <w:noProof/>
          <w:sz w:val="24"/>
          <w:szCs w:val="24"/>
        </w:rPr>
      </w:pPr>
    </w:p>
    <w:p w14:paraId="41251A8A" w14:textId="77777777" w:rsidR="00B86F0E"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As a last point of the welcoming, the contractor underlined the fact that law enforcement authorities (LEA) of all member states (MS) and Schengen associated are represented in the workshop, which was jointly organised by Rand, EY, as well as the Commission.</w:t>
      </w:r>
    </w:p>
    <w:p w14:paraId="4777ECDC" w14:textId="77777777" w:rsidR="00B40683" w:rsidRPr="00B40683" w:rsidRDefault="00B40683" w:rsidP="00B86F0E">
      <w:pPr>
        <w:spacing w:after="0" w:line="240" w:lineRule="auto"/>
        <w:contextualSpacing/>
        <w:jc w:val="both"/>
        <w:rPr>
          <w:rFonts w:ascii="Times New Roman" w:hAnsi="Times New Roman" w:cs="Times New Roman"/>
          <w:iCs/>
          <w:noProof/>
          <w:sz w:val="24"/>
          <w:szCs w:val="24"/>
        </w:rPr>
      </w:pPr>
    </w:p>
    <w:p w14:paraId="5EC68DC2"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p>
    <w:p w14:paraId="02394384" w14:textId="77777777" w:rsidR="00B86F0E" w:rsidRPr="00B40683" w:rsidRDefault="00B86F0E" w:rsidP="00B86F0E">
      <w:pPr>
        <w:spacing w:after="0" w:line="240" w:lineRule="auto"/>
        <w:contextualSpacing/>
        <w:jc w:val="both"/>
        <w:rPr>
          <w:rFonts w:ascii="Times New Roman" w:hAnsi="Times New Roman" w:cs="Times New Roman"/>
          <w:b/>
          <w:noProof/>
          <w:sz w:val="24"/>
          <w:szCs w:val="24"/>
          <w:lang w:val="en-GB"/>
        </w:rPr>
      </w:pPr>
      <w:r w:rsidRPr="00B40683">
        <w:rPr>
          <w:rFonts w:ascii="Times New Roman" w:hAnsi="Times New Roman" w:cs="Times New Roman"/>
          <w:b/>
          <w:noProof/>
          <w:sz w:val="24"/>
          <w:szCs w:val="24"/>
          <w:lang w:val="en-GB"/>
        </w:rPr>
        <w:t>Opening remarks by the Commission</w:t>
      </w:r>
    </w:p>
    <w:p w14:paraId="69DFD1FA" w14:textId="77777777" w:rsidR="00B86F0E" w:rsidRPr="00B40683" w:rsidRDefault="00B86F0E" w:rsidP="00B86F0E">
      <w:pPr>
        <w:spacing w:after="0" w:line="240" w:lineRule="auto"/>
        <w:contextualSpacing/>
        <w:jc w:val="both"/>
        <w:rPr>
          <w:rFonts w:ascii="Times New Roman" w:hAnsi="Times New Roman" w:cs="Times New Roman"/>
          <w:b/>
          <w:noProof/>
          <w:sz w:val="24"/>
          <w:szCs w:val="24"/>
          <w:lang w:val="en-GB"/>
        </w:rPr>
      </w:pPr>
    </w:p>
    <w:p w14:paraId="4A875869"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Commission welcomed all meeting participants and introduced the group of participants in further detailing, covering 200 experts from the police, customs, SPOCS, PCCCs, investigators, authorities, specialists in joint cooperation and the national representatives from MSs and Schengen associated countries.</w:t>
      </w:r>
    </w:p>
    <w:p w14:paraId="455796E6"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Commission referred back to the workshop two months ago (24 March) and pointed out the focus of this workshop: to discuss what could be improved in cross-border law enforcement cooperation and possible options that could best address the issues and facilitate the daily life of end-users, as well as the likely impacts and the efficiency and effectiveness of the options. In addition, the (political) feasibility should be part of the discussion as well.</w:t>
      </w:r>
    </w:p>
    <w:p w14:paraId="4C44DED4"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p>
    <w:p w14:paraId="09254CBA"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In a next step, the Commission representative referred to the existing basis of this study, covering 37 EU measures complemented by 75 mutual agreements, as well as to the fact that each MS is responsible for its own country security and fighting against terrorism within the EU. At the same time, the Commission stressed the importance of facilitating the exchange of information through SPOCs and PCCCs in order to better address cross-border crime.</w:t>
      </w:r>
    </w:p>
    <w:p w14:paraId="76FD29A6"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p>
    <w:p w14:paraId="6933BA57"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For closing the opening remark, the Commission emphasised its listening mode for the workshop due to the fact that the study is conducted independently by EY and RAND.</w:t>
      </w:r>
    </w:p>
    <w:p w14:paraId="00809152"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p>
    <w:p w14:paraId="5F53B7FA" w14:textId="77777777" w:rsidR="00B86F0E" w:rsidRPr="00B40683" w:rsidRDefault="00B86F0E" w:rsidP="00B86F0E">
      <w:pPr>
        <w:spacing w:after="0" w:line="240" w:lineRule="auto"/>
        <w:contextualSpacing/>
        <w:jc w:val="both"/>
        <w:rPr>
          <w:rFonts w:ascii="Times New Roman" w:hAnsi="Times New Roman" w:cs="Times New Roman"/>
          <w:b/>
          <w:noProof/>
          <w:sz w:val="24"/>
          <w:szCs w:val="24"/>
          <w:lang w:val="en-GB"/>
        </w:rPr>
      </w:pPr>
      <w:r w:rsidRPr="00B40683">
        <w:rPr>
          <w:rFonts w:ascii="Times New Roman" w:hAnsi="Times New Roman" w:cs="Times New Roman"/>
          <w:b/>
          <w:noProof/>
          <w:sz w:val="24"/>
          <w:szCs w:val="24"/>
          <w:lang w:val="en-GB"/>
        </w:rPr>
        <w:t>Presentation of the study and (preliminary) findings</w:t>
      </w:r>
    </w:p>
    <w:p w14:paraId="29C5CCB6" w14:textId="77777777" w:rsidR="00B86F0E" w:rsidRPr="00B40683" w:rsidRDefault="00B86F0E" w:rsidP="00B86F0E">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iCs/>
          <w:noProof/>
          <w:sz w:val="24"/>
          <w:szCs w:val="24"/>
        </w:rPr>
        <w:t>After the presentation of the study as well as the preliminary findings, the participants of the meeting were given the possibility to addre</w:t>
      </w:r>
      <w:r w:rsidRPr="00B40683">
        <w:rPr>
          <w:rFonts w:ascii="Times New Roman" w:hAnsi="Times New Roman" w:cs="Times New Roman"/>
          <w:noProof/>
          <w:sz w:val="24"/>
          <w:szCs w:val="24"/>
        </w:rPr>
        <w:t xml:space="preserve">ss their questions in a </w:t>
      </w:r>
      <w:r w:rsidRPr="00B40683">
        <w:rPr>
          <w:rFonts w:ascii="Times New Roman" w:hAnsi="Times New Roman" w:cs="Times New Roman"/>
          <w:b/>
          <w:bCs/>
          <w:noProof/>
          <w:sz w:val="24"/>
          <w:szCs w:val="24"/>
        </w:rPr>
        <w:t>Q&amp;A</w:t>
      </w:r>
      <w:r w:rsidRPr="00B40683">
        <w:rPr>
          <w:rFonts w:ascii="Times New Roman" w:hAnsi="Times New Roman" w:cs="Times New Roman"/>
          <w:noProof/>
          <w:sz w:val="24"/>
          <w:szCs w:val="24"/>
        </w:rPr>
        <w:t>. The following points were mentioned/discussed in this context:</w:t>
      </w:r>
    </w:p>
    <w:p w14:paraId="244B2DB9" w14:textId="77777777" w:rsidR="00C83EDA" w:rsidRPr="00B40683" w:rsidRDefault="00C83EDA" w:rsidP="00B86F0E">
      <w:pPr>
        <w:spacing w:after="0" w:line="240" w:lineRule="auto"/>
        <w:contextualSpacing/>
        <w:jc w:val="both"/>
        <w:rPr>
          <w:rFonts w:ascii="Times New Roman" w:hAnsi="Times New Roman" w:cs="Times New Roman"/>
          <w:iCs/>
          <w:noProof/>
          <w:color w:val="000000"/>
          <w:spacing w:val="-2"/>
          <w:sz w:val="24"/>
          <w:szCs w:val="24"/>
        </w:rPr>
      </w:pPr>
    </w:p>
    <w:p w14:paraId="7325D03F"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problems identified in the problem definition are considered as relevant by the participants. However, most of these problems are already known to be such, not only in the EU, and shared by many stakeholders. The fact that there have already been developed a lot of (operational) practices to address these problems should not be neglected. The improvements aimed at with the policy options presented are relevant and considered as positive. They should, however, also take into account what is already there as potential solutions. This argument was supported by more than one participant. In this context, one participant added that some options are considered to be constitute a positive change, such as the access to SIENA for all main LEAs, but their implementation might create internal challenges/obstacles in the MS.</w:t>
      </w:r>
    </w:p>
    <w:p w14:paraId="0CB2EA04" w14:textId="77777777" w:rsidR="00C83EDA" w:rsidRPr="00B40683" w:rsidRDefault="00C83EDA" w:rsidP="00B86F0E">
      <w:pPr>
        <w:spacing w:after="0" w:line="240" w:lineRule="auto"/>
        <w:contextualSpacing/>
        <w:jc w:val="both"/>
        <w:rPr>
          <w:rFonts w:ascii="Times New Roman" w:hAnsi="Times New Roman" w:cs="Times New Roman"/>
          <w:iCs/>
          <w:noProof/>
          <w:sz w:val="24"/>
          <w:szCs w:val="24"/>
        </w:rPr>
      </w:pPr>
    </w:p>
    <w:p w14:paraId="46C848EF"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Regarding the policy options, one participant is asking for more detail. This request could already be addressed during this meeting, when the policy options and respective measures were presented in further detail during the breakout sessions.</w:t>
      </w:r>
    </w:p>
    <w:p w14:paraId="0CA2DC7B" w14:textId="77777777" w:rsidR="00C83EDA" w:rsidRPr="00B40683" w:rsidRDefault="00C83EDA" w:rsidP="00B86F0E">
      <w:pPr>
        <w:spacing w:after="0" w:line="240" w:lineRule="auto"/>
        <w:contextualSpacing/>
        <w:jc w:val="both"/>
        <w:rPr>
          <w:rFonts w:ascii="Times New Roman" w:hAnsi="Times New Roman" w:cs="Times New Roman"/>
          <w:iCs/>
          <w:noProof/>
          <w:sz w:val="24"/>
          <w:szCs w:val="24"/>
        </w:rPr>
      </w:pPr>
    </w:p>
    <w:p w14:paraId="5EF1247D"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Commission answered the wish of two participants to get access to the interim report, confirming that the final report will be accessible for all participants of the meeting on the DG HOME website.</w:t>
      </w:r>
    </w:p>
    <w:p w14:paraId="6411A606" w14:textId="77777777" w:rsidR="00C83EDA" w:rsidRPr="00B40683" w:rsidRDefault="00C83EDA" w:rsidP="00B86F0E">
      <w:pPr>
        <w:spacing w:after="0" w:line="240" w:lineRule="auto"/>
        <w:contextualSpacing/>
        <w:jc w:val="both"/>
        <w:rPr>
          <w:rFonts w:ascii="Times New Roman" w:hAnsi="Times New Roman" w:cs="Times New Roman"/>
          <w:iCs/>
          <w:noProof/>
          <w:sz w:val="24"/>
          <w:szCs w:val="24"/>
        </w:rPr>
      </w:pPr>
    </w:p>
    <w:p w14:paraId="141B337C"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In this regard, more than one participant underlined the importance of providing quantitative evidence, both for the problems as well as the policy options identified. The Commission answered this point by assuring that the final report will have a solid basis in this regard.</w:t>
      </w:r>
    </w:p>
    <w:p w14:paraId="7292E6D3" w14:textId="77777777" w:rsidR="00C83EDA" w:rsidRPr="00B40683" w:rsidRDefault="00C83EDA" w:rsidP="00B86F0E">
      <w:pPr>
        <w:spacing w:after="0" w:line="240" w:lineRule="auto"/>
        <w:contextualSpacing/>
        <w:jc w:val="both"/>
        <w:rPr>
          <w:rFonts w:ascii="Times New Roman" w:hAnsi="Times New Roman" w:cs="Times New Roman"/>
          <w:iCs/>
          <w:noProof/>
          <w:sz w:val="24"/>
          <w:szCs w:val="24"/>
        </w:rPr>
      </w:pPr>
    </w:p>
    <w:p w14:paraId="08AE1123"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One of the participants referred to the material scope of the study, asking how public order is of interest for police cooperation. In the participant’s view, public order is an administrative liability while public safety refers to the security of citizens which falls into the scope of police liability. The Commission addressed this question by quoting the relevant EU article as a reference on the EU’s definition on public order and public safety (Art. 17 (1) of Council Decision 2008/615/JHA (Prüm Decision).</w:t>
      </w:r>
    </w:p>
    <w:p w14:paraId="18D40F29" w14:textId="77777777" w:rsidR="00B86F0E" w:rsidRPr="00B40683" w:rsidRDefault="00B86F0E" w:rsidP="00B86F0E">
      <w:pPr>
        <w:spacing w:after="0" w:line="240" w:lineRule="auto"/>
        <w:contextualSpacing/>
        <w:jc w:val="both"/>
        <w:rPr>
          <w:rFonts w:ascii="Times New Roman" w:hAnsi="Times New Roman" w:cs="Times New Roman"/>
          <w:iCs/>
          <w:noProof/>
          <w:sz w:val="24"/>
          <w:szCs w:val="24"/>
        </w:rPr>
      </w:pPr>
    </w:p>
    <w:p w14:paraId="1A564827" w14:textId="77777777" w:rsidR="00B86F0E" w:rsidRPr="00B40683" w:rsidRDefault="00B86F0E" w:rsidP="00B86F0E">
      <w:pPr>
        <w:spacing w:after="0" w:line="240" w:lineRule="auto"/>
        <w:contextualSpacing/>
        <w:jc w:val="both"/>
        <w:rPr>
          <w:rFonts w:ascii="Times New Roman" w:hAnsi="Times New Roman" w:cs="Times New Roman"/>
          <w:b/>
          <w:noProof/>
          <w:sz w:val="24"/>
          <w:szCs w:val="24"/>
          <w:lang w:val="en-GB"/>
        </w:rPr>
      </w:pPr>
      <w:r w:rsidRPr="00B40683">
        <w:rPr>
          <w:rFonts w:ascii="Times New Roman" w:hAnsi="Times New Roman" w:cs="Times New Roman"/>
          <w:b/>
          <w:noProof/>
          <w:sz w:val="24"/>
          <w:szCs w:val="24"/>
          <w:lang w:val="en-GB"/>
        </w:rPr>
        <w:t>Breakout sessions</w:t>
      </w:r>
    </w:p>
    <w:p w14:paraId="7B1AB2BE" w14:textId="77777777" w:rsidR="00B86F0E" w:rsidRPr="00B40683" w:rsidRDefault="00B86F0E" w:rsidP="00B86F0E">
      <w:pPr>
        <w:spacing w:after="0" w:line="240" w:lineRule="auto"/>
        <w:contextualSpacing/>
        <w:jc w:val="both"/>
        <w:rPr>
          <w:rFonts w:ascii="Times New Roman" w:hAnsi="Times New Roman" w:cs="Times New Roman"/>
          <w:b/>
          <w:noProof/>
          <w:sz w:val="24"/>
          <w:szCs w:val="24"/>
          <w:lang w:val="en-GB"/>
        </w:rPr>
      </w:pPr>
    </w:p>
    <w:p w14:paraId="4A48142A" w14:textId="77777777" w:rsidR="007E2CCE" w:rsidRDefault="00B86F0E" w:rsidP="007E2CCE">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During the breakout sessions, the participants discussed the measures presented on the respective slides of the Powerpoint presentation by the contractor as well as their likely impacts. In the following, the discussion points will be summarised and structured according to the main strengths and weaknesses of the measures presented as well as to additional key comments raised during the discussion.</w:t>
      </w:r>
    </w:p>
    <w:p w14:paraId="4A3A73E3" w14:textId="77777777" w:rsidR="00B40683" w:rsidRDefault="00B40683" w:rsidP="007E2CCE">
      <w:pPr>
        <w:spacing w:after="0" w:line="240" w:lineRule="auto"/>
        <w:contextualSpacing/>
        <w:jc w:val="both"/>
        <w:rPr>
          <w:rFonts w:ascii="Verdana" w:hAnsi="Verdana" w:cs="Times New Roman"/>
          <w:iCs/>
          <w:noProof/>
        </w:rPr>
      </w:pPr>
    </w:p>
    <w:p w14:paraId="3F7CA322" w14:textId="77777777" w:rsidR="00B86F0E" w:rsidRPr="00B40683" w:rsidRDefault="00B86F0E" w:rsidP="007E2CCE">
      <w:pPr>
        <w:spacing w:after="0" w:line="240" w:lineRule="auto"/>
        <w:contextualSpacing/>
        <w:jc w:val="both"/>
        <w:rPr>
          <w:rFonts w:ascii="Times New Roman" w:hAnsi="Times New Roman" w:cs="Times New Roman"/>
          <w:b/>
          <w:bCs/>
          <w:noProof/>
          <w:sz w:val="24"/>
          <w:szCs w:val="24"/>
        </w:rPr>
      </w:pPr>
      <w:r w:rsidRPr="00B40683">
        <w:rPr>
          <w:rFonts w:ascii="Times New Roman" w:hAnsi="Times New Roman" w:cs="Times New Roman"/>
          <w:b/>
          <w:bCs/>
          <w:noProof/>
          <w:sz w:val="24"/>
          <w:szCs w:val="24"/>
        </w:rPr>
        <w:t>Breakout session 1 – Access to and exchange of necessary information</w:t>
      </w:r>
    </w:p>
    <w:p w14:paraId="2B8B16C3" w14:textId="77777777" w:rsidR="00C83EDA" w:rsidRPr="00B40683" w:rsidRDefault="00C83EDA" w:rsidP="00B86F0E">
      <w:pPr>
        <w:spacing w:after="0" w:line="240" w:lineRule="auto"/>
        <w:contextualSpacing/>
        <w:jc w:val="both"/>
        <w:rPr>
          <w:rFonts w:ascii="Times New Roman" w:hAnsi="Times New Roman" w:cs="Times New Roman"/>
          <w:b/>
          <w:bCs/>
          <w:noProof/>
          <w:sz w:val="24"/>
          <w:szCs w:val="24"/>
        </w:rPr>
      </w:pPr>
    </w:p>
    <w:p w14:paraId="11F4EE4A" w14:textId="77777777" w:rsidR="00B86F0E" w:rsidRPr="00B40683" w:rsidRDefault="00B86F0E" w:rsidP="00B86F0E">
      <w:pPr>
        <w:spacing w:after="0" w:line="240" w:lineRule="auto"/>
        <w:contextualSpacing/>
        <w:jc w:val="both"/>
        <w:rPr>
          <w:rFonts w:ascii="Times New Roman" w:hAnsi="Times New Roman" w:cs="Times New Roman"/>
          <w:b/>
          <w:bCs/>
          <w:i/>
          <w:iCs/>
          <w:noProof/>
          <w:sz w:val="24"/>
          <w:szCs w:val="24"/>
        </w:rPr>
      </w:pPr>
      <w:r w:rsidRPr="00B40683">
        <w:rPr>
          <w:rFonts w:ascii="Times New Roman" w:hAnsi="Times New Roman" w:cs="Times New Roman"/>
          <w:b/>
          <w:bCs/>
          <w:i/>
          <w:iCs/>
          <w:noProof/>
          <w:sz w:val="24"/>
          <w:szCs w:val="24"/>
        </w:rPr>
        <w:t>Main outcome of the breakout session</w:t>
      </w:r>
    </w:p>
    <w:p w14:paraId="7C66503D" w14:textId="77777777" w:rsidR="00C83EDA" w:rsidRPr="00B40683" w:rsidRDefault="00C83EDA" w:rsidP="00B86F0E">
      <w:pPr>
        <w:spacing w:after="0" w:line="240" w:lineRule="auto"/>
        <w:contextualSpacing/>
        <w:jc w:val="both"/>
        <w:rPr>
          <w:rFonts w:ascii="Times New Roman" w:hAnsi="Times New Roman" w:cs="Times New Roman"/>
          <w:b/>
          <w:bCs/>
          <w:i/>
          <w:iCs/>
          <w:noProof/>
          <w:sz w:val="24"/>
          <w:szCs w:val="24"/>
        </w:rPr>
      </w:pPr>
    </w:p>
    <w:p w14:paraId="7C213FAC" w14:textId="77777777" w:rsidR="00B86F0E" w:rsidRPr="00B40683" w:rsidRDefault="00B86F0E" w:rsidP="00B86F0E">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Set-up and competences of the SPOC and PCCCs</w:t>
      </w:r>
    </w:p>
    <w:p w14:paraId="2294B215" w14:textId="77777777" w:rsidR="00C83EDA" w:rsidRPr="00B40683" w:rsidRDefault="00C83EDA" w:rsidP="00B86F0E">
      <w:pPr>
        <w:spacing w:after="0" w:line="240" w:lineRule="auto"/>
        <w:contextualSpacing/>
        <w:jc w:val="both"/>
        <w:rPr>
          <w:rFonts w:ascii="Times New Roman" w:hAnsi="Times New Roman" w:cs="Times New Roman"/>
          <w:noProof/>
          <w:sz w:val="24"/>
          <w:szCs w:val="24"/>
        </w:rPr>
      </w:pPr>
    </w:p>
    <w:p w14:paraId="3D808833" w14:textId="77777777" w:rsidR="00B86F0E" w:rsidRPr="00B40683" w:rsidRDefault="00B86F0E" w:rsidP="00B86F0E">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The </w:t>
      </w:r>
      <w:r w:rsidRPr="00B40683">
        <w:rPr>
          <w:rFonts w:ascii="Times New Roman" w:hAnsi="Times New Roman" w:cs="Times New Roman"/>
          <w:b/>
          <w:bCs/>
          <w:noProof/>
          <w:sz w:val="24"/>
          <w:szCs w:val="24"/>
        </w:rPr>
        <w:t>main strengths of the measures presented</w:t>
      </w:r>
      <w:r w:rsidRPr="00B40683">
        <w:rPr>
          <w:rFonts w:ascii="Times New Roman" w:hAnsi="Times New Roman" w:cs="Times New Roman"/>
          <w:noProof/>
          <w:sz w:val="24"/>
          <w:szCs w:val="24"/>
        </w:rPr>
        <w:t xml:space="preserve"> concerning the set up and competences of the SPOCs and PCCCs are:</w:t>
      </w:r>
    </w:p>
    <w:p w14:paraId="06F5EBB1" w14:textId="77777777" w:rsidR="00B86F0E" w:rsidRPr="00B40683" w:rsidRDefault="00B86F0E" w:rsidP="00900BC7">
      <w:pPr>
        <w:pStyle w:val="ListParagraph"/>
        <w:numPr>
          <w:ilvl w:val="0"/>
          <w:numId w:val="65"/>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Time savings: A definition of common competences of the SPOC and the PCCCs would, in the view of the participants lead to time savings when requesting/submitting information (e.g. due to facilitated workflows and centralised communication by using the SPOC)</w:t>
      </w:r>
    </w:p>
    <w:p w14:paraId="235F8CA4" w14:textId="77777777" w:rsidR="00B86F0E" w:rsidRPr="00B40683" w:rsidRDefault="00B86F0E" w:rsidP="00900BC7">
      <w:pPr>
        <w:pStyle w:val="ListParagraph"/>
        <w:numPr>
          <w:ilvl w:val="0"/>
          <w:numId w:val="65"/>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Clarity of competences, responsibilities and clear rules</w:t>
      </w:r>
    </w:p>
    <w:p w14:paraId="23A330EB" w14:textId="77777777" w:rsidR="00B86F0E" w:rsidRPr="00B40683" w:rsidRDefault="00B86F0E" w:rsidP="00900BC7">
      <w:pPr>
        <w:pStyle w:val="ListParagraph"/>
        <w:numPr>
          <w:ilvl w:val="0"/>
          <w:numId w:val="65"/>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Increased monitoring of possibilities for the SPOCs concerning the cases</w:t>
      </w:r>
    </w:p>
    <w:p w14:paraId="469869D5" w14:textId="77777777" w:rsidR="00B86F0E" w:rsidRPr="00B40683" w:rsidRDefault="00B86F0E" w:rsidP="00900BC7">
      <w:pPr>
        <w:pStyle w:val="ListParagraph"/>
        <w:numPr>
          <w:ilvl w:val="0"/>
          <w:numId w:val="65"/>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 xml:space="preserve">The access to national and international databases and platforms for SPOCs and PCCCs is considered as highly relevant </w:t>
      </w:r>
    </w:p>
    <w:p w14:paraId="6020EEA3" w14:textId="77777777" w:rsidR="00B86F0E" w:rsidRPr="00B40683" w:rsidRDefault="00B86F0E" w:rsidP="00900BC7">
      <w:pPr>
        <w:pStyle w:val="ListParagraph"/>
        <w:numPr>
          <w:ilvl w:val="0"/>
          <w:numId w:val="65"/>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High relevance of possibility to ask for judicial authority support 24/7</w:t>
      </w:r>
    </w:p>
    <w:p w14:paraId="6A6FD062" w14:textId="77777777" w:rsidR="00B86F0E" w:rsidRPr="00B40683" w:rsidRDefault="00B86F0E" w:rsidP="00900BC7">
      <w:pPr>
        <w:pStyle w:val="ListParagraph"/>
        <w:numPr>
          <w:ilvl w:val="0"/>
          <w:numId w:val="65"/>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Common (minimum</w:t>
      </w:r>
      <w:r w:rsidRPr="00B40683">
        <w:rPr>
          <w:rFonts w:ascii="Times New Roman" w:hAnsi="Times New Roman" w:cs="Times New Roman"/>
          <w:noProof/>
          <w:sz w:val="24"/>
          <w:szCs w:val="24"/>
        </w:rPr>
        <w:t>) standards of a SPOC/PCCC Case Management System as well as the functionality of cross-checking would facilitate workflow, both nationally and internationally</w:t>
      </w:r>
    </w:p>
    <w:p w14:paraId="5E9A3264" w14:textId="77777777" w:rsidR="00C83EDA" w:rsidRPr="00B40683" w:rsidRDefault="00C83EDA" w:rsidP="00B86F0E">
      <w:pPr>
        <w:spacing w:after="0" w:line="240" w:lineRule="auto"/>
        <w:contextualSpacing/>
        <w:jc w:val="both"/>
        <w:rPr>
          <w:rFonts w:ascii="Times New Roman" w:hAnsi="Times New Roman" w:cs="Times New Roman"/>
          <w:noProof/>
          <w:sz w:val="24"/>
          <w:szCs w:val="24"/>
        </w:rPr>
      </w:pPr>
    </w:p>
    <w:p w14:paraId="5C8C0AA8" w14:textId="77777777" w:rsidR="00B86F0E" w:rsidRPr="00B40683" w:rsidRDefault="00B86F0E" w:rsidP="00B86F0E">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The </w:t>
      </w:r>
      <w:r w:rsidRPr="00B40683">
        <w:rPr>
          <w:rFonts w:ascii="Times New Roman" w:hAnsi="Times New Roman" w:cs="Times New Roman"/>
          <w:b/>
          <w:bCs/>
          <w:noProof/>
          <w:sz w:val="24"/>
          <w:szCs w:val="24"/>
        </w:rPr>
        <w:t>main weaknesses of the measures</w:t>
      </w:r>
      <w:r w:rsidRPr="00B40683">
        <w:rPr>
          <w:rFonts w:ascii="Times New Roman" w:hAnsi="Times New Roman" w:cs="Times New Roman"/>
          <w:noProof/>
          <w:sz w:val="24"/>
          <w:szCs w:val="24"/>
        </w:rPr>
        <w:t xml:space="preserve"> concerning the set up and competences of the SPOCs and PCCCs are:</w:t>
      </w:r>
    </w:p>
    <w:p w14:paraId="0381B131" w14:textId="77777777" w:rsidR="00B86F0E" w:rsidRPr="00B40683" w:rsidRDefault="00B86F0E" w:rsidP="00900BC7">
      <w:pPr>
        <w:pStyle w:val="ListParagraph"/>
        <w:numPr>
          <w:ilvl w:val="0"/>
          <w:numId w:val="66"/>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feasibility of some of the measures related to PCCCs were questioned by some participants depending on the national set up and the overall role of PCCCs, both varying significantly between MS</w:t>
      </w:r>
    </w:p>
    <w:p w14:paraId="21775655" w14:textId="77777777" w:rsidR="00B86F0E" w:rsidRPr="00B40683" w:rsidRDefault="00B86F0E" w:rsidP="00900BC7">
      <w:pPr>
        <w:pStyle w:val="ListParagraph"/>
        <w:numPr>
          <w:ilvl w:val="0"/>
          <w:numId w:val="66"/>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 xml:space="preserve">Following the point above, some participants stressed the point of structural differences of SPOCs, PCCCs and judicial authorisation between MS. A fact that might be, at times, hampering the smooth and efficient cross-border cooperation. It may also touch upon national competences  </w:t>
      </w:r>
    </w:p>
    <w:p w14:paraId="7A37B0D3" w14:textId="77777777" w:rsidR="00B86F0E" w:rsidRPr="00B40683" w:rsidRDefault="00B86F0E" w:rsidP="00900BC7">
      <w:pPr>
        <w:pStyle w:val="ListParagraph"/>
        <w:numPr>
          <w:ilvl w:val="0"/>
          <w:numId w:val="66"/>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High importance of actual</w:t>
      </w:r>
      <w:r w:rsidRPr="00B40683">
        <w:rPr>
          <w:rFonts w:ascii="Times New Roman" w:hAnsi="Times New Roman" w:cs="Times New Roman"/>
          <w:noProof/>
          <w:sz w:val="24"/>
          <w:szCs w:val="24"/>
        </w:rPr>
        <w:t xml:space="preserve"> data availability for appropriate functioning of the databases, platforms and CMS</w:t>
      </w:r>
    </w:p>
    <w:p w14:paraId="45878676" w14:textId="77777777" w:rsidR="00C83EDA" w:rsidRPr="00B40683" w:rsidRDefault="00C83EDA" w:rsidP="00B86F0E">
      <w:pPr>
        <w:spacing w:after="0" w:line="240" w:lineRule="auto"/>
        <w:contextualSpacing/>
        <w:jc w:val="both"/>
        <w:rPr>
          <w:rFonts w:ascii="Times New Roman" w:hAnsi="Times New Roman" w:cs="Times New Roman"/>
          <w:b/>
          <w:bCs/>
          <w:noProof/>
          <w:sz w:val="24"/>
          <w:szCs w:val="24"/>
        </w:rPr>
      </w:pPr>
    </w:p>
    <w:p w14:paraId="7B3E47C9" w14:textId="77777777" w:rsidR="00B86F0E" w:rsidRPr="00B40683" w:rsidRDefault="00B86F0E" w:rsidP="00B86F0E">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b/>
          <w:bCs/>
          <w:noProof/>
          <w:sz w:val="24"/>
          <w:szCs w:val="24"/>
        </w:rPr>
        <w:t>Additional key comments</w:t>
      </w:r>
      <w:r w:rsidRPr="00B40683">
        <w:rPr>
          <w:rFonts w:ascii="Times New Roman" w:hAnsi="Times New Roman" w:cs="Times New Roman"/>
          <w:noProof/>
          <w:sz w:val="24"/>
          <w:szCs w:val="24"/>
        </w:rPr>
        <w:t xml:space="preserve">: </w:t>
      </w:r>
    </w:p>
    <w:p w14:paraId="1F54F1F1" w14:textId="77777777" w:rsidR="00B86F0E" w:rsidRPr="00B40683" w:rsidRDefault="00B86F0E" w:rsidP="00900BC7">
      <w:pPr>
        <w:pStyle w:val="ListParagraph"/>
        <w:numPr>
          <w:ilvl w:val="0"/>
          <w:numId w:val="67"/>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participants suggested to consider the need for further coordination at the European level between the SPOCs, the PCCCs and other law enforcement units (e.g. liaison officers)</w:t>
      </w:r>
    </w:p>
    <w:p w14:paraId="18D27136" w14:textId="77777777" w:rsidR="00B86F0E" w:rsidRPr="00B40683" w:rsidRDefault="00B86F0E" w:rsidP="00900BC7">
      <w:pPr>
        <w:pStyle w:val="ListParagraph"/>
        <w:numPr>
          <w:ilvl w:val="0"/>
          <w:numId w:val="67"/>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Additional measures should also be considered to improve the use of resources at the national level allocated to the SPOCs. For instance, the SPOC shall be sufficiently staffed and trained to perform their tasks effectively, supported by an IT-system that enables efficient processes and swift responses</w:t>
      </w:r>
    </w:p>
    <w:p w14:paraId="5C4DE31B" w14:textId="77777777" w:rsidR="00B86F0E" w:rsidRPr="00B40683" w:rsidRDefault="00B86F0E" w:rsidP="00900BC7">
      <w:pPr>
        <w:pStyle w:val="ListParagraph"/>
        <w:numPr>
          <w:ilvl w:val="0"/>
          <w:numId w:val="67"/>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Bilateral agreements depend on a common understanding and it might be difficult to reach the same kind of trust on a multilateral / EU level.</w:t>
      </w:r>
    </w:p>
    <w:p w14:paraId="330E6F61" w14:textId="77777777" w:rsidR="00B86F0E" w:rsidRPr="00B40683" w:rsidRDefault="00B86F0E" w:rsidP="00900BC7">
      <w:pPr>
        <w:pStyle w:val="ListParagraph"/>
        <w:numPr>
          <w:ilvl w:val="0"/>
          <w:numId w:val="67"/>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Participants raised the point of automated processes, which is highly needed, due to the increasing volume of information requested, exchanged and stored.</w:t>
      </w:r>
    </w:p>
    <w:p w14:paraId="4BD3BDA5" w14:textId="77777777" w:rsidR="00B86F0E" w:rsidRPr="00B40683" w:rsidRDefault="00B86F0E" w:rsidP="00900BC7">
      <w:pPr>
        <w:pStyle w:val="ListParagraph"/>
        <w:numPr>
          <w:ilvl w:val="0"/>
          <w:numId w:val="67"/>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Appropriate EU</w:t>
      </w:r>
      <w:r w:rsidRPr="00B40683">
        <w:rPr>
          <w:rFonts w:ascii="Times New Roman" w:hAnsi="Times New Roman" w:cs="Times New Roman"/>
          <w:noProof/>
          <w:sz w:val="24"/>
          <w:szCs w:val="24"/>
        </w:rPr>
        <w:t xml:space="preserve"> funding for establishing a SPOC workflow system is considered to be helpful</w:t>
      </w:r>
    </w:p>
    <w:p w14:paraId="151F41E1" w14:textId="77777777" w:rsidR="00B86F0E" w:rsidRPr="00B40683" w:rsidRDefault="00B86F0E" w:rsidP="00900BC7">
      <w:pPr>
        <w:pStyle w:val="ListParagraph"/>
        <w:numPr>
          <w:ilvl w:val="0"/>
          <w:numId w:val="67"/>
        </w:numPr>
        <w:spacing w:after="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SPOC/PCCC Case Management Systems in the MS</w:t>
      </w:r>
    </w:p>
    <w:p w14:paraId="6B2F0D88" w14:textId="77777777" w:rsidR="00C83EDA" w:rsidRPr="00B40683" w:rsidRDefault="00C83EDA" w:rsidP="00B86F0E">
      <w:pPr>
        <w:spacing w:after="0" w:line="240" w:lineRule="auto"/>
        <w:contextualSpacing/>
        <w:jc w:val="both"/>
        <w:rPr>
          <w:rFonts w:ascii="Times New Roman" w:hAnsi="Times New Roman" w:cs="Times New Roman"/>
          <w:noProof/>
          <w:sz w:val="24"/>
          <w:szCs w:val="24"/>
        </w:rPr>
      </w:pPr>
    </w:p>
    <w:p w14:paraId="07270E79" w14:textId="77777777" w:rsidR="00B86F0E" w:rsidRPr="00B40683" w:rsidRDefault="00B86F0E" w:rsidP="00B86F0E">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The </w:t>
      </w:r>
      <w:r w:rsidRPr="00B40683">
        <w:rPr>
          <w:rFonts w:ascii="Times New Roman" w:hAnsi="Times New Roman" w:cs="Times New Roman"/>
          <w:b/>
          <w:bCs/>
          <w:noProof/>
          <w:sz w:val="24"/>
          <w:szCs w:val="24"/>
        </w:rPr>
        <w:t>main strengths of the measures presented</w:t>
      </w:r>
      <w:r w:rsidRPr="00B40683">
        <w:rPr>
          <w:rFonts w:ascii="Times New Roman" w:hAnsi="Times New Roman" w:cs="Times New Roman"/>
          <w:noProof/>
          <w:sz w:val="24"/>
          <w:szCs w:val="24"/>
        </w:rPr>
        <w:t xml:space="preserve"> concerning the SPOC/PCCC Case Management Systems in the MS are:</w:t>
      </w:r>
    </w:p>
    <w:p w14:paraId="0062F960" w14:textId="77777777" w:rsidR="00B86F0E" w:rsidRPr="00B40683" w:rsidRDefault="00B86F0E" w:rsidP="00900BC7">
      <w:pPr>
        <w:pStyle w:val="ListParagraph"/>
        <w:numPr>
          <w:ilvl w:val="0"/>
          <w:numId w:val="68"/>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Intelligent tool including statistical data would facilitate workflow, both within the SPOC/PCCCs as well as between them</w:t>
      </w:r>
    </w:p>
    <w:p w14:paraId="70057AF0" w14:textId="77777777" w:rsidR="00B86F0E" w:rsidRPr="00B40683" w:rsidRDefault="00B86F0E" w:rsidP="00900BC7">
      <w:pPr>
        <w:pStyle w:val="ListParagraph"/>
        <w:numPr>
          <w:ilvl w:val="0"/>
          <w:numId w:val="68"/>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Minimum essential requirements for CMS for all MS</w:t>
      </w:r>
    </w:p>
    <w:p w14:paraId="1D4A49B2" w14:textId="77777777" w:rsidR="00B86F0E" w:rsidRPr="00B40683" w:rsidRDefault="00B86F0E" w:rsidP="00900BC7">
      <w:pPr>
        <w:pStyle w:val="ListParagraph"/>
        <w:numPr>
          <w:ilvl w:val="0"/>
          <w:numId w:val="68"/>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Time savings (e.g. speeding up the management of requests), access to information in real time</w:t>
      </w:r>
    </w:p>
    <w:p w14:paraId="45F9E0F2" w14:textId="77777777" w:rsidR="00B86F0E" w:rsidRPr="00B40683" w:rsidRDefault="00B86F0E" w:rsidP="00900BC7">
      <w:pPr>
        <w:pStyle w:val="ListParagraph"/>
        <w:numPr>
          <w:ilvl w:val="0"/>
          <w:numId w:val="68"/>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 xml:space="preserve">Better data quality and data quality control </w:t>
      </w:r>
      <w:r w:rsidRPr="00B40683">
        <w:rPr>
          <w:rFonts w:ascii="Times New Roman" w:hAnsi="Times New Roman" w:cs="Times New Roman"/>
          <w:noProof/>
          <w:sz w:val="24"/>
          <w:szCs w:val="24"/>
        </w:rPr>
        <w:sym w:font="Wingdings" w:char="F0E0"/>
      </w:r>
      <w:r w:rsidRPr="00B40683">
        <w:rPr>
          <w:rFonts w:ascii="Times New Roman" w:hAnsi="Times New Roman" w:cs="Times New Roman"/>
          <w:iCs/>
          <w:noProof/>
          <w:sz w:val="24"/>
          <w:szCs w:val="24"/>
        </w:rPr>
        <w:t xml:space="preserve"> improved quality of work</w:t>
      </w:r>
    </w:p>
    <w:p w14:paraId="1E376EFF" w14:textId="77777777" w:rsidR="00B86F0E" w:rsidRPr="00B40683" w:rsidRDefault="00B86F0E" w:rsidP="00900BC7">
      <w:pPr>
        <w:pStyle w:val="ListParagraph"/>
        <w:numPr>
          <w:ilvl w:val="0"/>
          <w:numId w:val="68"/>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Avoidance of duplications</w:t>
      </w:r>
    </w:p>
    <w:p w14:paraId="4FA9E043" w14:textId="77777777" w:rsidR="00B86F0E" w:rsidRPr="00B40683" w:rsidRDefault="00B86F0E" w:rsidP="00900BC7">
      <w:pPr>
        <w:pStyle w:val="ListParagraph"/>
        <w:numPr>
          <w:ilvl w:val="0"/>
          <w:numId w:val="68"/>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Establishment and enforcement of a common/similar workflow in different MS</w:t>
      </w:r>
    </w:p>
    <w:p w14:paraId="430D49F3" w14:textId="77777777" w:rsidR="00B86F0E" w:rsidRPr="00B40683" w:rsidRDefault="00B86F0E" w:rsidP="00900BC7">
      <w:pPr>
        <w:pStyle w:val="ListParagraph"/>
        <w:numPr>
          <w:ilvl w:val="0"/>
          <w:numId w:val="68"/>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added value of this measure is considered to be relatively large</w:t>
      </w:r>
    </w:p>
    <w:p w14:paraId="6FDAC06C" w14:textId="77777777" w:rsidR="00C83EDA" w:rsidRPr="00B40683" w:rsidRDefault="00C83EDA" w:rsidP="00B86F0E">
      <w:pPr>
        <w:spacing w:after="0" w:line="240" w:lineRule="auto"/>
        <w:contextualSpacing/>
        <w:jc w:val="both"/>
        <w:rPr>
          <w:rFonts w:ascii="Times New Roman" w:hAnsi="Times New Roman" w:cs="Times New Roman"/>
          <w:noProof/>
          <w:sz w:val="24"/>
          <w:szCs w:val="24"/>
        </w:rPr>
      </w:pPr>
    </w:p>
    <w:p w14:paraId="3614E493" w14:textId="77777777" w:rsidR="00B86F0E" w:rsidRPr="00B40683" w:rsidRDefault="00B86F0E" w:rsidP="00237337">
      <w:pPr>
        <w:spacing w:after="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The </w:t>
      </w:r>
      <w:r w:rsidRPr="00B40683">
        <w:rPr>
          <w:rFonts w:ascii="Times New Roman" w:hAnsi="Times New Roman" w:cs="Times New Roman"/>
          <w:b/>
          <w:bCs/>
          <w:noProof/>
          <w:sz w:val="24"/>
          <w:szCs w:val="24"/>
        </w:rPr>
        <w:t>main weaknesses of the measures presented</w:t>
      </w:r>
      <w:r w:rsidRPr="00B40683">
        <w:rPr>
          <w:rFonts w:ascii="Times New Roman" w:hAnsi="Times New Roman" w:cs="Times New Roman"/>
          <w:noProof/>
          <w:sz w:val="24"/>
          <w:szCs w:val="24"/>
        </w:rPr>
        <w:t xml:space="preserve"> concerning the SPOC/PCCC Case Management Systems in the MS are:</w:t>
      </w:r>
    </w:p>
    <w:p w14:paraId="5A91A043" w14:textId="77777777" w:rsidR="00B86F0E" w:rsidRPr="00B40683" w:rsidRDefault="00B86F0E" w:rsidP="00900BC7">
      <w:pPr>
        <w:pStyle w:val="ListParagraph"/>
        <w:numPr>
          <w:ilvl w:val="0"/>
          <w:numId w:val="69"/>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noProof/>
          <w:sz w:val="24"/>
          <w:szCs w:val="24"/>
        </w:rPr>
        <w:t xml:space="preserve">Costs </w:t>
      </w:r>
      <w:r w:rsidRPr="00B40683">
        <w:rPr>
          <w:rFonts w:ascii="Times New Roman" w:hAnsi="Times New Roman" w:cs="Times New Roman"/>
          <w:iCs/>
          <w:noProof/>
          <w:sz w:val="24"/>
          <w:szCs w:val="24"/>
        </w:rPr>
        <w:t>for MS in developing the CMS</w:t>
      </w:r>
    </w:p>
    <w:p w14:paraId="1FBE0169" w14:textId="77777777" w:rsidR="00B86F0E" w:rsidRPr="00B40683" w:rsidRDefault="00B86F0E" w:rsidP="00900BC7">
      <w:pPr>
        <w:pStyle w:val="ListParagraph"/>
        <w:numPr>
          <w:ilvl w:val="0"/>
          <w:numId w:val="69"/>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Feasibil</w:t>
      </w:r>
      <w:r w:rsidRPr="00B40683">
        <w:rPr>
          <w:rFonts w:ascii="Times New Roman" w:hAnsi="Times New Roman" w:cs="Times New Roman"/>
          <w:noProof/>
          <w:sz w:val="24"/>
          <w:szCs w:val="24"/>
        </w:rPr>
        <w:t>ity linked to national specificities (the integration of specific solution within the national systems might be politically and technically challenging, depending on the current individual solution used in the MS)</w:t>
      </w:r>
    </w:p>
    <w:p w14:paraId="5748CF2B" w14:textId="77777777" w:rsidR="00C83EDA" w:rsidRPr="00B40683" w:rsidRDefault="00C83EDA" w:rsidP="000316D9">
      <w:pPr>
        <w:spacing w:after="0" w:line="240" w:lineRule="auto"/>
        <w:contextualSpacing/>
        <w:jc w:val="both"/>
        <w:rPr>
          <w:rFonts w:ascii="Times New Roman" w:hAnsi="Times New Roman" w:cs="Times New Roman"/>
          <w:b/>
          <w:bCs/>
          <w:noProof/>
          <w:sz w:val="24"/>
          <w:szCs w:val="24"/>
        </w:rPr>
      </w:pPr>
    </w:p>
    <w:p w14:paraId="1F407D0A"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b/>
          <w:bCs/>
          <w:noProof/>
          <w:sz w:val="24"/>
          <w:szCs w:val="24"/>
        </w:rPr>
        <w:t>Additional key comments:</w:t>
      </w:r>
    </w:p>
    <w:p w14:paraId="0809A900"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One central national workflow/CMS for all information exchanges</w:t>
      </w:r>
    </w:p>
    <w:p w14:paraId="75A51999"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Automation of data cross-check</w:t>
      </w:r>
    </w:p>
    <w:p w14:paraId="59D3F00D"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Universal message format (UMF) to be used</w:t>
      </w:r>
    </w:p>
    <w:p w14:paraId="32AD0B19"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Data protection considerations</w:t>
      </w:r>
    </w:p>
    <w:p w14:paraId="338F98E5"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Access rights by different units need to be defined</w:t>
      </w:r>
    </w:p>
    <w:p w14:paraId="26E968BA"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Access rights to EU databases need to be defined</w:t>
      </w:r>
    </w:p>
    <w:p w14:paraId="636371BF"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Interoperability between PCCCs’ CMS and the one of the SPOCs</w:t>
      </w:r>
    </w:p>
    <w:p w14:paraId="790FA5D8"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Access to technical</w:t>
      </w:r>
      <w:r w:rsidRPr="00B40683">
        <w:rPr>
          <w:rFonts w:ascii="Times New Roman" w:hAnsi="Times New Roman" w:cs="Times New Roman"/>
          <w:noProof/>
          <w:sz w:val="24"/>
          <w:szCs w:val="24"/>
        </w:rPr>
        <w:t xml:space="preserve"> support</w:t>
      </w:r>
    </w:p>
    <w:p w14:paraId="685A3A2A" w14:textId="77777777" w:rsidR="00B86F0E" w:rsidRPr="00B40683" w:rsidRDefault="00B86F0E" w:rsidP="00900BC7">
      <w:pPr>
        <w:pStyle w:val="ListParagraph"/>
        <w:numPr>
          <w:ilvl w:val="0"/>
          <w:numId w:val="70"/>
        </w:numPr>
        <w:spacing w:after="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Information exchange via SIENA and other communication channels</w:t>
      </w:r>
    </w:p>
    <w:p w14:paraId="68765045" w14:textId="77777777" w:rsidR="00C83EDA" w:rsidRPr="00B40683" w:rsidRDefault="00C83EDA" w:rsidP="000316D9">
      <w:pPr>
        <w:spacing w:after="0" w:line="240" w:lineRule="auto"/>
        <w:contextualSpacing/>
        <w:jc w:val="both"/>
        <w:rPr>
          <w:rFonts w:ascii="Times New Roman" w:hAnsi="Times New Roman" w:cs="Times New Roman"/>
          <w:iCs/>
          <w:noProof/>
          <w:sz w:val="24"/>
          <w:szCs w:val="24"/>
        </w:rPr>
      </w:pPr>
    </w:p>
    <w:p w14:paraId="1DF2604E"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iCs/>
          <w:noProof/>
          <w:sz w:val="24"/>
          <w:szCs w:val="24"/>
        </w:rPr>
        <w:t>The</w:t>
      </w:r>
      <w:r w:rsidRPr="00B40683">
        <w:rPr>
          <w:rFonts w:ascii="Times New Roman" w:hAnsi="Times New Roman" w:cs="Times New Roman"/>
          <w:noProof/>
          <w:sz w:val="24"/>
          <w:szCs w:val="24"/>
        </w:rPr>
        <w:t xml:space="preserve"> </w:t>
      </w:r>
      <w:r w:rsidRPr="00B40683">
        <w:rPr>
          <w:rFonts w:ascii="Times New Roman" w:hAnsi="Times New Roman" w:cs="Times New Roman"/>
          <w:b/>
          <w:bCs/>
          <w:noProof/>
          <w:sz w:val="24"/>
          <w:szCs w:val="24"/>
        </w:rPr>
        <w:t>main strengths of the measures presented</w:t>
      </w:r>
      <w:r w:rsidRPr="00B40683">
        <w:rPr>
          <w:rFonts w:ascii="Times New Roman" w:hAnsi="Times New Roman" w:cs="Times New Roman"/>
          <w:noProof/>
          <w:sz w:val="24"/>
          <w:szCs w:val="24"/>
        </w:rPr>
        <w:t xml:space="preserve"> concerning the information exchange via SIENA and other communication channels are:</w:t>
      </w:r>
    </w:p>
    <w:p w14:paraId="76653FC3" w14:textId="77777777" w:rsidR="00B86F0E" w:rsidRPr="00B40683" w:rsidRDefault="00B86F0E" w:rsidP="00900BC7">
      <w:pPr>
        <w:pStyle w:val="ListParagraph"/>
        <w:numPr>
          <w:ilvl w:val="0"/>
          <w:numId w:val="71"/>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Time savings</w:t>
      </w:r>
    </w:p>
    <w:p w14:paraId="254C1B38" w14:textId="77777777" w:rsidR="00B86F0E" w:rsidRPr="00B40683" w:rsidRDefault="00B86F0E" w:rsidP="00900BC7">
      <w:pPr>
        <w:pStyle w:val="ListParagraph"/>
        <w:numPr>
          <w:ilvl w:val="0"/>
          <w:numId w:val="71"/>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Increased clarity on which communication channel should be used when (currently existing confusing in this regard leads to uncertainties and potentially double work)</w:t>
      </w:r>
    </w:p>
    <w:p w14:paraId="73BD0516" w14:textId="77777777" w:rsidR="00B86F0E" w:rsidRPr="00B40683" w:rsidRDefault="00B86F0E" w:rsidP="00900BC7">
      <w:pPr>
        <w:pStyle w:val="ListParagraph"/>
        <w:numPr>
          <w:ilvl w:val="0"/>
          <w:numId w:val="71"/>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Increased</w:t>
      </w:r>
      <w:r w:rsidRPr="00B40683">
        <w:rPr>
          <w:rFonts w:ascii="Times New Roman" w:hAnsi="Times New Roman" w:cs="Times New Roman"/>
          <w:noProof/>
          <w:sz w:val="24"/>
          <w:szCs w:val="24"/>
        </w:rPr>
        <w:t xml:space="preserve"> level of security</w:t>
      </w:r>
    </w:p>
    <w:p w14:paraId="357923B7" w14:textId="77777777" w:rsidR="00C83EDA" w:rsidRPr="00B40683" w:rsidRDefault="00C83EDA" w:rsidP="000316D9">
      <w:pPr>
        <w:spacing w:after="0" w:line="240" w:lineRule="auto"/>
        <w:contextualSpacing/>
        <w:jc w:val="both"/>
        <w:rPr>
          <w:rFonts w:ascii="Times New Roman" w:hAnsi="Times New Roman" w:cs="Times New Roman"/>
          <w:noProof/>
          <w:sz w:val="24"/>
          <w:szCs w:val="24"/>
        </w:rPr>
      </w:pPr>
    </w:p>
    <w:p w14:paraId="035BEDBD"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The </w:t>
      </w:r>
      <w:r w:rsidRPr="00B40683">
        <w:rPr>
          <w:rFonts w:ascii="Times New Roman" w:hAnsi="Times New Roman" w:cs="Times New Roman"/>
          <w:b/>
          <w:bCs/>
          <w:noProof/>
          <w:sz w:val="24"/>
          <w:szCs w:val="24"/>
        </w:rPr>
        <w:t>main weakness of the measures presented</w:t>
      </w:r>
      <w:r w:rsidRPr="00B40683">
        <w:rPr>
          <w:rFonts w:ascii="Times New Roman" w:hAnsi="Times New Roman" w:cs="Times New Roman"/>
          <w:noProof/>
          <w:sz w:val="24"/>
          <w:szCs w:val="24"/>
        </w:rPr>
        <w:t xml:space="preserve"> concerning the information exchange via SIENA and other communication channels is:</w:t>
      </w:r>
    </w:p>
    <w:p w14:paraId="78BC1F5C" w14:textId="77777777" w:rsidR="00B86F0E" w:rsidRPr="00B40683" w:rsidRDefault="00B86F0E" w:rsidP="00900BC7">
      <w:pPr>
        <w:pStyle w:val="ListParagraph"/>
        <w:numPr>
          <w:ilvl w:val="0"/>
          <w:numId w:val="72"/>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Complexity</w:t>
      </w:r>
      <w:r w:rsidRPr="00B40683">
        <w:rPr>
          <w:rFonts w:ascii="Times New Roman" w:hAnsi="Times New Roman" w:cs="Times New Roman"/>
          <w:noProof/>
          <w:sz w:val="24"/>
          <w:szCs w:val="24"/>
        </w:rPr>
        <w:t xml:space="preserve"> of access rights</w:t>
      </w:r>
    </w:p>
    <w:p w14:paraId="640BF2FF" w14:textId="77777777" w:rsidR="00C83EDA" w:rsidRPr="00B40683" w:rsidRDefault="00C83EDA" w:rsidP="000316D9">
      <w:pPr>
        <w:spacing w:after="0" w:line="240" w:lineRule="auto"/>
        <w:contextualSpacing/>
        <w:jc w:val="both"/>
        <w:rPr>
          <w:rFonts w:ascii="Times New Roman" w:hAnsi="Times New Roman" w:cs="Times New Roman"/>
          <w:b/>
          <w:bCs/>
          <w:noProof/>
          <w:sz w:val="24"/>
          <w:szCs w:val="24"/>
        </w:rPr>
      </w:pPr>
    </w:p>
    <w:p w14:paraId="3976141A"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b/>
          <w:bCs/>
          <w:noProof/>
          <w:sz w:val="24"/>
          <w:szCs w:val="24"/>
        </w:rPr>
        <w:t>Additional key comments:</w:t>
      </w:r>
    </w:p>
    <w:p w14:paraId="01EDFFC4"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Necessary to consider further the use of other communication channels and the criteria for the use of the channels/matrix</w:t>
      </w:r>
    </w:p>
    <w:p w14:paraId="2279BF46"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Need to clarify the rules for the usage of SIENA for intra-EU communication</w:t>
      </w:r>
    </w:p>
    <w:p w14:paraId="33AB9555"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Use of Interpol when third countries are involved</w:t>
      </w:r>
    </w:p>
    <w:p w14:paraId="588CB17F"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SIENA is currently not monitored 24/7 by all MS, as it should be in view of the participants</w:t>
      </w:r>
    </w:p>
    <w:p w14:paraId="28824A40"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Reference to the handling codes</w:t>
      </w:r>
    </w:p>
    <w:p w14:paraId="29674F6B"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Some of the</w:t>
      </w:r>
      <w:r w:rsidRPr="00B40683">
        <w:rPr>
          <w:rFonts w:ascii="Times New Roman" w:hAnsi="Times New Roman" w:cs="Times New Roman"/>
          <w:noProof/>
          <w:sz w:val="24"/>
          <w:szCs w:val="24"/>
        </w:rPr>
        <w:t xml:space="preserve"> measures proposed for SIENA are already in place or upcoming (and thereby to be discarded as part of this legal proposal)</w:t>
      </w:r>
    </w:p>
    <w:p w14:paraId="7B5E915C"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Use of secure communication means </w:t>
      </w:r>
    </w:p>
    <w:p w14:paraId="75FB8049"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As a general comment made by the participants, the use of secure communication means is a horizontal issue that needs to be addressed across all policy options</w:t>
      </w:r>
    </w:p>
    <w:p w14:paraId="4C75791D"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idea of a LEAs app was considered as interesting by some participants</w:t>
      </w:r>
    </w:p>
    <w:p w14:paraId="51B42C78" w14:textId="77777777" w:rsidR="00B86F0E" w:rsidRPr="00B40683" w:rsidRDefault="00B86F0E" w:rsidP="00900BC7">
      <w:pPr>
        <w:pStyle w:val="ListParagraph"/>
        <w:numPr>
          <w:ilvl w:val="0"/>
          <w:numId w:val="73"/>
        </w:numPr>
        <w:spacing w:after="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Training activities</w:t>
      </w:r>
    </w:p>
    <w:p w14:paraId="081AD6C2" w14:textId="77777777" w:rsidR="00C83EDA" w:rsidRPr="00B40683" w:rsidRDefault="00C83EDA" w:rsidP="000316D9">
      <w:pPr>
        <w:spacing w:after="0" w:line="240" w:lineRule="auto"/>
        <w:contextualSpacing/>
        <w:jc w:val="both"/>
        <w:rPr>
          <w:rFonts w:ascii="Times New Roman" w:hAnsi="Times New Roman" w:cs="Times New Roman"/>
          <w:noProof/>
          <w:sz w:val="24"/>
          <w:szCs w:val="24"/>
        </w:rPr>
      </w:pPr>
    </w:p>
    <w:p w14:paraId="08AD77D1"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The </w:t>
      </w:r>
      <w:r w:rsidRPr="00B40683">
        <w:rPr>
          <w:rFonts w:ascii="Times New Roman" w:hAnsi="Times New Roman" w:cs="Times New Roman"/>
          <w:b/>
          <w:bCs/>
          <w:noProof/>
          <w:sz w:val="24"/>
          <w:szCs w:val="24"/>
        </w:rPr>
        <w:t>main strengths of the measures presented</w:t>
      </w:r>
      <w:r w:rsidRPr="00B40683">
        <w:rPr>
          <w:rFonts w:ascii="Times New Roman" w:hAnsi="Times New Roman" w:cs="Times New Roman"/>
          <w:noProof/>
          <w:sz w:val="24"/>
          <w:szCs w:val="24"/>
        </w:rPr>
        <w:t xml:space="preserve"> concerning training activities are:</w:t>
      </w:r>
    </w:p>
    <w:p w14:paraId="01DA4E44" w14:textId="77777777" w:rsidR="00B86F0E" w:rsidRPr="00B40683" w:rsidRDefault="00B86F0E" w:rsidP="00900BC7">
      <w:pPr>
        <w:pStyle w:val="ListParagraph"/>
        <w:numPr>
          <w:ilvl w:val="0"/>
          <w:numId w:val="74"/>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Additional material provided by CEPOL</w:t>
      </w:r>
    </w:p>
    <w:p w14:paraId="2EF9492A" w14:textId="77777777" w:rsidR="00B86F0E" w:rsidRPr="00B40683" w:rsidRDefault="00B86F0E" w:rsidP="00900BC7">
      <w:pPr>
        <w:pStyle w:val="ListParagraph"/>
        <w:numPr>
          <w:ilvl w:val="0"/>
          <w:numId w:val="74"/>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It is crucial for officials to be able to translate the content of trainings into practice. Therefore, the training</w:t>
      </w:r>
      <w:r w:rsidRPr="00B40683">
        <w:rPr>
          <w:rFonts w:ascii="Times New Roman" w:hAnsi="Times New Roman" w:cs="Times New Roman"/>
          <w:noProof/>
          <w:sz w:val="24"/>
          <w:szCs w:val="24"/>
        </w:rPr>
        <w:t xml:space="preserve"> should not be too complex and burdensome. An enabler in this regard could be the introduction of more harmonised legal requirements and measures at the EU and national levels.</w:t>
      </w:r>
    </w:p>
    <w:p w14:paraId="2C78AE85" w14:textId="77777777" w:rsidR="00C83EDA" w:rsidRPr="00B40683" w:rsidRDefault="00C83EDA" w:rsidP="000316D9">
      <w:pPr>
        <w:spacing w:after="0" w:line="240" w:lineRule="auto"/>
        <w:contextualSpacing/>
        <w:jc w:val="both"/>
        <w:rPr>
          <w:rFonts w:ascii="Times New Roman" w:hAnsi="Times New Roman" w:cs="Times New Roman"/>
          <w:noProof/>
          <w:sz w:val="24"/>
          <w:szCs w:val="24"/>
        </w:rPr>
      </w:pPr>
    </w:p>
    <w:p w14:paraId="2CCC0221"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The </w:t>
      </w:r>
      <w:r w:rsidRPr="00B40683">
        <w:rPr>
          <w:rFonts w:ascii="Times New Roman" w:hAnsi="Times New Roman" w:cs="Times New Roman"/>
          <w:b/>
          <w:bCs/>
          <w:noProof/>
          <w:sz w:val="24"/>
          <w:szCs w:val="24"/>
        </w:rPr>
        <w:t>main weakness of the measures presented</w:t>
      </w:r>
      <w:r w:rsidRPr="00B40683">
        <w:rPr>
          <w:rFonts w:ascii="Times New Roman" w:hAnsi="Times New Roman" w:cs="Times New Roman"/>
          <w:noProof/>
          <w:sz w:val="24"/>
          <w:szCs w:val="24"/>
        </w:rPr>
        <w:t xml:space="preserve"> concerning training activities are:</w:t>
      </w:r>
    </w:p>
    <w:p w14:paraId="297A6F5A" w14:textId="77777777" w:rsidR="00B86F0E" w:rsidRPr="00B40683" w:rsidRDefault="00B86F0E" w:rsidP="00900BC7">
      <w:pPr>
        <w:pStyle w:val="ListParagraph"/>
        <w:numPr>
          <w:ilvl w:val="0"/>
          <w:numId w:val="75"/>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Training should not be too general but targeted, both in terms of the form and the content (e.g. efficient use of SIENA)</w:t>
      </w:r>
    </w:p>
    <w:p w14:paraId="590E8E7C" w14:textId="77777777" w:rsidR="00B86F0E" w:rsidRPr="00B40683" w:rsidRDefault="00B86F0E" w:rsidP="00900BC7">
      <w:pPr>
        <w:pStyle w:val="ListParagraph"/>
        <w:numPr>
          <w:ilvl w:val="0"/>
          <w:numId w:val="75"/>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Limited availability</w:t>
      </w:r>
      <w:r w:rsidRPr="00B40683">
        <w:rPr>
          <w:rFonts w:ascii="Times New Roman" w:hAnsi="Times New Roman" w:cs="Times New Roman"/>
          <w:noProof/>
          <w:sz w:val="24"/>
          <w:szCs w:val="24"/>
        </w:rPr>
        <w:t xml:space="preserve"> of time for the officers on the ground</w:t>
      </w:r>
    </w:p>
    <w:p w14:paraId="1E7D0D21" w14:textId="77777777" w:rsidR="00C83EDA" w:rsidRPr="00B40683" w:rsidRDefault="00C83EDA" w:rsidP="000316D9">
      <w:pPr>
        <w:spacing w:after="0" w:line="240" w:lineRule="auto"/>
        <w:contextualSpacing/>
        <w:jc w:val="both"/>
        <w:rPr>
          <w:rFonts w:ascii="Times New Roman" w:hAnsi="Times New Roman" w:cs="Times New Roman"/>
          <w:b/>
          <w:bCs/>
          <w:noProof/>
          <w:sz w:val="24"/>
          <w:szCs w:val="24"/>
        </w:rPr>
      </w:pPr>
    </w:p>
    <w:p w14:paraId="3E6D7BE9"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b/>
          <w:bCs/>
          <w:noProof/>
          <w:sz w:val="24"/>
          <w:szCs w:val="24"/>
        </w:rPr>
        <w:t>Additional key comments:</w:t>
      </w:r>
    </w:p>
    <w:p w14:paraId="09377A15" w14:textId="77777777" w:rsidR="00B86F0E" w:rsidRPr="00B40683" w:rsidRDefault="00B86F0E" w:rsidP="00900BC7">
      <w:pPr>
        <w:pStyle w:val="ListParagraph"/>
        <w:numPr>
          <w:ilvl w:val="0"/>
          <w:numId w:val="76"/>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There is a need to consider the specificities of national situations and needs of specific LEAs</w:t>
      </w:r>
    </w:p>
    <w:p w14:paraId="30532257" w14:textId="77777777" w:rsidR="00B86F0E" w:rsidRPr="00B40683" w:rsidRDefault="00B86F0E" w:rsidP="00900BC7">
      <w:pPr>
        <w:pStyle w:val="ListParagraph"/>
        <w:numPr>
          <w:ilvl w:val="0"/>
          <w:numId w:val="76"/>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The focus of the training should be on practical needs, due to restricted time of officers (concentrate on the most important)</w:t>
      </w:r>
    </w:p>
    <w:p w14:paraId="00592B9E" w14:textId="77777777" w:rsidR="00B86F0E" w:rsidRPr="00B40683" w:rsidRDefault="00B86F0E" w:rsidP="00900BC7">
      <w:pPr>
        <w:pStyle w:val="ListParagraph"/>
        <w:numPr>
          <w:ilvl w:val="0"/>
          <w:numId w:val="76"/>
        </w:numPr>
        <w:spacing w:after="0" w:line="240" w:lineRule="auto"/>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Agreement on the need for language trainings (i.e. English) in order to communicate with other SPOCs</w:t>
      </w:r>
    </w:p>
    <w:p w14:paraId="77EAEEDD" w14:textId="77777777" w:rsidR="00B86F0E" w:rsidRPr="00B40683" w:rsidRDefault="00B86F0E" w:rsidP="00900BC7">
      <w:pPr>
        <w:pStyle w:val="ListParagraph"/>
        <w:numPr>
          <w:ilvl w:val="0"/>
          <w:numId w:val="76"/>
        </w:numPr>
        <w:spacing w:after="0" w:line="240" w:lineRule="auto"/>
        <w:jc w:val="both"/>
        <w:rPr>
          <w:rFonts w:ascii="Times New Roman" w:hAnsi="Times New Roman" w:cs="Times New Roman"/>
          <w:noProof/>
          <w:sz w:val="24"/>
          <w:szCs w:val="24"/>
        </w:rPr>
      </w:pPr>
      <w:r w:rsidRPr="00B40683">
        <w:rPr>
          <w:rFonts w:ascii="Times New Roman" w:hAnsi="Times New Roman" w:cs="Times New Roman"/>
          <w:iCs/>
          <w:noProof/>
          <w:sz w:val="24"/>
          <w:szCs w:val="24"/>
        </w:rPr>
        <w:t>There should</w:t>
      </w:r>
      <w:r w:rsidRPr="00B40683">
        <w:rPr>
          <w:rFonts w:ascii="Times New Roman" w:hAnsi="Times New Roman" w:cs="Times New Roman"/>
          <w:noProof/>
          <w:sz w:val="24"/>
          <w:szCs w:val="24"/>
        </w:rPr>
        <w:t xml:space="preserve"> be both, training at EU level (CEPOL) and at national level (with leading role of SPOC) for international cooperation</w:t>
      </w:r>
    </w:p>
    <w:p w14:paraId="0ADA8369" w14:textId="77777777" w:rsidR="00C83EDA" w:rsidRPr="00B40683" w:rsidRDefault="00C83EDA" w:rsidP="000316D9">
      <w:pPr>
        <w:spacing w:after="0" w:line="240" w:lineRule="auto"/>
        <w:contextualSpacing/>
        <w:jc w:val="both"/>
        <w:rPr>
          <w:rFonts w:ascii="Times New Roman" w:hAnsi="Times New Roman" w:cs="Times New Roman"/>
          <w:b/>
          <w:bCs/>
          <w:i/>
          <w:iCs/>
          <w:noProof/>
          <w:sz w:val="24"/>
          <w:szCs w:val="24"/>
        </w:rPr>
      </w:pPr>
    </w:p>
    <w:p w14:paraId="7BEFFD07" w14:textId="77777777" w:rsidR="00B86F0E" w:rsidRPr="00B40683" w:rsidRDefault="00B86F0E" w:rsidP="000316D9">
      <w:pPr>
        <w:spacing w:after="0" w:line="240" w:lineRule="auto"/>
        <w:contextualSpacing/>
        <w:jc w:val="both"/>
        <w:rPr>
          <w:rFonts w:ascii="Times New Roman" w:hAnsi="Times New Roman" w:cs="Times New Roman"/>
          <w:b/>
          <w:bCs/>
          <w:i/>
          <w:iCs/>
          <w:noProof/>
          <w:sz w:val="24"/>
          <w:szCs w:val="24"/>
        </w:rPr>
      </w:pPr>
      <w:r w:rsidRPr="00B40683">
        <w:rPr>
          <w:rFonts w:ascii="Times New Roman" w:hAnsi="Times New Roman" w:cs="Times New Roman"/>
          <w:b/>
          <w:bCs/>
          <w:i/>
          <w:iCs/>
          <w:noProof/>
          <w:sz w:val="24"/>
          <w:szCs w:val="24"/>
        </w:rPr>
        <w:t>Comments by country representatives</w:t>
      </w:r>
    </w:p>
    <w:p w14:paraId="40CAE3FD" w14:textId="77777777" w:rsidR="00C83EDA" w:rsidRPr="00B40683" w:rsidRDefault="00C83EDA" w:rsidP="000316D9">
      <w:pPr>
        <w:spacing w:after="0" w:line="240" w:lineRule="auto"/>
        <w:contextualSpacing/>
        <w:jc w:val="both"/>
        <w:rPr>
          <w:rFonts w:ascii="Times New Roman" w:hAnsi="Times New Roman" w:cs="Times New Roman"/>
          <w:b/>
          <w:bCs/>
          <w:i/>
          <w:iCs/>
          <w:noProof/>
          <w:sz w:val="24"/>
          <w:szCs w:val="24"/>
        </w:rPr>
      </w:pPr>
    </w:p>
    <w:p w14:paraId="429930DC"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LV</w:t>
      </w:r>
      <w:r w:rsidRPr="00B40683">
        <w:rPr>
          <w:rFonts w:ascii="Times New Roman" w:hAnsi="Times New Roman" w:cs="Times New Roman"/>
          <w:iCs/>
          <w:noProof/>
          <w:sz w:val="24"/>
          <w:szCs w:val="24"/>
        </w:rPr>
        <w:t xml:space="preserve"> agrees with the proposal. It is extremely important to define minimum essential mandatory requirements for the SPOC set up, position within the country, presence of judicial authority as well as essential requirements to the case management system used by SPOCs and relevant access to EU/international/national databases.</w:t>
      </w:r>
    </w:p>
    <w:p w14:paraId="09F43A7F"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BE</w:t>
      </w:r>
      <w:r w:rsidRPr="00B40683">
        <w:rPr>
          <w:rFonts w:ascii="Times New Roman" w:hAnsi="Times New Roman" w:cs="Times New Roman"/>
          <w:iCs/>
          <w:noProof/>
          <w:sz w:val="24"/>
          <w:szCs w:val="24"/>
        </w:rPr>
        <w:t xml:space="preserve"> indicates the measure is comprehensive, one point to be specified is the one about “be informed about or be responsible”, in their experience when cooperating with other countries there are strong barriers between SPOCs, PCCCs and liaison officers, that do not share databases nor CMS, are not aware of what the others do, there are no clear rules on which of the three is responsible for what. As a consequence, if you send a request to a PCCC they will provide an answer but may not be aware that a previous investigation on the topic was conducted by the SPOC, with previous exchanges of information. So there should be coordination and they should work together as a one flow of information exchange.</w:t>
      </w:r>
    </w:p>
    <w:p w14:paraId="7974D40E"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confirms that also other units deal with international cooperation, in particular specialised units such as counter-terrorism units, with their own ways of communication, as well as the customs, and all this information should be kept together. Also the lack of resources is a big issue, to deal with all the requests the SPOC would need a lot of resources, or would not be able to manage them, and this is an issue for all the countries, without qualified people, technologies, such as an integrated workflow, the issues in international cooperation are not manageable. Also training is important, end-users should be trained by the SPOC on how to tackle issues in international cooperation, as its officers should have the best knowledge and should share it, to make end-users more aware of the possibilities of cooperation.</w:t>
      </w:r>
    </w:p>
    <w:p w14:paraId="11F80697"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ES</w:t>
      </w:r>
      <w:r w:rsidRPr="00B40683">
        <w:rPr>
          <w:rFonts w:ascii="Times New Roman" w:hAnsi="Times New Roman" w:cs="Times New Roman"/>
          <w:iCs/>
          <w:noProof/>
          <w:sz w:val="24"/>
          <w:szCs w:val="24"/>
        </w:rPr>
        <w:t xml:space="preserve"> mentions that the SPOC should integrate all the relevant LEAS in the country, as per the guidelines. Moreover, the SPOC must channel the requests for all stakeholders respecting the national and international mandates as well, defining sharply the contact points, without other alternative and irregular means of information exchange.</w:t>
      </w:r>
    </w:p>
    <w:p w14:paraId="732178BD"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BG</w:t>
      </w:r>
      <w:r w:rsidRPr="00B40683">
        <w:rPr>
          <w:rFonts w:ascii="Times New Roman" w:hAnsi="Times New Roman" w:cs="Times New Roman"/>
          <w:iCs/>
          <w:noProof/>
          <w:sz w:val="24"/>
          <w:szCs w:val="24"/>
        </w:rPr>
        <w:t xml:space="preserve"> thinks that SPOCs should also be responsible for bilateral/regional cooperation, together with PCCCs. The minimum requirements for SPOC structure are mentioned in the SPOC Guidelines for international law enforcement information exchange in the framework of the DAPIX Working Group (nowadays IXIM Working Party). Agrees that SPOCs should also have a main role in training police officers, for example on which channels should be used for international cooperation.</w:t>
      </w:r>
    </w:p>
    <w:p w14:paraId="6621D91A"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DE</w:t>
      </w:r>
      <w:r w:rsidRPr="00B40683">
        <w:rPr>
          <w:rFonts w:ascii="Times New Roman" w:hAnsi="Times New Roman" w:cs="Times New Roman"/>
          <w:iCs/>
          <w:noProof/>
          <w:sz w:val="24"/>
          <w:szCs w:val="24"/>
        </w:rPr>
        <w:t xml:space="preserve"> notes that some of these points are not applicable to Germany for its constitutional background as federal republic, because they have 16 police forces (one for each Länder) and the Federal Police, and an integrated CMS and access to all databases are limited, so the measures should be adaptable by MS to their own national legislation and constitution. Moreover, merging PCCCs and SPOC in one structure would limit the capabilities of PCCCs.</w:t>
      </w:r>
    </w:p>
    <w:p w14:paraId="3B92B0C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BE</w:t>
      </w:r>
      <w:r w:rsidRPr="00B40683">
        <w:rPr>
          <w:rFonts w:ascii="Times New Roman" w:hAnsi="Times New Roman" w:cs="Times New Roman"/>
          <w:iCs/>
          <w:noProof/>
          <w:sz w:val="24"/>
          <w:szCs w:val="24"/>
        </w:rPr>
        <w:t xml:space="preserve"> affirms that it was not pleading for merging PCCCs and SPOCs, but to make sure that their respective workflows are coordinated and integrated. So that SPOC knows what PCCCs and LOs do and vice versa, without duplications and have parallel information exchanges. Being informed about each other’s actions is the minimum, ideally there should be some common CMS to automatically see this. But each should keep their competencies and specialty. On the question of whether the SPOC should be responsible for, the organisational level is an internal issue of the MS, for example in Belgium the SPOC, LOs and PCCCs are part of the same directorate, but the LOs are independent while the PCCCs are part of the SPOC.</w:t>
      </w:r>
    </w:p>
    <w:p w14:paraId="0593D50D"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NL</w:t>
      </w:r>
      <w:r w:rsidRPr="00B40683">
        <w:rPr>
          <w:rFonts w:ascii="Times New Roman" w:hAnsi="Times New Roman" w:cs="Times New Roman"/>
          <w:iCs/>
          <w:noProof/>
          <w:sz w:val="24"/>
          <w:szCs w:val="24"/>
        </w:rPr>
        <w:t xml:space="preserve"> indicates that it is not clear which databases the Commission has in mind for the point on full access EU LE databases – and to what extent there will be access to these databases.</w:t>
      </w:r>
    </w:p>
    <w:p w14:paraId="13610DA5"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LU</w:t>
      </w:r>
      <w:r w:rsidRPr="00B40683">
        <w:rPr>
          <w:rFonts w:ascii="Times New Roman" w:hAnsi="Times New Roman" w:cs="Times New Roman"/>
          <w:iCs/>
          <w:noProof/>
          <w:sz w:val="24"/>
          <w:szCs w:val="24"/>
        </w:rPr>
        <w:t xml:space="preserve"> indicates that the problem is always national implementation and national interpretation.</w:t>
      </w:r>
    </w:p>
    <w:p w14:paraId="0D553615"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LV</w:t>
      </w:r>
      <w:r w:rsidRPr="00B40683">
        <w:rPr>
          <w:rFonts w:ascii="Times New Roman" w:hAnsi="Times New Roman" w:cs="Times New Roman"/>
          <w:iCs/>
          <w:noProof/>
          <w:sz w:val="24"/>
          <w:szCs w:val="24"/>
        </w:rPr>
        <w:t xml:space="preserve"> agrees with the colleagues regarding national implementation and interpretation. The national implementation of different guidelines creates sort of misunderstanding, misleading on the use of communication channels, info exchange etc. And it is hard to allocate adequate resources, organise training taking into account the current workload and a huge amount of work to be done manually.</w:t>
      </w:r>
    </w:p>
    <w:p w14:paraId="19086D84"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DE</w:t>
      </w:r>
      <w:r w:rsidRPr="00B40683">
        <w:rPr>
          <w:rFonts w:ascii="Times New Roman" w:hAnsi="Times New Roman" w:cs="Times New Roman"/>
          <w:iCs/>
          <w:noProof/>
          <w:sz w:val="24"/>
          <w:szCs w:val="24"/>
        </w:rPr>
        <w:t xml:space="preserve"> points out that an additional core issue - already in context of the set-up of SPOCs - is automation. The increasing amount of international data exchange (in comparison with limited human resources in the SPOCs) shows a clear need to establish automated processes.</w:t>
      </w:r>
    </w:p>
    <w:p w14:paraId="735E2908"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LV</w:t>
      </w:r>
      <w:r w:rsidRPr="00B40683">
        <w:rPr>
          <w:rFonts w:ascii="Times New Roman" w:hAnsi="Times New Roman" w:cs="Times New Roman"/>
          <w:iCs/>
          <w:noProof/>
          <w:sz w:val="24"/>
          <w:szCs w:val="24"/>
        </w:rPr>
        <w:t xml:space="preserve"> indicates that the SPOC shall be the main coordinator for international info exchange.</w:t>
      </w:r>
    </w:p>
    <w:p w14:paraId="7E590E11"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LT</w:t>
      </w:r>
      <w:r w:rsidRPr="00B40683">
        <w:rPr>
          <w:rFonts w:ascii="Times New Roman" w:hAnsi="Times New Roman" w:cs="Times New Roman"/>
          <w:iCs/>
          <w:noProof/>
          <w:sz w:val="24"/>
          <w:szCs w:val="24"/>
        </w:rPr>
        <w:t xml:space="preserve"> proposes that in order not to duplicate information between SPOC and PCCC, there should be one common management system which allows you to cross check info.</w:t>
      </w:r>
    </w:p>
    <w:p w14:paraId="397D8D40"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indicates that SPOCs must have an overview and that it is probably not possible SPOCs manage every request, but must know about it. So the request may be done by PCCC, but information must be available - both to SPOC and all PCCCs. This avoids duplication and loss of information. Common systems solve this. On the point of having a judicial authority available 24/7, also this may be related to internal organisation of MS, but it is important to emphasise the importance of the availability of judicial measures for the SPOCs, for example in CZ some measures allow for centralisation and some others, such as arrest, not, as the legal base make it not possible to centralise decision in one judge or public prosecutor sitting in the SPOC, so the solution should allow to find rapidly the right one. So the solution is to make judicial support available.</w:t>
      </w:r>
    </w:p>
    <w:p w14:paraId="20A09975"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DE</w:t>
      </w:r>
      <w:r w:rsidRPr="00B40683">
        <w:rPr>
          <w:rFonts w:ascii="Times New Roman" w:hAnsi="Times New Roman" w:cs="Times New Roman"/>
          <w:iCs/>
          <w:noProof/>
          <w:sz w:val="24"/>
          <w:szCs w:val="24"/>
        </w:rPr>
        <w:t xml:space="preserve"> clarifies that having clear rules would support officers under pressure in choosing the right channel to ask questions to international partners, and make it quicker to receive an answer, as it would not be needed to transfer the question to the right office.</w:t>
      </w:r>
    </w:p>
    <w:p w14:paraId="4C2BE2BD"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CH</w:t>
      </w:r>
      <w:r w:rsidRPr="00B40683">
        <w:rPr>
          <w:rFonts w:ascii="Times New Roman" w:hAnsi="Times New Roman" w:cs="Times New Roman"/>
          <w:iCs/>
          <w:noProof/>
          <w:sz w:val="24"/>
          <w:szCs w:val="24"/>
        </w:rPr>
        <w:t xml:space="preserve"> mentions that access to most relevant databases at one spot reduces the time.</w:t>
      </w:r>
    </w:p>
    <w:p w14:paraId="4AA64034"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DK</w:t>
      </w:r>
      <w:r w:rsidRPr="00B40683">
        <w:rPr>
          <w:rFonts w:ascii="Times New Roman" w:hAnsi="Times New Roman" w:cs="Times New Roman"/>
          <w:iCs/>
          <w:noProof/>
          <w:sz w:val="24"/>
          <w:szCs w:val="24"/>
        </w:rPr>
        <w:t xml:space="preserve"> suggests that making data available for all Member States is also important. There are databases that should be feed by MS but are not. In the SIENA system, many MS sent requests to everybody, even for minor cases, while with this base of available data they could be more specific in choosing the MS and not contact everybody if not necessary, making time savings. So important to share data with Europol and in the EIS. There is a Council Decision about the information system saying that MS should share more information, so if data is available, they could save some time in SPOCs.</w:t>
      </w:r>
    </w:p>
    <w:p w14:paraId="66F9F908"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BG</w:t>
      </w:r>
      <w:r w:rsidRPr="00B40683">
        <w:rPr>
          <w:rFonts w:ascii="Times New Roman" w:hAnsi="Times New Roman" w:cs="Times New Roman"/>
          <w:iCs/>
          <w:noProof/>
          <w:sz w:val="24"/>
          <w:szCs w:val="24"/>
        </w:rPr>
        <w:t xml:space="preserve"> indicates that if the SPOC officers (or even LE officers) have direct access to the relevant EU databases (SIS, ECRIS, EUCARIS, future Prüm revision) the information exchange will speed up and there are recommended Do’s and Don’ts in the Practical Advisor to the Manual on Law Enforcement Information Exchange.</w:t>
      </w:r>
    </w:p>
    <w:p w14:paraId="1ED3A88F"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ES</w:t>
      </w:r>
      <w:r w:rsidRPr="00B40683">
        <w:rPr>
          <w:rFonts w:ascii="Times New Roman" w:hAnsi="Times New Roman" w:cs="Times New Roman"/>
          <w:iCs/>
          <w:noProof/>
          <w:sz w:val="24"/>
          <w:szCs w:val="24"/>
        </w:rPr>
        <w:t xml:space="preserve"> is concerned about the incentives for PCCCs to use these services that are normally centralised. PCCCs should be coordinated by the SPOC, using for example the same CMS.</w:t>
      </w:r>
    </w:p>
    <w:p w14:paraId="38F64B1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 xml:space="preserve">CZ </w:t>
      </w:r>
      <w:r w:rsidRPr="00B40683">
        <w:rPr>
          <w:rFonts w:ascii="Times New Roman" w:hAnsi="Times New Roman" w:cs="Times New Roman"/>
          <w:iCs/>
          <w:noProof/>
          <w:sz w:val="24"/>
          <w:szCs w:val="24"/>
        </w:rPr>
        <w:t>indicates that Eucaris is not an Interpol database. Any police officer has access to SIS, so no need to mention as special with PCCC. Another point is Europol database - there are restricted access and not for PCCC, Concerning Eucaris - in our circumstances again all officers have access. Most crucial with PCCC is to have safe channel to exchange the information and to share and be co-ordinated with SPOC. PCCC is in fact one of the channel.</w:t>
      </w:r>
    </w:p>
    <w:p w14:paraId="5BAAB233"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 xml:space="preserve">BG </w:t>
      </w:r>
      <w:r w:rsidRPr="00B40683">
        <w:rPr>
          <w:rFonts w:ascii="Times New Roman" w:hAnsi="Times New Roman" w:cs="Times New Roman"/>
          <w:iCs/>
          <w:noProof/>
          <w:sz w:val="24"/>
          <w:szCs w:val="24"/>
        </w:rPr>
        <w:t>indicates that concerning the PCCC - their competences, information exchange channel, access to the databases depends on the bilateral/trilateral agreement among the MS</w:t>
      </w:r>
    </w:p>
    <w:p w14:paraId="3E83455D"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mentions that SPOCs have a specific role, e.g. for Europol databases, which is not for all officers. Or due to expert knowledge about the SIS or Interpol databases. Not to make queries, but to explain the outcome. Moreover, the SPOC operates 24/7. This is must already. SPOC works 24/7 in all countries. The question is whether all authorities or channels are covered.</w:t>
      </w:r>
    </w:p>
    <w:p w14:paraId="4D08DDC5"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CH</w:t>
      </w:r>
      <w:r w:rsidRPr="00B40683">
        <w:rPr>
          <w:rFonts w:ascii="Times New Roman" w:hAnsi="Times New Roman" w:cs="Times New Roman"/>
          <w:iCs/>
          <w:noProof/>
          <w:sz w:val="24"/>
          <w:szCs w:val="24"/>
        </w:rPr>
        <w:t xml:space="preserve"> raises the question if there is any SPOC that does not operate 24/7. </w:t>
      </w:r>
      <w:r w:rsidRPr="00B40683">
        <w:rPr>
          <w:rFonts w:ascii="Times New Roman" w:hAnsi="Times New Roman" w:cs="Times New Roman"/>
          <w:b/>
          <w:bCs/>
          <w:iCs/>
          <w:noProof/>
          <w:sz w:val="24"/>
          <w:szCs w:val="24"/>
        </w:rPr>
        <w:t>ES</w:t>
      </w:r>
      <w:r w:rsidRPr="00B40683">
        <w:rPr>
          <w:rFonts w:ascii="Times New Roman" w:hAnsi="Times New Roman" w:cs="Times New Roman"/>
          <w:iCs/>
          <w:noProof/>
          <w:sz w:val="24"/>
          <w:szCs w:val="24"/>
        </w:rPr>
        <w:t xml:space="preserve"> confirms that </w:t>
      </w:r>
      <w:r w:rsidRPr="00B40683">
        <w:rPr>
          <w:rFonts w:ascii="Times New Roman" w:hAnsi="Times New Roman" w:cs="Times New Roman"/>
          <w:b/>
          <w:bCs/>
          <w:iCs/>
          <w:noProof/>
          <w:sz w:val="24"/>
          <w:szCs w:val="24"/>
        </w:rPr>
        <w:t>ES</w:t>
      </w:r>
      <w:r w:rsidRPr="00B40683">
        <w:rPr>
          <w:rFonts w:ascii="Times New Roman" w:hAnsi="Times New Roman" w:cs="Times New Roman"/>
          <w:iCs/>
          <w:noProof/>
          <w:sz w:val="24"/>
          <w:szCs w:val="24"/>
        </w:rPr>
        <w:t xml:space="preserve"> offers a 24/7 service. </w:t>
      </w:r>
      <w:r w:rsidRPr="00B40683">
        <w:rPr>
          <w:rFonts w:ascii="Times New Roman" w:hAnsi="Times New Roman" w:cs="Times New Roman"/>
          <w:b/>
          <w:bCs/>
          <w:iCs/>
          <w:noProof/>
          <w:sz w:val="24"/>
          <w:szCs w:val="24"/>
        </w:rPr>
        <w:t>BG</w:t>
      </w:r>
      <w:r w:rsidRPr="00B40683">
        <w:rPr>
          <w:rFonts w:ascii="Times New Roman" w:hAnsi="Times New Roman" w:cs="Times New Roman"/>
          <w:iCs/>
          <w:noProof/>
          <w:sz w:val="24"/>
          <w:szCs w:val="24"/>
        </w:rPr>
        <w:t xml:space="preserve"> agrees that concerning the 24/7 operating of SPOC it should be taken into account that not all ENU are 24/7 operational because there is no obligation in the current Europol regulation.</w:t>
      </w:r>
    </w:p>
    <w:p w14:paraId="6830B85D"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SI</w:t>
      </w:r>
      <w:r w:rsidRPr="00B40683">
        <w:rPr>
          <w:rFonts w:ascii="Times New Roman" w:hAnsi="Times New Roman" w:cs="Times New Roman"/>
          <w:iCs/>
          <w:noProof/>
          <w:sz w:val="24"/>
          <w:szCs w:val="24"/>
        </w:rPr>
        <w:t xml:space="preserve"> mention that duplication can be avoided but there would be costs for MS to implement CMS.</w:t>
      </w:r>
    </w:p>
    <w:p w14:paraId="301DB3E8"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NL</w:t>
      </w:r>
      <w:r w:rsidRPr="00B40683">
        <w:rPr>
          <w:rFonts w:ascii="Times New Roman" w:hAnsi="Times New Roman" w:cs="Times New Roman"/>
          <w:iCs/>
          <w:noProof/>
          <w:sz w:val="24"/>
          <w:szCs w:val="24"/>
        </w:rPr>
        <w:t xml:space="preserve"> points to potential privacy issues.</w:t>
      </w:r>
    </w:p>
    <w:p w14:paraId="7E8BA93D"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 xml:space="preserve">ES </w:t>
      </w:r>
      <w:r w:rsidRPr="00B40683">
        <w:rPr>
          <w:rFonts w:ascii="Times New Roman" w:hAnsi="Times New Roman" w:cs="Times New Roman"/>
          <w:iCs/>
          <w:noProof/>
          <w:sz w:val="24"/>
          <w:szCs w:val="24"/>
        </w:rPr>
        <w:t>indicates that there could be information from three different sources mixed, with different kinds of protections, so it would be important to check this is compliant with relevant legislation.</w:t>
      </w:r>
    </w:p>
    <w:p w14:paraId="4EE880D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DE</w:t>
      </w:r>
      <w:r w:rsidRPr="00B40683">
        <w:rPr>
          <w:rFonts w:ascii="Times New Roman" w:hAnsi="Times New Roman" w:cs="Times New Roman"/>
          <w:iCs/>
          <w:noProof/>
          <w:sz w:val="24"/>
          <w:szCs w:val="24"/>
        </w:rPr>
        <w:t xml:space="preserve"> suggests there could be issues with access rights to different services represented in PCCCs.</w:t>
      </w:r>
    </w:p>
    <w:p w14:paraId="48A2D546"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BE</w:t>
      </w:r>
      <w:r w:rsidRPr="00B40683">
        <w:rPr>
          <w:rFonts w:ascii="Times New Roman" w:hAnsi="Times New Roman" w:cs="Times New Roman"/>
          <w:iCs/>
          <w:noProof/>
          <w:sz w:val="24"/>
          <w:szCs w:val="24"/>
        </w:rPr>
        <w:t xml:space="preserve"> mentions that there is a technical solution to the fact that different services are in PCCCs, certain aspects and certain information in the CMS can be made not accessible to everybody, so different components can access only their part. Moreover, the universal message format should be taken into account, there is project at EU level on this, the information exchanged between MS should be structured in a certain way to make the CMS work well, helping to deal with the messages.</w:t>
      </w:r>
    </w:p>
    <w:p w14:paraId="29DCC83B"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adds that 1) CMS should have automatic functions (e.g. automatic query on incoming request in the databases), 2) CMS shall be integrated with all channels, 3) CMS should be common to SPOCs and PCCCs to ensure that there is a sharing of information and avoidance of duplications, 4) there should be 24/7 technical support, 5) there should be also statistical tools.</w:t>
      </w:r>
    </w:p>
    <w:p w14:paraId="15FA453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ES</w:t>
      </w:r>
      <w:r w:rsidRPr="00B40683">
        <w:rPr>
          <w:rFonts w:ascii="Times New Roman" w:hAnsi="Times New Roman" w:cs="Times New Roman"/>
          <w:iCs/>
          <w:noProof/>
          <w:sz w:val="24"/>
          <w:szCs w:val="24"/>
        </w:rPr>
        <w:t xml:space="preserve"> confirms that the structure of the messages is provided by SIS forms, SIENA and Interpol messages are free-form, and hard to pattern, but solutions as UMF can be used for entities exchange.</w:t>
      </w:r>
    </w:p>
    <w:p w14:paraId="3D3D46C3"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BG</w:t>
      </w:r>
      <w:r w:rsidRPr="00B40683">
        <w:rPr>
          <w:rFonts w:ascii="Times New Roman" w:hAnsi="Times New Roman" w:cs="Times New Roman"/>
          <w:iCs/>
          <w:noProof/>
          <w:sz w:val="24"/>
          <w:szCs w:val="24"/>
        </w:rPr>
        <w:t xml:space="preserve"> confirms that parts of proposed measures for SIENA are already in place.</w:t>
      </w:r>
    </w:p>
    <w:p w14:paraId="72D0782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SE</w:t>
      </w:r>
      <w:r w:rsidRPr="00B40683">
        <w:rPr>
          <w:rFonts w:ascii="Times New Roman" w:hAnsi="Times New Roman" w:cs="Times New Roman"/>
          <w:iCs/>
          <w:noProof/>
          <w:sz w:val="24"/>
          <w:szCs w:val="24"/>
        </w:rPr>
        <w:t xml:space="preserve"> indicates that the Covid-19 pandemic has clarified the need for one or more tools to secure virtual meetings for customs and other law enforcement authorities with the ability to join the tool/s, regardless of their location nationally. As we understand it Europol has a task to forward a proposal for solutions (building on SIENA). SE Customs use SIENA very frequently.</w:t>
      </w:r>
    </w:p>
    <w:p w14:paraId="429DB3A0"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SI</w:t>
      </w:r>
      <w:r w:rsidRPr="00B40683">
        <w:rPr>
          <w:rFonts w:ascii="Times New Roman" w:hAnsi="Times New Roman" w:cs="Times New Roman"/>
          <w:iCs/>
          <w:noProof/>
          <w:sz w:val="24"/>
          <w:szCs w:val="24"/>
        </w:rPr>
        <w:t xml:space="preserve"> mentions that SIENA is developing all the time. The problem which we see is that it is not monitored 24/7 in all MS.</w:t>
      </w:r>
    </w:p>
    <w:p w14:paraId="3700E3F5"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ES</w:t>
      </w:r>
      <w:r w:rsidRPr="00B40683">
        <w:rPr>
          <w:rFonts w:ascii="Times New Roman" w:hAnsi="Times New Roman" w:cs="Times New Roman"/>
          <w:iCs/>
          <w:noProof/>
          <w:sz w:val="24"/>
          <w:szCs w:val="24"/>
        </w:rPr>
        <w:t xml:space="preserve"> think the bulk of the design of those tool falls into SPOCs, as long as SIENA web services APIs are provided by Europol. Maybe redesigning the SIENA interface is a tall task ...</w:t>
      </w:r>
    </w:p>
    <w:p w14:paraId="3835F7E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explains that SIENA is a complex tool, and its application as a secure communication channel could be questioned. So the focus should be only on one solution, but on the need for police cooperation to have a secure channel of communication. SPOCs use secure channels but police officers use whatever they find. SIENA have different meanings, it is a full application, and it is restricted so could not be linked easily with other systems for all police officers to use it. The secure communication between PCCCs is done also via sTESTA which is probably more general - only the "cable" not the full "app" as it is SIENA. Major point is to make clear rules which channel is used and bring structure to those not structured so far (as SIRENE has complete structured messages e.g.).</w:t>
      </w:r>
    </w:p>
    <w:p w14:paraId="097376B1"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NL</w:t>
      </w:r>
      <w:r w:rsidRPr="00B40683">
        <w:rPr>
          <w:rFonts w:ascii="Times New Roman" w:hAnsi="Times New Roman" w:cs="Times New Roman"/>
          <w:iCs/>
          <w:noProof/>
          <w:sz w:val="24"/>
          <w:szCs w:val="24"/>
        </w:rPr>
        <w:t xml:space="preserve"> indicates that a crucial aspect is that we still wish to exchange information through for example our liaison officers throughout Europe. And we should not forget the 24/7 channel from the Budapest Convention. We do however have the opinion that information exchange over Europol should prevail Interpol.</w:t>
      </w:r>
    </w:p>
    <w:p w14:paraId="2D9D12C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 xml:space="preserve">DE </w:t>
      </w:r>
      <w:r w:rsidRPr="00B40683">
        <w:rPr>
          <w:rFonts w:ascii="Times New Roman" w:hAnsi="Times New Roman" w:cs="Times New Roman"/>
          <w:iCs/>
          <w:noProof/>
          <w:sz w:val="24"/>
          <w:szCs w:val="24"/>
        </w:rPr>
        <w:t>explains that PCCCs have to use specific secure channels, and not everybody is aware of it.</w:t>
      </w:r>
    </w:p>
    <w:p w14:paraId="7DE567A0"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BG</w:t>
      </w:r>
      <w:r w:rsidRPr="00B40683">
        <w:rPr>
          <w:rFonts w:ascii="Times New Roman" w:hAnsi="Times New Roman" w:cs="Times New Roman"/>
          <w:iCs/>
          <w:noProof/>
          <w:sz w:val="24"/>
          <w:szCs w:val="24"/>
        </w:rPr>
        <w:t xml:space="preserve"> indicates that the general rules for the choice of the channel, to comply with the mandates of Europol, Interpol, SIS and all other channels for cooperation and information exchange should be taken into account. SIENA is very user friendly for information exchange in English, the default language. As far as she knows, there are a lot of initiative in the SIENA roadmap that will simplify information exchange between LEAs, but it could not be default channel for cooperation, Europol has operational agreements with third countries, so SIENA can be used also with them, but the choice is on the MS.</w:t>
      </w:r>
    </w:p>
    <w:p w14:paraId="64C56C7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ES</w:t>
      </w:r>
      <w:r w:rsidRPr="00B40683">
        <w:rPr>
          <w:rFonts w:ascii="Times New Roman" w:hAnsi="Times New Roman" w:cs="Times New Roman"/>
          <w:iCs/>
          <w:noProof/>
          <w:sz w:val="24"/>
          <w:szCs w:val="24"/>
        </w:rPr>
        <w:t xml:space="preserve"> explains that SIENA is more than the interface, and we can exploit the channel and its advantages without using the interface. The structure of the messages can be provided technically in the CMS, via templates, SIS style. Good starting point is devising a catalogue of usual communications amongst MS, and normalise those more frequent.</w:t>
      </w:r>
    </w:p>
    <w:p w14:paraId="04DE2D0E"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confirms the need to harmonise the use of channels in MS. Which does not mean prioritise just one, but making clear rules of use for all, to which channel should be used and for what. Technical solutions then can be found. Also the speed/way of reply is now different for channels and this shall be also considered. We need harmonisation and common standards, which would help.</w:t>
      </w:r>
    </w:p>
    <w:p w14:paraId="5A732B2E"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FR</w:t>
      </w:r>
      <w:r w:rsidRPr="00B40683">
        <w:rPr>
          <w:rFonts w:ascii="Times New Roman" w:hAnsi="Times New Roman" w:cs="Times New Roman"/>
          <w:iCs/>
          <w:noProof/>
          <w:sz w:val="24"/>
          <w:szCs w:val="24"/>
        </w:rPr>
        <w:t xml:space="preserve"> responds that due to an intensive exchange of information with neighbouring third countries (Maghreb), they would not recommend to establish SIENA as a default channel since we need to copy EU MS in these exchange via INTERPOL, or they will not see the exchanges happening with third countries.</w:t>
      </w:r>
    </w:p>
    <w:p w14:paraId="0F4C6D4A"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ES</w:t>
      </w:r>
      <w:r w:rsidRPr="00B40683">
        <w:rPr>
          <w:rFonts w:ascii="Times New Roman" w:hAnsi="Times New Roman" w:cs="Times New Roman"/>
          <w:iCs/>
          <w:noProof/>
          <w:sz w:val="24"/>
          <w:szCs w:val="24"/>
        </w:rPr>
        <w:t xml:space="preserve"> responds that for FR, that could be solved if the CMS is able to integrate communications from different sources in the same case files.</w:t>
      </w:r>
    </w:p>
    <w:p w14:paraId="020960BD"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BE</w:t>
      </w:r>
      <w:r w:rsidRPr="00B40683">
        <w:rPr>
          <w:rFonts w:ascii="Times New Roman" w:hAnsi="Times New Roman" w:cs="Times New Roman"/>
          <w:iCs/>
          <w:noProof/>
          <w:sz w:val="24"/>
          <w:szCs w:val="24"/>
        </w:rPr>
        <w:t xml:space="preserve"> explains that for FR, the rule could be that SIENA is preferred channel for purely intra-EU communication, but that once a third country is involved, Interpol becomes the preferred channel?</w:t>
      </w:r>
    </w:p>
    <w:p w14:paraId="3CD0F69F"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 xml:space="preserve">ES </w:t>
      </w:r>
      <w:r w:rsidRPr="00B40683">
        <w:rPr>
          <w:rFonts w:ascii="Times New Roman" w:hAnsi="Times New Roman" w:cs="Times New Roman"/>
          <w:iCs/>
          <w:noProof/>
          <w:sz w:val="24"/>
          <w:szCs w:val="24"/>
        </w:rPr>
        <w:t>explains that for CZ the problem is that sometimes the channel is identified with a certain unit, with different resources and backlogs. Integration of the channels under same structures could relieve the load.</w:t>
      </w:r>
    </w:p>
    <w:p w14:paraId="379201F0"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responds that to the recent point on secure tool - this definitely covers the needs of officers for tool for secure individual communication. However there is question how to ensure, that with this secure bilateral communication between individual officers we do not miss some information which otherwise will go via e.g. SPOC.</w:t>
      </w:r>
    </w:p>
    <w:p w14:paraId="77612C4D"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points out that there are many interesting parts from different MS and agencies and suggests that all best practices could be put together in one. Furthermore, CZ points to the topic of complex training. At present, there are mostly specialised trainings which often serve as the only channel or are the only training available in a specific area. CZ explains that there is sometimes even competition for certain tools or channels which is confusing for police officers in the streets. Police officers on the ground need solutions and do not care how it will be done. </w:t>
      </w:r>
    </w:p>
    <w:p w14:paraId="65ED7730"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BG</w:t>
      </w:r>
      <w:r w:rsidRPr="00B40683">
        <w:rPr>
          <w:rFonts w:ascii="Times New Roman" w:hAnsi="Times New Roman" w:cs="Times New Roman"/>
          <w:iCs/>
          <w:noProof/>
          <w:sz w:val="24"/>
          <w:szCs w:val="24"/>
        </w:rPr>
        <w:t xml:space="preserve"> asks that there should be trainings both on EU level (CEPOL) and on national level (with leading role of SPOC) for international cooperation</w:t>
      </w:r>
    </w:p>
    <w:p w14:paraId="620257F5"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BE</w:t>
      </w:r>
      <w:r w:rsidRPr="00B40683">
        <w:rPr>
          <w:rFonts w:ascii="Times New Roman" w:hAnsi="Times New Roman" w:cs="Times New Roman"/>
          <w:iCs/>
          <w:noProof/>
          <w:sz w:val="24"/>
          <w:szCs w:val="24"/>
        </w:rPr>
        <w:t xml:space="preserve"> confirms that they are in favour of EU trainings provided by CEPOL or others, it is lacking at the moment. But the national implementation of EU legislation is always different, so we have to respect these differences, there should not be a unique handbook for trainings, but more targeted parts and courses, for instance on the use of SIENA, that could be integrated in the national framework.</w:t>
      </w:r>
    </w:p>
    <w:p w14:paraId="0EF544F2"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explains that it is good to have a framework at EU level that is implemented than at national level. There should be differentiated trainings for officers depending on their role, as there are different needs, those in the streets receive a lot of information and trainings and thus trainings should focus on the practical needs of the officers, trying to keep it simple. Also helping would be an overall harmonisation of cooperation rules, a common framework would make also training simpler. The use of English should be necessary knowledge. Thus the training must be different for different groups and focus must be very practical.</w:t>
      </w:r>
    </w:p>
    <w:p w14:paraId="7262C3D0"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BG</w:t>
      </w:r>
      <w:r w:rsidRPr="00B40683">
        <w:rPr>
          <w:rFonts w:ascii="Times New Roman" w:hAnsi="Times New Roman" w:cs="Times New Roman"/>
          <w:iCs/>
          <w:noProof/>
          <w:sz w:val="24"/>
          <w:szCs w:val="24"/>
        </w:rPr>
        <w:t xml:space="preserve"> indicates that there should be dedicated trainings both for law enforcement authorities and for the SPOC officers (currently there is ATHENA 2 project) for all tools/legal acts/channels for LE cooperation.</w:t>
      </w:r>
    </w:p>
    <w:p w14:paraId="51FF02D7"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CH</w:t>
      </w:r>
      <w:r w:rsidRPr="00B40683">
        <w:rPr>
          <w:rFonts w:ascii="Times New Roman" w:hAnsi="Times New Roman" w:cs="Times New Roman"/>
          <w:iCs/>
          <w:noProof/>
          <w:sz w:val="24"/>
          <w:szCs w:val="24"/>
        </w:rPr>
        <w:t xml:space="preserve"> points to different functions with different needs. Not all law enforcement officers work internationally or with other languages. Some work with their neighbouring countries who speak the same language.</w:t>
      </w:r>
    </w:p>
    <w:p w14:paraId="3F1CCABF"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b/>
          <w:bCs/>
          <w:iCs/>
          <w:noProof/>
          <w:sz w:val="24"/>
          <w:szCs w:val="24"/>
        </w:rPr>
        <w:t>CZ</w:t>
      </w:r>
      <w:r w:rsidRPr="00B40683">
        <w:rPr>
          <w:rFonts w:ascii="Times New Roman" w:hAnsi="Times New Roman" w:cs="Times New Roman"/>
          <w:iCs/>
          <w:noProof/>
          <w:sz w:val="24"/>
          <w:szCs w:val="24"/>
        </w:rPr>
        <w:t xml:space="preserve"> indicates that police cooperation is necessary and this needs to be made clear to all officers, not to care only on their district, create an atmosphere and feeling going beyond technical and legal solutions to make it work.</w:t>
      </w:r>
    </w:p>
    <w:p w14:paraId="4E9AD6A8" w14:textId="77777777" w:rsidR="00C83EDA" w:rsidRPr="00155C13" w:rsidRDefault="00C83EDA" w:rsidP="000316D9">
      <w:pPr>
        <w:spacing w:after="0" w:line="240" w:lineRule="auto"/>
        <w:contextualSpacing/>
        <w:jc w:val="both"/>
        <w:rPr>
          <w:rFonts w:ascii="Verdana" w:hAnsi="Verdana" w:cs="Times New Roman"/>
          <w:b/>
          <w:bCs/>
          <w:noProof/>
        </w:rPr>
      </w:pPr>
    </w:p>
    <w:p w14:paraId="2529B9A2" w14:textId="77777777" w:rsidR="00B86F0E" w:rsidRPr="00B40683" w:rsidRDefault="00B86F0E" w:rsidP="000316D9">
      <w:pPr>
        <w:spacing w:after="0" w:line="240" w:lineRule="auto"/>
        <w:contextualSpacing/>
        <w:jc w:val="both"/>
        <w:rPr>
          <w:rFonts w:ascii="Times New Roman" w:hAnsi="Times New Roman" w:cs="Times New Roman"/>
          <w:b/>
          <w:noProof/>
          <w:sz w:val="24"/>
          <w:szCs w:val="24"/>
          <w:lang w:val="en-GB"/>
        </w:rPr>
      </w:pPr>
      <w:r w:rsidRPr="00B40683">
        <w:rPr>
          <w:rFonts w:ascii="Times New Roman" w:hAnsi="Times New Roman" w:cs="Times New Roman"/>
          <w:b/>
          <w:noProof/>
          <w:sz w:val="24"/>
          <w:szCs w:val="24"/>
          <w:lang w:val="en-GB"/>
        </w:rPr>
        <w:t xml:space="preserve">Second plenary session </w:t>
      </w:r>
    </w:p>
    <w:p w14:paraId="4CC34415"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Following the breakout sessions, a summary of the results of each breakout session was presented and put to discussion by the contractor in the plenary (Please see the specific results for each breakout session above)</w:t>
      </w:r>
    </w:p>
    <w:p w14:paraId="7A17B75C" w14:textId="77777777" w:rsidR="00CC7EC2" w:rsidRPr="00B40683" w:rsidRDefault="00CC7EC2" w:rsidP="000316D9">
      <w:pPr>
        <w:spacing w:after="0" w:line="240" w:lineRule="auto"/>
        <w:contextualSpacing/>
        <w:jc w:val="both"/>
        <w:rPr>
          <w:rFonts w:ascii="Times New Roman" w:hAnsi="Times New Roman" w:cs="Times New Roman"/>
          <w:iCs/>
          <w:noProof/>
          <w:sz w:val="24"/>
          <w:szCs w:val="24"/>
        </w:rPr>
      </w:pPr>
    </w:p>
    <w:p w14:paraId="7AE24D8A"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As horizontal points, a clarification of definitions and processes, supporting soft measures, such as training activities, as well as increased funding from the EU for cross-border police cooperation were mentioned as helpful via the chat function.</w:t>
      </w:r>
    </w:p>
    <w:p w14:paraId="56C5908E" w14:textId="77777777" w:rsidR="00CC7EC2" w:rsidRPr="00B40683" w:rsidRDefault="00CC7EC2" w:rsidP="000316D9">
      <w:pPr>
        <w:spacing w:after="0" w:line="240" w:lineRule="auto"/>
        <w:contextualSpacing/>
        <w:jc w:val="both"/>
        <w:rPr>
          <w:rFonts w:ascii="Times New Roman" w:hAnsi="Times New Roman" w:cs="Times New Roman"/>
          <w:iCs/>
          <w:noProof/>
          <w:sz w:val="24"/>
          <w:szCs w:val="24"/>
        </w:rPr>
      </w:pPr>
    </w:p>
    <w:p w14:paraId="7447874D" w14:textId="77777777" w:rsidR="00B86F0E" w:rsidRPr="00B40683" w:rsidRDefault="00B86F0E" w:rsidP="000316D9">
      <w:pPr>
        <w:spacing w:after="0" w:line="240" w:lineRule="auto"/>
        <w:contextualSpacing/>
        <w:jc w:val="both"/>
        <w:rPr>
          <w:rFonts w:ascii="Times New Roman" w:hAnsi="Times New Roman" w:cs="Times New Roman"/>
          <w:noProof/>
          <w:sz w:val="24"/>
          <w:szCs w:val="24"/>
        </w:rPr>
      </w:pPr>
      <w:r w:rsidRPr="00B40683">
        <w:rPr>
          <w:rFonts w:ascii="Times New Roman" w:hAnsi="Times New Roman" w:cs="Times New Roman"/>
          <w:iCs/>
          <w:noProof/>
          <w:sz w:val="24"/>
          <w:szCs w:val="24"/>
        </w:rPr>
        <w:t>Some participants clarified that by answering the poll questions, the MS representatives have not endorsed</w:t>
      </w:r>
      <w:r w:rsidRPr="00B40683">
        <w:rPr>
          <w:rFonts w:ascii="Times New Roman" w:hAnsi="Times New Roman" w:cs="Times New Roman"/>
          <w:noProof/>
          <w:sz w:val="24"/>
          <w:szCs w:val="24"/>
        </w:rPr>
        <w:t xml:space="preserve"> any policy options. The poll answers should be rather understood as experts’ views that were given spontaneously and therefore as an informal exchange.</w:t>
      </w:r>
    </w:p>
    <w:p w14:paraId="771E8E81" w14:textId="77777777" w:rsidR="00CC7EC2" w:rsidRPr="00B40683" w:rsidRDefault="00CC7EC2" w:rsidP="000316D9">
      <w:pPr>
        <w:spacing w:after="0" w:line="240" w:lineRule="auto"/>
        <w:contextualSpacing/>
        <w:jc w:val="both"/>
        <w:rPr>
          <w:rFonts w:ascii="Times New Roman" w:hAnsi="Times New Roman" w:cs="Times New Roman"/>
          <w:b/>
          <w:noProof/>
          <w:sz w:val="24"/>
          <w:szCs w:val="24"/>
          <w:lang w:val="en-GB"/>
        </w:rPr>
      </w:pPr>
    </w:p>
    <w:p w14:paraId="6A4DDCAD" w14:textId="77777777" w:rsidR="00B86F0E" w:rsidRPr="00B40683" w:rsidRDefault="00B86F0E" w:rsidP="000316D9">
      <w:pPr>
        <w:spacing w:after="0" w:line="240" w:lineRule="auto"/>
        <w:contextualSpacing/>
        <w:jc w:val="both"/>
        <w:rPr>
          <w:rFonts w:ascii="Times New Roman" w:hAnsi="Times New Roman" w:cs="Times New Roman"/>
          <w:b/>
          <w:noProof/>
          <w:sz w:val="24"/>
          <w:szCs w:val="24"/>
          <w:lang w:val="en-GB"/>
        </w:rPr>
      </w:pPr>
      <w:r w:rsidRPr="00B40683">
        <w:rPr>
          <w:rFonts w:ascii="Times New Roman" w:hAnsi="Times New Roman" w:cs="Times New Roman"/>
          <w:b/>
          <w:noProof/>
          <w:sz w:val="24"/>
          <w:szCs w:val="24"/>
          <w:lang w:val="en-GB"/>
        </w:rPr>
        <w:t>Final remarks by the Commission</w:t>
      </w:r>
    </w:p>
    <w:p w14:paraId="4817D5C1"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noProof/>
          <w:sz w:val="24"/>
          <w:szCs w:val="24"/>
        </w:rPr>
        <w:t xml:space="preserve">After closing the second plenary session, the Commission thanked the participants for their participation and recapitulated the objective of the meeting, namely the </w:t>
      </w:r>
      <w:r w:rsidRPr="00B40683">
        <w:rPr>
          <w:rFonts w:ascii="Times New Roman" w:hAnsi="Times New Roman" w:cs="Times New Roman"/>
          <w:iCs/>
          <w:noProof/>
          <w:sz w:val="24"/>
          <w:szCs w:val="24"/>
        </w:rPr>
        <w:t>identification of the likely impacts of the policy options presented by the contractor. The Commission also underlined that the options will be further elaborated and assessed based on the input provided by the workshop participants.</w:t>
      </w:r>
    </w:p>
    <w:p w14:paraId="55701F15" w14:textId="77777777" w:rsidR="00010C9F" w:rsidRPr="00B40683" w:rsidRDefault="00010C9F" w:rsidP="000316D9">
      <w:pPr>
        <w:spacing w:after="0" w:line="240" w:lineRule="auto"/>
        <w:contextualSpacing/>
        <w:jc w:val="both"/>
        <w:rPr>
          <w:rFonts w:ascii="Times New Roman" w:hAnsi="Times New Roman" w:cs="Times New Roman"/>
          <w:iCs/>
          <w:noProof/>
          <w:sz w:val="24"/>
          <w:szCs w:val="24"/>
        </w:rPr>
      </w:pPr>
    </w:p>
    <w:p w14:paraId="49655DE4"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As a next step, the Commission provided a short outlook on the next steps, including the commitment to provide the MS with the workshop presentation.</w:t>
      </w:r>
    </w:p>
    <w:p w14:paraId="50CFD7EE" w14:textId="77777777" w:rsidR="00010C9F" w:rsidRPr="00B40683" w:rsidRDefault="00010C9F" w:rsidP="000316D9">
      <w:pPr>
        <w:spacing w:after="0" w:line="240" w:lineRule="auto"/>
        <w:contextualSpacing/>
        <w:jc w:val="both"/>
        <w:rPr>
          <w:rFonts w:ascii="Times New Roman" w:hAnsi="Times New Roman" w:cs="Times New Roman"/>
          <w:iCs/>
          <w:noProof/>
          <w:sz w:val="24"/>
          <w:szCs w:val="24"/>
        </w:rPr>
      </w:pPr>
    </w:p>
    <w:p w14:paraId="509BB913"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noProof/>
          <w:sz w:val="24"/>
          <w:szCs w:val="24"/>
        </w:rPr>
        <w:t xml:space="preserve">The Commission closed its final remarks by referring to the finalisation of the study this summer which the </w:t>
      </w:r>
      <w:r w:rsidRPr="00B40683">
        <w:rPr>
          <w:rFonts w:ascii="Times New Roman" w:hAnsi="Times New Roman" w:cs="Times New Roman"/>
          <w:iCs/>
          <w:noProof/>
          <w:sz w:val="24"/>
          <w:szCs w:val="24"/>
        </w:rPr>
        <w:t>MS will be provided access to, once it will have been published.</w:t>
      </w:r>
    </w:p>
    <w:p w14:paraId="0117F229" w14:textId="77777777" w:rsidR="00010C9F" w:rsidRPr="00B40683" w:rsidRDefault="00010C9F" w:rsidP="000316D9">
      <w:pPr>
        <w:spacing w:after="0" w:line="240" w:lineRule="auto"/>
        <w:contextualSpacing/>
        <w:jc w:val="both"/>
        <w:rPr>
          <w:rFonts w:ascii="Times New Roman" w:hAnsi="Times New Roman" w:cs="Times New Roman"/>
          <w:iCs/>
          <w:noProof/>
          <w:sz w:val="24"/>
          <w:szCs w:val="24"/>
        </w:rPr>
      </w:pPr>
    </w:p>
    <w:p w14:paraId="0EB1C3B9" w14:textId="77777777" w:rsidR="00B86F0E" w:rsidRPr="00B40683" w:rsidRDefault="00B86F0E" w:rsidP="000316D9">
      <w:pPr>
        <w:spacing w:after="0" w:line="240" w:lineRule="auto"/>
        <w:contextualSpacing/>
        <w:jc w:val="both"/>
        <w:rPr>
          <w:rFonts w:ascii="Times New Roman" w:hAnsi="Times New Roman" w:cs="Times New Roman"/>
          <w:iCs/>
          <w:noProof/>
          <w:sz w:val="24"/>
          <w:szCs w:val="24"/>
        </w:rPr>
      </w:pPr>
      <w:r w:rsidRPr="00B40683">
        <w:rPr>
          <w:rFonts w:ascii="Times New Roman" w:hAnsi="Times New Roman" w:cs="Times New Roman"/>
          <w:iCs/>
          <w:noProof/>
          <w:sz w:val="24"/>
          <w:szCs w:val="24"/>
        </w:rPr>
        <w:t>As a final step, the contractor also thanked the participants for their participation and officially closed the meeting.</w:t>
      </w:r>
    </w:p>
    <w:p w14:paraId="54AE45DB" w14:textId="77777777" w:rsidR="00F05424" w:rsidRPr="00B40683" w:rsidRDefault="00F05424" w:rsidP="00237337">
      <w:pPr>
        <w:spacing w:after="120" w:line="240" w:lineRule="auto"/>
        <w:jc w:val="both"/>
        <w:rPr>
          <w:rFonts w:ascii="Times New Roman" w:hAnsi="Times New Roman" w:cs="Times New Roman"/>
          <w:b/>
          <w:noProof/>
          <w:sz w:val="24"/>
          <w:szCs w:val="24"/>
        </w:rPr>
      </w:pPr>
    </w:p>
    <w:p w14:paraId="3CBAC9FF" w14:textId="77777777" w:rsidR="00CC7EC2" w:rsidRPr="00B40683" w:rsidRDefault="00C83EDA" w:rsidP="00237337">
      <w:pPr>
        <w:spacing w:after="120" w:line="240" w:lineRule="auto"/>
        <w:jc w:val="both"/>
        <w:rPr>
          <w:rFonts w:ascii="Times New Roman" w:hAnsi="Times New Roman" w:cs="Times New Roman"/>
          <w:noProof/>
          <w:sz w:val="24"/>
          <w:szCs w:val="24"/>
        </w:rPr>
      </w:pPr>
      <w:r w:rsidRPr="00B40683">
        <w:rPr>
          <w:rFonts w:ascii="Times New Roman" w:hAnsi="Times New Roman" w:cs="Times New Roman"/>
          <w:b/>
          <w:noProof/>
          <w:sz w:val="24"/>
          <w:szCs w:val="24"/>
        </w:rPr>
        <w:t>7</w:t>
      </w:r>
      <w:r w:rsidRPr="00B40683">
        <w:rPr>
          <w:rFonts w:ascii="Times New Roman" w:hAnsi="Times New Roman" w:cs="Times New Roman"/>
          <w:b/>
          <w:noProof/>
          <w:sz w:val="24"/>
          <w:szCs w:val="24"/>
          <w:vertAlign w:val="superscript"/>
        </w:rPr>
        <w:t>th</w:t>
      </w:r>
      <w:r w:rsidRPr="00B40683">
        <w:rPr>
          <w:rFonts w:ascii="Times New Roman" w:hAnsi="Times New Roman" w:cs="Times New Roman"/>
          <w:b/>
          <w:noProof/>
          <w:sz w:val="24"/>
          <w:szCs w:val="24"/>
        </w:rPr>
        <w:t xml:space="preserve"> Heads of SPOC meeting minutes -– </w:t>
      </w:r>
      <w:r w:rsidRPr="00B40683">
        <w:rPr>
          <w:rFonts w:ascii="Times New Roman" w:hAnsi="Times New Roman" w:cs="Times New Roman"/>
          <w:noProof/>
          <w:sz w:val="24"/>
          <w:szCs w:val="24"/>
        </w:rPr>
        <w:t xml:space="preserve">26.05.2021 </w:t>
      </w:r>
      <w:r w:rsidRPr="00B40683">
        <w:rPr>
          <w:rFonts w:ascii="Times New Roman" w:hAnsi="Times New Roman" w:cs="Times New Roman"/>
          <w:i/>
          <w:noProof/>
          <w:sz w:val="24"/>
          <w:szCs w:val="24"/>
        </w:rPr>
        <w:t>[drafted by the chair of the meeting – Italy]</w:t>
      </w:r>
    </w:p>
    <w:p w14:paraId="64E41F4A" w14:textId="77777777" w:rsidR="00C83EDA" w:rsidRPr="00B40683" w:rsidRDefault="00C83EDA" w:rsidP="00237337">
      <w:pPr>
        <w:spacing w:after="12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 xml:space="preserve">"The EU COM introduced the initiative concerning the </w:t>
      </w:r>
      <w:r w:rsidR="00F05424" w:rsidRPr="00B40683">
        <w:rPr>
          <w:rFonts w:ascii="Times New Roman" w:hAnsi="Times New Roman" w:cs="Times New Roman"/>
          <w:noProof/>
          <w:sz w:val="24"/>
          <w:szCs w:val="24"/>
        </w:rPr>
        <w:t>"</w:t>
      </w:r>
      <w:r w:rsidRPr="00B40683">
        <w:rPr>
          <w:rFonts w:ascii="Times New Roman" w:hAnsi="Times New Roman" w:cs="Times New Roman"/>
          <w:noProof/>
          <w:sz w:val="24"/>
          <w:szCs w:val="24"/>
        </w:rPr>
        <w:t>Study to support the preparation of an impact assessment on EU policy initiatives facilitating cross-border law enforcement cooperation</w:t>
      </w:r>
      <w:r w:rsidR="00F05424" w:rsidRPr="00B40683">
        <w:rPr>
          <w:rFonts w:ascii="Times New Roman" w:hAnsi="Times New Roman" w:cs="Times New Roman"/>
          <w:noProof/>
          <w:sz w:val="24"/>
          <w:szCs w:val="24"/>
        </w:rPr>
        <w:t>"</w:t>
      </w:r>
      <w:r w:rsidRPr="00B40683">
        <w:rPr>
          <w:rFonts w:ascii="Times New Roman" w:hAnsi="Times New Roman" w:cs="Times New Roman"/>
          <w:noProof/>
          <w:sz w:val="24"/>
          <w:szCs w:val="24"/>
        </w:rPr>
        <w:t>. The EY-RAND experts first presented the objective/scope of the study which is based on the analysis of the legislative framework for cooperation and on the existing investigation tools. The study will evaluate the need for possible additional measures and compare the potential impact. The activities conducted referred to an online survey, a technical workshop held on the 25</w:t>
      </w:r>
      <w:r w:rsidRPr="00B40683">
        <w:rPr>
          <w:rFonts w:ascii="Times New Roman" w:hAnsi="Times New Roman" w:cs="Times New Roman"/>
          <w:noProof/>
          <w:sz w:val="24"/>
          <w:szCs w:val="24"/>
          <w:vertAlign w:val="superscript"/>
        </w:rPr>
        <w:t>th</w:t>
      </w:r>
      <w:r w:rsidRPr="00B40683">
        <w:rPr>
          <w:rFonts w:ascii="Times New Roman" w:hAnsi="Times New Roman" w:cs="Times New Roman"/>
          <w:noProof/>
          <w:sz w:val="24"/>
          <w:szCs w:val="24"/>
        </w:rPr>
        <w:t xml:space="preserve"> May 2021 and consequent discussions with experts involved.</w:t>
      </w:r>
    </w:p>
    <w:p w14:paraId="1E914A0E" w14:textId="77777777" w:rsidR="00C83EDA" w:rsidRPr="00B40683" w:rsidRDefault="00C83EDA" w:rsidP="00237337">
      <w:pPr>
        <w:spacing w:after="12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The territory under analysis includes 27 MS plus 4 Schengen associated Countries, the timeline refers to the period 1990 (CAAS undersigned that year) – 2021 while the stakeholders are EU agencies and Bodies/networks, National Authorities plus Academia and “think tanks”.</w:t>
      </w:r>
    </w:p>
    <w:p w14:paraId="46D2AB57" w14:textId="77777777" w:rsidR="00C83EDA" w:rsidRPr="00B40683" w:rsidRDefault="00C83EDA" w:rsidP="00237337">
      <w:pPr>
        <w:spacing w:after="12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Being the study activity a very complex effort we suggest a careful reading of the presentation, but for the extremely interesting part related to the SPOCs we briefly highlight some passages of the appreciated presentation. The survey allowed to underline that the SPOC is the most common structure used for polcoop info exchange, in minor extent also the PCCCs were pointed out by the survey participants. As for the channels used</w:t>
      </w:r>
      <w:r w:rsidR="00875C68" w:rsidRPr="00B40683">
        <w:rPr>
          <w:rFonts w:ascii="Times New Roman" w:hAnsi="Times New Roman" w:cs="Times New Roman"/>
          <w:noProof/>
          <w:sz w:val="24"/>
          <w:szCs w:val="24"/>
        </w:rPr>
        <w:t>,</w:t>
      </w:r>
      <w:r w:rsidRPr="00B40683">
        <w:rPr>
          <w:rFonts w:ascii="Times New Roman" w:hAnsi="Times New Roman" w:cs="Times New Roman"/>
          <w:noProof/>
          <w:sz w:val="24"/>
          <w:szCs w:val="24"/>
        </w:rPr>
        <w:t xml:space="preserve"> Interpol and SIRENE seem to play the relevant role while SIENA is considered the most effective. Some barriers in granting the info exchange efficiency were detected as follows: fact sheets/Manuals awareness and content clarity, communications hampered by lack of good cooperation between SPOC and PCCS, LEA and Judicial Authorities, Police and Customs. Confusion on the use of channels were once again underlined as well as the complexity of the Legal framework.</w:t>
      </w:r>
    </w:p>
    <w:p w14:paraId="1B04018C" w14:textId="77777777" w:rsidR="00C83EDA" w:rsidRPr="00B40683" w:rsidRDefault="00C83EDA" w:rsidP="00237337">
      <w:pPr>
        <w:spacing w:after="12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The discussions of participants suggested as a way forward the consolidation/modernization of the existing fragmented legal acts, the setting up of basic and clear rules and the drafting of minimum standards.</w:t>
      </w:r>
    </w:p>
    <w:p w14:paraId="03BC22A4" w14:textId="77777777" w:rsidR="00C83EDA" w:rsidRPr="00B40683" w:rsidRDefault="00C83EDA" w:rsidP="00237337">
      <w:pPr>
        <w:spacing w:after="120" w:line="240" w:lineRule="auto"/>
        <w:jc w:val="both"/>
        <w:rPr>
          <w:rFonts w:ascii="Times New Roman" w:hAnsi="Times New Roman" w:cs="Times New Roman"/>
          <w:noProof/>
          <w:sz w:val="24"/>
          <w:szCs w:val="24"/>
        </w:rPr>
      </w:pPr>
      <w:r w:rsidRPr="00B40683">
        <w:rPr>
          <w:rFonts w:ascii="Times New Roman" w:hAnsi="Times New Roman" w:cs="Times New Roman"/>
          <w:noProof/>
          <w:sz w:val="24"/>
          <w:szCs w:val="24"/>
        </w:rPr>
        <w:t>The Chairman welcomed the initiative</w:t>
      </w:r>
      <w:r w:rsidR="00875C68" w:rsidRPr="00B40683">
        <w:rPr>
          <w:rFonts w:ascii="Times New Roman" w:hAnsi="Times New Roman" w:cs="Times New Roman"/>
          <w:noProof/>
          <w:sz w:val="24"/>
          <w:szCs w:val="24"/>
        </w:rPr>
        <w:t>,</w:t>
      </w:r>
      <w:r w:rsidRPr="00B40683">
        <w:rPr>
          <w:rFonts w:ascii="Times New Roman" w:hAnsi="Times New Roman" w:cs="Times New Roman"/>
          <w:noProof/>
          <w:sz w:val="24"/>
          <w:szCs w:val="24"/>
        </w:rPr>
        <w:t xml:space="preserve"> which respond to the need for simplification and modernisation in a more coherent contest of the current legal basis and of the procedures</w:t>
      </w:r>
      <w:r w:rsidR="00875C68" w:rsidRPr="00B40683">
        <w:rPr>
          <w:rFonts w:ascii="Times New Roman" w:hAnsi="Times New Roman" w:cs="Times New Roman"/>
          <w:noProof/>
          <w:sz w:val="24"/>
          <w:szCs w:val="24"/>
        </w:rPr>
        <w:t>,</w:t>
      </w:r>
      <w:r w:rsidRPr="00B40683">
        <w:rPr>
          <w:rFonts w:ascii="Times New Roman" w:hAnsi="Times New Roman" w:cs="Times New Roman"/>
          <w:noProof/>
          <w:sz w:val="24"/>
          <w:szCs w:val="24"/>
        </w:rPr>
        <w:t xml:space="preserve"> which are still hampering the cross border cooperation.</w:t>
      </w:r>
    </w:p>
    <w:p w14:paraId="6389ABB1" w14:textId="77777777" w:rsidR="00C83EDA" w:rsidRPr="00F90815" w:rsidRDefault="00C83EDA" w:rsidP="00237337">
      <w:pPr>
        <w:pStyle w:val="Text1"/>
        <w:spacing w:after="120"/>
        <w:ind w:left="0"/>
        <w:rPr>
          <w:rFonts w:ascii="Verdana" w:hAnsi="Verdana"/>
          <w:b/>
          <w:noProof/>
          <w:sz w:val="20"/>
          <w:lang w:val="en-GB"/>
        </w:rPr>
      </w:pPr>
      <w:r w:rsidRPr="00B40683">
        <w:rPr>
          <w:noProof/>
          <w:szCs w:val="24"/>
        </w:rPr>
        <w:t>The participants unanimously agreed for the value of the initiative and expressed the need for being updated on the process developments. The ATHENA team confirmed its availability in keeping close contacts with the EU Commission for providing any further updates to the Heads of SPOC".</w:t>
      </w:r>
    </w:p>
    <w:p w14:paraId="338C9565" w14:textId="77777777" w:rsidR="00B86F0E" w:rsidRDefault="00B86F0E" w:rsidP="00BA18A0">
      <w:pPr>
        <w:pStyle w:val="Text1"/>
        <w:ind w:left="0"/>
        <w:rPr>
          <w:rFonts w:ascii="Times New Roman Bold" w:hAnsi="Times New Roman Bold"/>
          <w:b/>
          <w:smallCaps/>
          <w:noProof/>
          <w:sz w:val="28"/>
          <w:szCs w:val="28"/>
        </w:rPr>
      </w:pPr>
    </w:p>
    <w:p w14:paraId="334C1357" w14:textId="77777777" w:rsidR="007E2CCE" w:rsidRDefault="007E2CCE">
      <w:pPr>
        <w:spacing w:after="160" w:line="259" w:lineRule="auto"/>
        <w:rPr>
          <w:rFonts w:ascii="Times New Roman Bold" w:eastAsia="Times New Roman" w:hAnsi="Times New Roman Bold" w:cs="Times New Roman"/>
          <w:b/>
          <w:smallCaps/>
          <w:noProof/>
          <w:sz w:val="28"/>
          <w:szCs w:val="28"/>
        </w:rPr>
      </w:pPr>
      <w:r>
        <w:rPr>
          <w:rFonts w:ascii="Times New Roman Bold" w:hAnsi="Times New Roman Bold"/>
          <w:b/>
          <w:smallCaps/>
          <w:noProof/>
          <w:sz w:val="28"/>
          <w:szCs w:val="28"/>
        </w:rPr>
        <w:br w:type="page"/>
      </w:r>
    </w:p>
    <w:p w14:paraId="088ECDAC" w14:textId="17ADA066" w:rsidR="00BA18A0" w:rsidRPr="00AE777C" w:rsidRDefault="00BA18A0" w:rsidP="00AE777C">
      <w:pPr>
        <w:pStyle w:val="AnnexHeading1"/>
        <w:rPr>
          <w:noProof/>
        </w:rPr>
      </w:pPr>
      <w:bookmarkStart w:id="226" w:name="_Toc83801060"/>
      <w:r w:rsidRPr="00AE777C">
        <w:rPr>
          <w:noProof/>
        </w:rPr>
        <w:t xml:space="preserve">Annex </w:t>
      </w:r>
      <w:r w:rsidR="00034212">
        <w:rPr>
          <w:noProof/>
        </w:rPr>
        <w:t>9</w:t>
      </w:r>
      <w:r w:rsidRPr="00AE777C">
        <w:rPr>
          <w:noProof/>
        </w:rPr>
        <w:t xml:space="preserve">: </w:t>
      </w:r>
      <w:r w:rsidR="001C5F9E" w:rsidRPr="00AE777C">
        <w:rPr>
          <w:noProof/>
        </w:rPr>
        <w:t xml:space="preserve">Complementary information on </w:t>
      </w:r>
      <w:r w:rsidR="00223D57" w:rsidRPr="00AE777C">
        <w:rPr>
          <w:noProof/>
        </w:rPr>
        <w:t xml:space="preserve">the </w:t>
      </w:r>
      <w:r w:rsidR="001C5F9E" w:rsidRPr="00AE777C">
        <w:rPr>
          <w:noProof/>
        </w:rPr>
        <w:t>e</w:t>
      </w:r>
      <w:r w:rsidRPr="00AE777C">
        <w:rPr>
          <w:noProof/>
        </w:rPr>
        <w:t xml:space="preserve">xpected </w:t>
      </w:r>
      <w:r w:rsidR="00223D57" w:rsidRPr="00AE777C">
        <w:rPr>
          <w:noProof/>
        </w:rPr>
        <w:t xml:space="preserve">effects of the </w:t>
      </w:r>
      <w:r w:rsidRPr="00AE777C">
        <w:rPr>
          <w:noProof/>
        </w:rPr>
        <w:t>policy options in the Member States</w:t>
      </w:r>
      <w:bookmarkEnd w:id="226"/>
    </w:p>
    <w:p w14:paraId="6974E386" w14:textId="77777777" w:rsidR="00BA18A0" w:rsidRPr="00B40683" w:rsidRDefault="00BA18A0" w:rsidP="00BA18A0">
      <w:pPr>
        <w:rPr>
          <w:rFonts w:ascii="Times New Roman" w:hAnsi="Times New Roman" w:cs="Times New Roman"/>
          <w:b/>
          <w:noProof/>
          <w:sz w:val="24"/>
          <w:szCs w:val="24"/>
        </w:rPr>
      </w:pPr>
      <w:bookmarkStart w:id="227" w:name="_Toc74256736"/>
      <w:r w:rsidRPr="00B40683">
        <w:rPr>
          <w:rFonts w:ascii="Times New Roman" w:hAnsi="Times New Roman" w:cs="Times New Roman"/>
          <w:b/>
          <w:noProof/>
          <w:sz w:val="24"/>
          <w:szCs w:val="24"/>
        </w:rPr>
        <w:t>Access to and exchange of necessary information</w:t>
      </w:r>
      <w:bookmarkEnd w:id="227"/>
    </w:p>
    <w:p w14:paraId="444973AE" w14:textId="77777777" w:rsidR="00BA18A0" w:rsidRPr="00B40683" w:rsidRDefault="00BA18A0" w:rsidP="00BA18A0">
      <w:pPr>
        <w:rPr>
          <w:rFonts w:ascii="Times New Roman" w:hAnsi="Times New Roman" w:cs="Times New Roman"/>
          <w:b/>
          <w:i/>
          <w:noProof/>
          <w:sz w:val="24"/>
          <w:szCs w:val="24"/>
        </w:rPr>
      </w:pPr>
      <w:r w:rsidRPr="00B40683">
        <w:rPr>
          <w:rFonts w:ascii="Times New Roman" w:hAnsi="Times New Roman" w:cs="Times New Roman"/>
          <w:b/>
          <w:i/>
          <w:noProof/>
          <w:sz w:val="24"/>
          <w:szCs w:val="24"/>
        </w:rPr>
        <w:t>Set-Up and competences of the SPOC and PCCC</w:t>
      </w:r>
    </w:p>
    <w:p w14:paraId="50E7B88C" w14:textId="77777777" w:rsidR="00BA18A0" w:rsidRDefault="00BA18A0" w:rsidP="00BA18A0">
      <w:pPr>
        <w:pStyle w:val="Caption"/>
        <w:keepNext/>
        <w:jc w:val="center"/>
        <w:rPr>
          <w:noProof/>
        </w:rPr>
      </w:pPr>
      <w:r w:rsidRPr="00B40683">
        <w:rPr>
          <w:rFonts w:ascii="Times New Roman" w:hAnsi="Times New Roman"/>
          <w:noProof/>
          <w:sz w:val="24"/>
          <w:szCs w:val="24"/>
        </w:rPr>
        <w:t>SPOC's staff</w:t>
      </w:r>
    </w:p>
    <w:p w14:paraId="649FA0A2" w14:textId="77777777" w:rsidR="00BA18A0" w:rsidRPr="003204A8" w:rsidRDefault="00BA18A0" w:rsidP="00BA18A0">
      <w:pPr>
        <w:jc w:val="center"/>
        <w:rPr>
          <w:noProof/>
        </w:rPr>
      </w:pPr>
      <w:r>
        <w:rPr>
          <w:noProof/>
          <w:lang w:val="en-GB" w:eastAsia="en-GB"/>
        </w:rPr>
        <w:drawing>
          <wp:inline distT="0" distB="0" distL="0" distR="0" wp14:anchorId="6AD70405" wp14:editId="55C21C6A">
            <wp:extent cx="3809633" cy="2541000"/>
            <wp:effectExtent l="0" t="0" r="635" b="0"/>
            <wp:docPr id="14" name="Chart 14">
              <a:extLst xmlns:a="http://schemas.openxmlformats.org/drawingml/2006/main">
                <a:ext uri="{FF2B5EF4-FFF2-40B4-BE49-F238E27FC236}">
                  <a16:creationId xmlns:a16="http://schemas.microsoft.com/office/drawing/2014/main" id="{8C72099D-5D2E-4F3D-866F-A73240919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5AE25585" w14:textId="77777777" w:rsidR="00BA18A0" w:rsidRPr="00704502" w:rsidRDefault="00F2213E" w:rsidP="00704502">
      <w:pPr>
        <w:jc w:val="center"/>
        <w:rPr>
          <w:rStyle w:val="SubtleEmphasis"/>
          <w:iCs w:val="0"/>
          <w:noProof/>
          <w:color w:val="7F7F7F" w:themeColor="text1" w:themeTint="80"/>
          <w:sz w:val="16"/>
          <w:szCs w:val="16"/>
        </w:rPr>
      </w:pPr>
      <w:r w:rsidRPr="00970640">
        <w:rPr>
          <w:rStyle w:val="SubtleEmphasis"/>
          <w:noProof/>
          <w:sz w:val="16"/>
          <w:szCs w:val="16"/>
        </w:rPr>
        <w:t xml:space="preserve">Source: </w:t>
      </w:r>
      <w:r w:rsidRPr="00704502">
        <w:rPr>
          <w:rFonts w:ascii="Verdana" w:hAnsi="Verdana"/>
          <w:i/>
          <w:noProof/>
          <w:color w:val="7F7F7F" w:themeColor="text1" w:themeTint="80"/>
          <w:sz w:val="16"/>
          <w:szCs w:val="16"/>
        </w:rPr>
        <w:t>EY/RAND Europe Study’s elaboration</w:t>
      </w:r>
      <w:r w:rsidRPr="00970640">
        <w:rPr>
          <w:rStyle w:val="SubtleEmphasis"/>
          <w:noProof/>
          <w:sz w:val="16"/>
          <w:szCs w:val="16"/>
        </w:rPr>
        <w:t xml:space="preserve"> based on </w:t>
      </w:r>
      <w:r w:rsidR="00BA18A0" w:rsidRPr="00704502">
        <w:rPr>
          <w:rStyle w:val="SubtleEmphasis"/>
          <w:noProof/>
          <w:sz w:val="16"/>
          <w:szCs w:val="16"/>
        </w:rPr>
        <w:t>Schengen evaluation reports</w:t>
      </w:r>
    </w:p>
    <w:p w14:paraId="37F7B405" w14:textId="77777777" w:rsidR="00BA18A0" w:rsidRPr="00B40683" w:rsidRDefault="00BA18A0" w:rsidP="00900BC7">
      <w:pPr>
        <w:pStyle w:val="Body"/>
        <w:numPr>
          <w:ilvl w:val="0"/>
          <w:numId w:val="80"/>
        </w:numPr>
        <w:spacing w:before="120" w:after="120"/>
        <w:jc w:val="both"/>
        <w:rPr>
          <w:rFonts w:ascii="Times New Roman" w:hAnsi="Times New Roman"/>
          <w:noProof/>
          <w:color w:val="000000" w:themeColor="text1"/>
          <w:sz w:val="24"/>
          <w:szCs w:val="24"/>
        </w:rPr>
      </w:pPr>
      <w:r w:rsidRPr="00B40683">
        <w:rPr>
          <w:rFonts w:ascii="Times New Roman" w:hAnsi="Times New Roman"/>
          <w:noProof/>
          <w:color w:val="000000" w:themeColor="text1"/>
          <w:sz w:val="24"/>
          <w:szCs w:val="24"/>
        </w:rPr>
        <w:t xml:space="preserve">In 13 countries, data on SPOC staff is available. </w:t>
      </w:r>
    </w:p>
    <w:p w14:paraId="34C20274" w14:textId="77777777" w:rsidR="00BA18A0" w:rsidRPr="00B40683" w:rsidRDefault="00BA18A0" w:rsidP="00900BC7">
      <w:pPr>
        <w:pStyle w:val="Body"/>
        <w:numPr>
          <w:ilvl w:val="0"/>
          <w:numId w:val="80"/>
        </w:numPr>
        <w:spacing w:before="120" w:after="120"/>
        <w:jc w:val="both"/>
        <w:rPr>
          <w:rFonts w:ascii="Times New Roman" w:hAnsi="Times New Roman"/>
          <w:noProof/>
          <w:color w:val="000000" w:themeColor="text1"/>
          <w:sz w:val="24"/>
          <w:szCs w:val="24"/>
        </w:rPr>
      </w:pPr>
      <w:r w:rsidRPr="00B40683">
        <w:rPr>
          <w:rFonts w:ascii="Times New Roman" w:hAnsi="Times New Roman"/>
          <w:noProof/>
          <w:color w:val="000000" w:themeColor="text1"/>
          <w:sz w:val="24"/>
          <w:szCs w:val="24"/>
        </w:rPr>
        <w:t xml:space="preserve">In 18 countries, no data on SPOC staff is available. </w:t>
      </w:r>
    </w:p>
    <w:p w14:paraId="11E4DF6E" w14:textId="77777777" w:rsidR="00BA18A0" w:rsidRPr="00B40683" w:rsidRDefault="00BA18A0" w:rsidP="00900BC7">
      <w:pPr>
        <w:pStyle w:val="Body"/>
        <w:numPr>
          <w:ilvl w:val="0"/>
          <w:numId w:val="80"/>
        </w:numPr>
        <w:spacing w:before="120" w:after="120"/>
        <w:jc w:val="both"/>
        <w:rPr>
          <w:rFonts w:ascii="Times New Roman" w:hAnsi="Times New Roman"/>
          <w:noProof/>
          <w:sz w:val="24"/>
          <w:szCs w:val="24"/>
          <w:lang w:val="en-US"/>
        </w:rPr>
      </w:pPr>
      <w:r w:rsidRPr="00B40683">
        <w:rPr>
          <w:rFonts w:ascii="Times New Roman" w:hAnsi="Times New Roman"/>
          <w:noProof/>
          <w:color w:val="000000" w:themeColor="text1"/>
          <w:sz w:val="24"/>
          <w:szCs w:val="24"/>
        </w:rPr>
        <w:t>All countries would be affected if were to be established as “one stop shops” for LEA cooperation, if SPOCs were to have full access to EU and international law enforcement databases or if they were to have full access to relevant national case management systems.</w:t>
      </w:r>
    </w:p>
    <w:p w14:paraId="145C36C9" w14:textId="77777777" w:rsidR="00BA18A0" w:rsidRPr="00BA18A0" w:rsidRDefault="00BA18A0" w:rsidP="00BA18A0">
      <w:pPr>
        <w:pStyle w:val="Caption"/>
        <w:keepNext/>
        <w:jc w:val="center"/>
        <w:rPr>
          <w:noProof/>
          <w:lang w:val="en-GB"/>
        </w:rPr>
      </w:pPr>
      <w:r w:rsidRPr="00B40683">
        <w:rPr>
          <w:rFonts w:ascii="Times New Roman" w:hAnsi="Times New Roman"/>
          <w:noProof/>
          <w:sz w:val="24"/>
          <w:szCs w:val="24"/>
          <w:lang w:val="en-GB"/>
        </w:rPr>
        <w:t xml:space="preserve"> Main features of SPOC’s CMS</w:t>
      </w:r>
    </w:p>
    <w:p w14:paraId="30AE7CDC" w14:textId="77777777" w:rsidR="00BA18A0" w:rsidRPr="006E7FA2" w:rsidRDefault="00BA18A0" w:rsidP="00BA18A0">
      <w:pPr>
        <w:pStyle w:val="Body"/>
        <w:jc w:val="center"/>
        <w:rPr>
          <w:noProof/>
        </w:rPr>
      </w:pPr>
      <w:r w:rsidRPr="006E7FA2">
        <w:rPr>
          <w:noProof/>
          <w:lang w:eastAsia="en-GB"/>
        </w:rPr>
        <w:drawing>
          <wp:inline distT="0" distB="0" distL="0" distR="0" wp14:anchorId="12C8FE3B" wp14:editId="43CDCA3E">
            <wp:extent cx="6115050" cy="2402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15050" cy="2402205"/>
                    </a:xfrm>
                    <a:prstGeom prst="rect">
                      <a:avLst/>
                    </a:prstGeom>
                  </pic:spPr>
                </pic:pic>
              </a:graphicData>
            </a:graphic>
          </wp:inline>
        </w:drawing>
      </w:r>
    </w:p>
    <w:p w14:paraId="30F8D479" w14:textId="77777777" w:rsidR="00BA18A0" w:rsidRPr="00704502" w:rsidRDefault="00F2213E" w:rsidP="00704502">
      <w:pPr>
        <w:jc w:val="both"/>
        <w:rPr>
          <w:i/>
          <w:noProof/>
          <w:color w:val="7F7F7F" w:themeColor="text1" w:themeTint="80"/>
          <w:sz w:val="16"/>
          <w:szCs w:val="18"/>
        </w:rPr>
      </w:pPr>
      <w:r w:rsidRPr="00B77914">
        <w:rPr>
          <w:rStyle w:val="SubtleEmphasis"/>
          <w:noProof/>
          <w:sz w:val="16"/>
          <w:szCs w:val="18"/>
        </w:rPr>
        <w:t xml:space="preserve">Source: </w:t>
      </w:r>
      <w:r w:rsidRPr="00B77914">
        <w:rPr>
          <w:rFonts w:ascii="Verdana" w:hAnsi="Verdana"/>
          <w:i/>
          <w:noProof/>
          <w:color w:val="7F7F7F" w:themeColor="text1" w:themeTint="80"/>
          <w:sz w:val="16"/>
          <w:szCs w:val="18"/>
        </w:rPr>
        <w:t>EY/RAND Europe Study’s elaboration</w:t>
      </w:r>
      <w:r w:rsidRPr="00B77914">
        <w:rPr>
          <w:rStyle w:val="SubtleEmphasis"/>
          <w:noProof/>
          <w:sz w:val="16"/>
          <w:szCs w:val="18"/>
        </w:rPr>
        <w:t xml:space="preserve"> based on desk research</w:t>
      </w:r>
      <w:r w:rsidR="00BA18A0">
        <w:rPr>
          <w:rStyle w:val="SubtleEmphasis"/>
          <w:noProof/>
        </w:rPr>
        <w:t xml:space="preserve"> </w:t>
      </w:r>
      <w:r w:rsidR="00BA18A0" w:rsidRPr="00704502">
        <w:rPr>
          <w:rStyle w:val="SubtleEmphasis"/>
          <w:noProof/>
          <w:sz w:val="16"/>
        </w:rPr>
        <w:t>(dark grey cells indicate that no information is available)</w:t>
      </w:r>
    </w:p>
    <w:p w14:paraId="54FBE38C" w14:textId="77777777" w:rsidR="00BA18A0" w:rsidRPr="00B40683" w:rsidRDefault="00BA18A0" w:rsidP="00900BC7">
      <w:pPr>
        <w:pStyle w:val="Body"/>
        <w:numPr>
          <w:ilvl w:val="0"/>
          <w:numId w:val="80"/>
        </w:numPr>
        <w:spacing w:before="120" w:after="120"/>
        <w:jc w:val="both"/>
        <w:rPr>
          <w:rFonts w:ascii="Times New Roman" w:hAnsi="Times New Roman"/>
          <w:noProof/>
          <w:sz w:val="24"/>
          <w:szCs w:val="24"/>
          <w:lang w:val="en-US"/>
        </w:rPr>
      </w:pPr>
      <w:r w:rsidRPr="00B40683">
        <w:rPr>
          <w:rFonts w:ascii="Times New Roman" w:hAnsi="Times New Roman"/>
          <w:noProof/>
          <w:color w:val="000000" w:themeColor="text1"/>
          <w:sz w:val="24"/>
          <w:szCs w:val="24"/>
        </w:rPr>
        <w:t>Five different SPOC workflow structures exist at national level,</w:t>
      </w:r>
      <w:r w:rsidRPr="00B40683">
        <w:rPr>
          <w:rStyle w:val="FootnoteReference"/>
          <w:rFonts w:ascii="Times New Roman" w:hAnsi="Times New Roman"/>
          <w:noProof/>
          <w:sz w:val="24"/>
          <w:szCs w:val="24"/>
        </w:rPr>
        <w:footnoteReference w:id="338"/>
      </w:r>
      <w:r w:rsidRPr="00B40683">
        <w:rPr>
          <w:rFonts w:ascii="Times New Roman" w:hAnsi="Times New Roman"/>
          <w:noProof/>
          <w:color w:val="000000" w:themeColor="text1"/>
          <w:sz w:val="24"/>
          <w:szCs w:val="24"/>
        </w:rPr>
        <w:t xml:space="preserve"> with 5 countries reported to have the most advanced model.</w:t>
      </w:r>
    </w:p>
    <w:p w14:paraId="0B0C0F45" w14:textId="77777777" w:rsidR="00BA18A0" w:rsidRPr="00B40683" w:rsidRDefault="00BA18A0" w:rsidP="00900BC7">
      <w:pPr>
        <w:pStyle w:val="Body"/>
        <w:numPr>
          <w:ilvl w:val="0"/>
          <w:numId w:val="80"/>
        </w:numPr>
        <w:spacing w:before="120" w:after="120"/>
        <w:jc w:val="both"/>
        <w:rPr>
          <w:rFonts w:ascii="Times New Roman" w:hAnsi="Times New Roman"/>
          <w:noProof/>
          <w:sz w:val="24"/>
          <w:szCs w:val="24"/>
          <w:lang w:val="en-US"/>
        </w:rPr>
      </w:pPr>
      <w:r w:rsidRPr="00B40683">
        <w:rPr>
          <w:rFonts w:ascii="Times New Roman" w:hAnsi="Times New Roman"/>
          <w:noProof/>
          <w:sz w:val="24"/>
          <w:szCs w:val="24"/>
          <w:lang w:val="en-US"/>
        </w:rPr>
        <w:t>9 countries reported that the CMS of the SPOC has access to that on the rest of LEAs, 5 to that of PCCCs.</w:t>
      </w:r>
    </w:p>
    <w:p w14:paraId="68B27E24" w14:textId="77777777" w:rsidR="00BA18A0" w:rsidRPr="00B40683" w:rsidRDefault="00BA18A0" w:rsidP="008D7BFC">
      <w:pPr>
        <w:rPr>
          <w:rFonts w:ascii="Times New Roman" w:hAnsi="Times New Roman" w:cs="Times New Roman"/>
          <w:b/>
          <w:i/>
          <w:noProof/>
          <w:sz w:val="24"/>
          <w:szCs w:val="24"/>
        </w:rPr>
      </w:pPr>
      <w:r w:rsidRPr="00B40683">
        <w:rPr>
          <w:rFonts w:ascii="Times New Roman" w:hAnsi="Times New Roman" w:cs="Times New Roman"/>
          <w:b/>
          <w:i/>
          <w:noProof/>
          <w:sz w:val="24"/>
          <w:szCs w:val="24"/>
        </w:rPr>
        <w:t>Information exchange via SIENA and other communication channels</w:t>
      </w:r>
    </w:p>
    <w:p w14:paraId="229E0E23" w14:textId="77777777" w:rsidR="00BA18A0" w:rsidRPr="00EC6821" w:rsidRDefault="00BA18A0" w:rsidP="00BA18A0">
      <w:pPr>
        <w:pStyle w:val="Caption"/>
        <w:keepNext/>
        <w:jc w:val="center"/>
        <w:rPr>
          <w:noProof/>
          <w:lang w:val="en-US"/>
        </w:rPr>
      </w:pPr>
      <w:bookmarkStart w:id="228" w:name="_Ref71276158"/>
      <w:r w:rsidRPr="00B40683">
        <w:rPr>
          <w:rFonts w:ascii="Times New Roman" w:hAnsi="Times New Roman"/>
          <w:noProof/>
          <w:sz w:val="24"/>
          <w:szCs w:val="24"/>
          <w:lang w:val="en-US"/>
        </w:rPr>
        <w:t>Implementation of the Swedish Framework Decision</w:t>
      </w:r>
    </w:p>
    <w:p w14:paraId="24910D23" w14:textId="77777777" w:rsidR="00BA18A0" w:rsidRPr="00EF4A8E" w:rsidRDefault="00BA18A0">
      <w:pPr>
        <w:jc w:val="center"/>
        <w:rPr>
          <w:noProof/>
        </w:rPr>
      </w:pPr>
      <w:r>
        <w:rPr>
          <w:noProof/>
          <w:lang w:val="en-GB" w:eastAsia="en-GB"/>
        </w:rPr>
        <w:drawing>
          <wp:inline distT="0" distB="0" distL="0" distR="0" wp14:anchorId="48D477D3" wp14:editId="1A05C88D">
            <wp:extent cx="3805400" cy="2541600"/>
            <wp:effectExtent l="0" t="0" r="5080" b="0"/>
            <wp:docPr id="15" name="Chart 15">
              <a:extLst xmlns:a="http://schemas.openxmlformats.org/drawingml/2006/main">
                <a:ext uri="{FF2B5EF4-FFF2-40B4-BE49-F238E27FC236}">
                  <a16:creationId xmlns:a16="http://schemas.microsoft.com/office/drawing/2014/main" id="{9311659C-40F9-4F24-B866-D8A76FCD6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6BB1C8EF" w14:textId="77777777" w:rsidR="00BA18A0" w:rsidRPr="00704502" w:rsidRDefault="00F2213E" w:rsidP="00704502">
      <w:pPr>
        <w:jc w:val="center"/>
        <w:rPr>
          <w:rStyle w:val="Subtitle21"/>
          <w:iCs w:val="0"/>
          <w:noProof/>
          <w:color w:val="7F7F7F" w:themeColor="text1" w:themeTint="80"/>
          <w:sz w:val="16"/>
          <w:szCs w:val="16"/>
        </w:rPr>
      </w:pPr>
      <w:r w:rsidRPr="00970640">
        <w:rPr>
          <w:rStyle w:val="SubtleEmphasis"/>
          <w:noProof/>
          <w:sz w:val="16"/>
          <w:szCs w:val="16"/>
        </w:rPr>
        <w:t xml:space="preserve">Source: </w:t>
      </w:r>
      <w:r w:rsidRPr="004843FA">
        <w:rPr>
          <w:rFonts w:ascii="Verdana" w:hAnsi="Verdana"/>
          <w:i/>
          <w:noProof/>
          <w:color w:val="7F7F7F" w:themeColor="text1" w:themeTint="80"/>
          <w:sz w:val="16"/>
          <w:szCs w:val="16"/>
        </w:rPr>
        <w:t>EY/RAND Europe Study’s elaboration</w:t>
      </w:r>
      <w:r w:rsidRPr="007D09BC">
        <w:rPr>
          <w:rStyle w:val="SubtleEmphasis"/>
          <w:noProof/>
          <w:sz w:val="16"/>
          <w:szCs w:val="16"/>
        </w:rPr>
        <w:t xml:space="preserve"> based on </w:t>
      </w:r>
      <w:r w:rsidR="00BA18A0" w:rsidRPr="00704502">
        <w:rPr>
          <w:rStyle w:val="Subtitle21"/>
          <w:noProof/>
          <w:sz w:val="16"/>
          <w:szCs w:val="16"/>
        </w:rPr>
        <w:t>Schengen evaluation reports</w:t>
      </w:r>
    </w:p>
    <w:p w14:paraId="1E767522" w14:textId="77777777" w:rsidR="00BA18A0" w:rsidRPr="00B40683" w:rsidRDefault="00BA18A0" w:rsidP="00BA18A0">
      <w:pPr>
        <w:pStyle w:val="Caption"/>
        <w:keepNext/>
        <w:jc w:val="center"/>
        <w:rPr>
          <w:rFonts w:ascii="Times New Roman" w:hAnsi="Times New Roman"/>
          <w:noProof/>
          <w:sz w:val="24"/>
          <w:szCs w:val="24"/>
          <w:lang w:val="en-US"/>
        </w:rPr>
      </w:pPr>
      <w:r w:rsidRPr="00B40683">
        <w:rPr>
          <w:rFonts w:ascii="Times New Roman" w:hAnsi="Times New Roman"/>
          <w:noProof/>
          <w:sz w:val="24"/>
          <w:szCs w:val="24"/>
          <w:lang w:val="en-US"/>
        </w:rPr>
        <w:t>Implementation of the Swedish Framework Decision</w:t>
      </w:r>
    </w:p>
    <w:p w14:paraId="41785A04" w14:textId="77777777" w:rsidR="00BA18A0" w:rsidRPr="00EF4A8E" w:rsidRDefault="00BA18A0" w:rsidP="00BA18A0">
      <w:pPr>
        <w:jc w:val="center"/>
        <w:rPr>
          <w:noProof/>
        </w:rPr>
      </w:pPr>
      <w:r>
        <w:rPr>
          <w:noProof/>
          <w:lang w:val="en-GB" w:eastAsia="en-GB"/>
        </w:rPr>
        <w:drawing>
          <wp:inline distT="0" distB="0" distL="0" distR="0" wp14:anchorId="6AEB761A" wp14:editId="661EBC14">
            <wp:extent cx="3809633" cy="2541600"/>
            <wp:effectExtent l="0" t="0" r="635" b="0"/>
            <wp:docPr id="4" name="Chart 4">
              <a:extLst xmlns:a="http://schemas.openxmlformats.org/drawingml/2006/main">
                <a:ext uri="{FF2B5EF4-FFF2-40B4-BE49-F238E27FC236}">
                  <a16:creationId xmlns:a16="http://schemas.microsoft.com/office/drawing/2014/main" id="{6504D08A-86CA-40E0-BABB-5C96B7A22E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41221BED" w14:textId="77777777" w:rsidR="00BA18A0" w:rsidRPr="00704502" w:rsidRDefault="00F2213E" w:rsidP="00704502">
      <w:pPr>
        <w:jc w:val="center"/>
        <w:rPr>
          <w:rFonts w:ascii="Verdana" w:hAnsi="Verdana"/>
          <w:i/>
          <w:noProof/>
          <w:color w:val="7F7F7F" w:themeColor="text1" w:themeTint="80"/>
          <w:sz w:val="16"/>
          <w:szCs w:val="16"/>
        </w:rPr>
      </w:pPr>
      <w:r w:rsidRPr="00970640">
        <w:rPr>
          <w:rStyle w:val="SubtleEmphasis"/>
          <w:noProof/>
          <w:sz w:val="16"/>
          <w:szCs w:val="16"/>
        </w:rPr>
        <w:t xml:space="preserve">Source: </w:t>
      </w:r>
      <w:r w:rsidRPr="004843FA">
        <w:rPr>
          <w:rFonts w:ascii="Verdana" w:hAnsi="Verdana"/>
          <w:i/>
          <w:noProof/>
          <w:color w:val="7F7F7F" w:themeColor="text1" w:themeTint="80"/>
          <w:sz w:val="16"/>
          <w:szCs w:val="16"/>
        </w:rPr>
        <w:t>EY/RAND Euro</w:t>
      </w:r>
      <w:r w:rsidRPr="007D09BC">
        <w:rPr>
          <w:rFonts w:ascii="Verdana" w:hAnsi="Verdana"/>
          <w:i/>
          <w:noProof/>
          <w:color w:val="7F7F7F" w:themeColor="text1" w:themeTint="80"/>
          <w:sz w:val="16"/>
          <w:szCs w:val="16"/>
        </w:rPr>
        <w:t xml:space="preserve">pe </w:t>
      </w:r>
      <w:r w:rsidRPr="00B37FA8">
        <w:rPr>
          <w:rFonts w:ascii="Verdana" w:hAnsi="Verdana"/>
          <w:i/>
          <w:noProof/>
          <w:color w:val="7F7F7F" w:themeColor="text1" w:themeTint="80"/>
          <w:sz w:val="16"/>
          <w:szCs w:val="16"/>
        </w:rPr>
        <w:t>Study’s elaboration</w:t>
      </w:r>
      <w:r w:rsidRPr="006764E6">
        <w:rPr>
          <w:rStyle w:val="SubtleEmphasis"/>
          <w:noProof/>
          <w:sz w:val="16"/>
          <w:szCs w:val="16"/>
        </w:rPr>
        <w:t xml:space="preserve"> based on </w:t>
      </w:r>
      <w:r w:rsidR="00BA18A0" w:rsidRPr="00704502">
        <w:rPr>
          <w:rStyle w:val="Subtitle21"/>
          <w:noProof/>
          <w:sz w:val="16"/>
          <w:szCs w:val="16"/>
        </w:rPr>
        <w:t>on Schengen evaluation reports</w:t>
      </w:r>
    </w:p>
    <w:p w14:paraId="54963015" w14:textId="77777777" w:rsidR="00BA18A0" w:rsidRPr="00B40683" w:rsidRDefault="00BA18A0" w:rsidP="00900BC7">
      <w:pPr>
        <w:pStyle w:val="Body"/>
        <w:numPr>
          <w:ilvl w:val="0"/>
          <w:numId w:val="81"/>
        </w:numPr>
        <w:spacing w:before="120" w:after="120"/>
        <w:jc w:val="both"/>
        <w:rPr>
          <w:rFonts w:ascii="Times New Roman" w:hAnsi="Times New Roman"/>
          <w:noProof/>
          <w:sz w:val="24"/>
          <w:szCs w:val="24"/>
        </w:rPr>
      </w:pPr>
      <w:r w:rsidRPr="00B40683">
        <w:rPr>
          <w:rFonts w:ascii="Times New Roman" w:hAnsi="Times New Roman"/>
          <w:noProof/>
          <w:color w:val="000000" w:themeColor="text1"/>
          <w:sz w:val="24"/>
          <w:szCs w:val="24"/>
        </w:rPr>
        <w:t>15 countries report limited use of the forms of the SFD. If new, simpler, and more user-friendly forms were to be introduced, these 15 countries might be particularly affected.</w:t>
      </w:r>
    </w:p>
    <w:p w14:paraId="20BF7F6E" w14:textId="77777777" w:rsidR="00BA18A0" w:rsidRPr="00B40683" w:rsidRDefault="00BA18A0" w:rsidP="00900BC7">
      <w:pPr>
        <w:pStyle w:val="Body"/>
        <w:numPr>
          <w:ilvl w:val="0"/>
          <w:numId w:val="81"/>
        </w:numPr>
        <w:spacing w:before="120" w:after="120"/>
        <w:jc w:val="both"/>
        <w:rPr>
          <w:rFonts w:ascii="Times New Roman" w:hAnsi="Times New Roman"/>
          <w:noProof/>
          <w:sz w:val="24"/>
          <w:szCs w:val="24"/>
        </w:rPr>
      </w:pPr>
      <w:r w:rsidRPr="00B40683">
        <w:rPr>
          <w:rFonts w:ascii="Times New Roman" w:hAnsi="Times New Roman"/>
          <w:noProof/>
          <w:color w:val="000000" w:themeColor="text1"/>
          <w:sz w:val="24"/>
          <w:szCs w:val="24"/>
        </w:rPr>
        <w:t>10 countries report limited operational implementation of the SFD. If new, simpler, and more user-friendly forms were to be introduced, these 10 countries might be particularly affected.</w:t>
      </w:r>
    </w:p>
    <w:bookmarkEnd w:id="228"/>
    <w:p w14:paraId="6D8864B7" w14:textId="77777777" w:rsidR="00BA18A0" w:rsidRDefault="00BA18A0" w:rsidP="00BA18A0">
      <w:pPr>
        <w:pStyle w:val="Caption"/>
        <w:keepNext/>
        <w:jc w:val="center"/>
        <w:rPr>
          <w:noProof/>
        </w:rPr>
      </w:pPr>
      <w:r w:rsidRPr="00B40683">
        <w:rPr>
          <w:rFonts w:ascii="Times New Roman" w:hAnsi="Times New Roman"/>
          <w:noProof/>
          <w:sz w:val="24"/>
          <w:szCs w:val="24"/>
          <w:lang w:val="en-GB"/>
        </w:rPr>
        <w:t>Preferred</w:t>
      </w:r>
      <w:r w:rsidRPr="00B40683">
        <w:rPr>
          <w:rFonts w:ascii="Times New Roman" w:hAnsi="Times New Roman"/>
          <w:noProof/>
          <w:sz w:val="24"/>
          <w:szCs w:val="24"/>
        </w:rPr>
        <w:t xml:space="preserve"> communication channel</w:t>
      </w:r>
    </w:p>
    <w:p w14:paraId="248CC4CE" w14:textId="77777777" w:rsidR="00BA18A0" w:rsidRPr="00767106" w:rsidRDefault="00BA18A0" w:rsidP="00BA18A0">
      <w:pPr>
        <w:spacing w:after="0"/>
        <w:jc w:val="center"/>
        <w:rPr>
          <w:noProof/>
        </w:rPr>
      </w:pPr>
      <w:r>
        <w:rPr>
          <w:noProof/>
          <w:lang w:val="en-GB" w:eastAsia="en-GB"/>
        </w:rPr>
        <w:drawing>
          <wp:inline distT="0" distB="0" distL="0" distR="0" wp14:anchorId="44223630" wp14:editId="6F85B0FE">
            <wp:extent cx="3805400" cy="2541600"/>
            <wp:effectExtent l="0" t="0" r="5080" b="0"/>
            <wp:docPr id="21" name="Chart 21">
              <a:extLst xmlns:a="http://schemas.openxmlformats.org/drawingml/2006/main">
                <a:ext uri="{FF2B5EF4-FFF2-40B4-BE49-F238E27FC236}">
                  <a16:creationId xmlns:a16="http://schemas.microsoft.com/office/drawing/2014/main" id="{5CEE0F63-F781-40E7-9064-C830ACA89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4766E448" w14:textId="77777777" w:rsidR="00BA18A0" w:rsidRPr="00704502" w:rsidRDefault="00F2213E" w:rsidP="00704502">
      <w:pPr>
        <w:jc w:val="center"/>
        <w:rPr>
          <w:rStyle w:val="Subtitle21"/>
          <w:iCs w:val="0"/>
          <w:noProof/>
          <w:color w:val="7F7F7F" w:themeColor="text1" w:themeTint="80"/>
          <w:szCs w:val="18"/>
        </w:rPr>
      </w:pPr>
      <w:r w:rsidRPr="00B77914">
        <w:rPr>
          <w:rStyle w:val="SubtleEmphasis"/>
          <w:noProof/>
          <w:sz w:val="16"/>
          <w:szCs w:val="18"/>
        </w:rPr>
        <w:t xml:space="preserve">Source: </w:t>
      </w:r>
      <w:r w:rsidRPr="00B77914">
        <w:rPr>
          <w:rFonts w:ascii="Verdana" w:hAnsi="Verdana"/>
          <w:i/>
          <w:noProof/>
          <w:color w:val="7F7F7F" w:themeColor="text1" w:themeTint="80"/>
          <w:sz w:val="16"/>
          <w:szCs w:val="18"/>
        </w:rPr>
        <w:t>EY/RAND Europe Study’s elaboration</w:t>
      </w:r>
      <w:r w:rsidRPr="00B77914">
        <w:rPr>
          <w:rStyle w:val="SubtleEmphasis"/>
          <w:noProof/>
          <w:sz w:val="16"/>
          <w:szCs w:val="18"/>
        </w:rPr>
        <w:t xml:space="preserve"> based on </w:t>
      </w:r>
      <w:r w:rsidR="00BA18A0" w:rsidRPr="00704502">
        <w:rPr>
          <w:rStyle w:val="Subtitle21"/>
          <w:noProof/>
          <w:sz w:val="16"/>
        </w:rPr>
        <w:t>Schengen evaluation reports</w:t>
      </w:r>
    </w:p>
    <w:p w14:paraId="51508901" w14:textId="77777777" w:rsidR="00BA18A0" w:rsidRPr="00B40683" w:rsidRDefault="00BA18A0" w:rsidP="00BA18A0">
      <w:pPr>
        <w:pStyle w:val="Caption"/>
        <w:keepNext/>
        <w:jc w:val="center"/>
        <w:rPr>
          <w:rFonts w:ascii="Times New Roman" w:hAnsi="Times New Roman"/>
          <w:noProof/>
          <w:sz w:val="24"/>
          <w:szCs w:val="24"/>
        </w:rPr>
      </w:pPr>
      <w:r w:rsidRPr="00B40683">
        <w:rPr>
          <w:rFonts w:ascii="Times New Roman" w:hAnsi="Times New Roman"/>
          <w:noProof/>
          <w:sz w:val="24"/>
          <w:szCs w:val="24"/>
          <w:lang w:val="en-GB"/>
        </w:rPr>
        <w:t>Preferred</w:t>
      </w:r>
      <w:r w:rsidRPr="00B40683">
        <w:rPr>
          <w:rFonts w:ascii="Times New Roman" w:hAnsi="Times New Roman"/>
          <w:noProof/>
          <w:sz w:val="24"/>
          <w:szCs w:val="24"/>
        </w:rPr>
        <w:t xml:space="preserve"> communication channel</w:t>
      </w:r>
    </w:p>
    <w:p w14:paraId="19A4C5F4" w14:textId="77777777" w:rsidR="00BA18A0" w:rsidRPr="00767106" w:rsidRDefault="00BA18A0" w:rsidP="00BA18A0">
      <w:pPr>
        <w:spacing w:after="0"/>
        <w:jc w:val="center"/>
        <w:rPr>
          <w:noProof/>
        </w:rPr>
      </w:pPr>
      <w:r>
        <w:rPr>
          <w:noProof/>
          <w:lang w:val="en-GB" w:eastAsia="en-GB"/>
        </w:rPr>
        <w:drawing>
          <wp:inline distT="0" distB="0" distL="0" distR="0" wp14:anchorId="76E3ED24" wp14:editId="210D7B6F">
            <wp:extent cx="3809633" cy="2541600"/>
            <wp:effectExtent l="0" t="0" r="635" b="0"/>
            <wp:docPr id="23" name="Chart 23">
              <a:extLst xmlns:a="http://schemas.openxmlformats.org/drawingml/2006/main">
                <a:ext uri="{FF2B5EF4-FFF2-40B4-BE49-F238E27FC236}">
                  <a16:creationId xmlns:a16="http://schemas.microsoft.com/office/drawing/2014/main" id="{B7D5A5C3-22E9-4A10-BDD1-7314BD109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614AEC44" w14:textId="77777777" w:rsidR="00BA18A0" w:rsidRPr="00704502" w:rsidRDefault="00F2213E" w:rsidP="00704502">
      <w:pPr>
        <w:jc w:val="center"/>
        <w:rPr>
          <w:rStyle w:val="Subtitle21"/>
          <w:iCs w:val="0"/>
          <w:noProof/>
          <w:color w:val="7F7F7F" w:themeColor="text1" w:themeTint="80"/>
          <w:sz w:val="16"/>
          <w:szCs w:val="16"/>
        </w:rPr>
      </w:pPr>
      <w:r w:rsidRPr="00970640">
        <w:rPr>
          <w:rStyle w:val="SubtleEmphasis"/>
          <w:noProof/>
          <w:sz w:val="16"/>
          <w:szCs w:val="16"/>
        </w:rPr>
        <w:t xml:space="preserve">Source: </w:t>
      </w:r>
      <w:r w:rsidRPr="00704502">
        <w:rPr>
          <w:rFonts w:ascii="Verdana" w:hAnsi="Verdana"/>
          <w:i/>
          <w:noProof/>
          <w:color w:val="7F7F7F" w:themeColor="text1" w:themeTint="80"/>
          <w:sz w:val="16"/>
          <w:szCs w:val="16"/>
        </w:rPr>
        <w:t>EY/RAND Europe Study’s elaboration</w:t>
      </w:r>
      <w:r w:rsidRPr="00970640">
        <w:rPr>
          <w:rStyle w:val="SubtleEmphasis"/>
          <w:noProof/>
          <w:sz w:val="16"/>
          <w:szCs w:val="16"/>
        </w:rPr>
        <w:t xml:space="preserve"> based on </w:t>
      </w:r>
      <w:r w:rsidR="00BA18A0" w:rsidRPr="00704502">
        <w:rPr>
          <w:rStyle w:val="Subtitle21"/>
          <w:noProof/>
          <w:sz w:val="16"/>
          <w:szCs w:val="16"/>
        </w:rPr>
        <w:t>Schengen evaluation reports</w:t>
      </w:r>
    </w:p>
    <w:p w14:paraId="1256E99D" w14:textId="77777777" w:rsidR="00BA18A0" w:rsidRPr="00B40683" w:rsidRDefault="00BA18A0" w:rsidP="00900BC7">
      <w:pPr>
        <w:pStyle w:val="Body"/>
        <w:numPr>
          <w:ilvl w:val="0"/>
          <w:numId w:val="82"/>
        </w:numPr>
        <w:spacing w:before="120" w:after="120"/>
        <w:jc w:val="both"/>
        <w:rPr>
          <w:rFonts w:ascii="Times New Roman" w:hAnsi="Times New Roman"/>
          <w:noProof/>
          <w:color w:val="000000" w:themeColor="text1"/>
          <w:sz w:val="24"/>
          <w:szCs w:val="24"/>
        </w:rPr>
      </w:pPr>
      <w:r w:rsidRPr="00B40683">
        <w:rPr>
          <w:rFonts w:ascii="Times New Roman" w:hAnsi="Times New Roman"/>
          <w:noProof/>
          <w:color w:val="000000" w:themeColor="text1"/>
          <w:sz w:val="24"/>
          <w:szCs w:val="24"/>
        </w:rPr>
        <w:t>If SIENA was established as the preferred/default channel for information exchange, this would imply changes for 4 countries who currently prefer the I-24/7 channel.</w:t>
      </w:r>
    </w:p>
    <w:p w14:paraId="2B4CD7A5" w14:textId="77777777" w:rsidR="00BA18A0" w:rsidRPr="00B40683" w:rsidRDefault="00BA18A0" w:rsidP="00900BC7">
      <w:pPr>
        <w:pStyle w:val="Body"/>
        <w:numPr>
          <w:ilvl w:val="0"/>
          <w:numId w:val="82"/>
        </w:numPr>
        <w:spacing w:before="120" w:after="120"/>
        <w:jc w:val="both"/>
        <w:rPr>
          <w:rFonts w:ascii="Times New Roman" w:hAnsi="Times New Roman"/>
          <w:noProof/>
          <w:color w:val="000000" w:themeColor="text1"/>
          <w:sz w:val="24"/>
          <w:szCs w:val="24"/>
        </w:rPr>
      </w:pPr>
      <w:r w:rsidRPr="00B40683">
        <w:rPr>
          <w:rFonts w:ascii="Times New Roman" w:hAnsi="Times New Roman"/>
          <w:noProof/>
          <w:color w:val="000000" w:themeColor="text1"/>
          <w:sz w:val="24"/>
          <w:szCs w:val="24"/>
        </w:rPr>
        <w:t>For those 17 countries which are indifferent between communication channels establishing SIENA as the preferred / default channel would imply smaller changes as for those who clearly prefer the I-24/7.</w:t>
      </w:r>
    </w:p>
    <w:p w14:paraId="3DF9A3D7" w14:textId="77777777" w:rsidR="00BA18A0" w:rsidRPr="00B40683" w:rsidRDefault="00BA18A0" w:rsidP="00900BC7">
      <w:pPr>
        <w:pStyle w:val="Body"/>
        <w:numPr>
          <w:ilvl w:val="0"/>
          <w:numId w:val="82"/>
        </w:numPr>
        <w:spacing w:before="120" w:after="120"/>
        <w:jc w:val="both"/>
        <w:rPr>
          <w:rFonts w:ascii="Times New Roman" w:hAnsi="Times New Roman"/>
          <w:noProof/>
          <w:color w:val="000000" w:themeColor="text1"/>
          <w:sz w:val="24"/>
          <w:szCs w:val="24"/>
        </w:rPr>
      </w:pPr>
      <w:r w:rsidRPr="00B40683">
        <w:rPr>
          <w:rFonts w:ascii="Times New Roman" w:hAnsi="Times New Roman"/>
          <w:noProof/>
          <w:color w:val="000000" w:themeColor="text1"/>
          <w:sz w:val="24"/>
          <w:szCs w:val="24"/>
        </w:rPr>
        <w:t>For 5 countries which use SIENA as the preferred communication channel, no change is expected.</w:t>
      </w:r>
    </w:p>
    <w:p w14:paraId="2D0F5336" w14:textId="77777777" w:rsidR="00BA18A0" w:rsidRPr="00B40683" w:rsidRDefault="00BA18A0" w:rsidP="00900BC7">
      <w:pPr>
        <w:pStyle w:val="Body"/>
        <w:numPr>
          <w:ilvl w:val="0"/>
          <w:numId w:val="82"/>
        </w:numPr>
        <w:spacing w:before="120" w:after="120"/>
        <w:jc w:val="both"/>
        <w:rPr>
          <w:rFonts w:ascii="Times New Roman" w:hAnsi="Times New Roman"/>
          <w:noProof/>
          <w:color w:val="000000" w:themeColor="text1"/>
          <w:sz w:val="24"/>
          <w:szCs w:val="24"/>
        </w:rPr>
      </w:pPr>
      <w:r w:rsidRPr="00B40683">
        <w:rPr>
          <w:rFonts w:ascii="Times New Roman" w:hAnsi="Times New Roman"/>
          <w:noProof/>
          <w:color w:val="000000" w:themeColor="text1"/>
          <w:sz w:val="24"/>
          <w:szCs w:val="24"/>
        </w:rPr>
        <w:t>If English was established as the default language for the use of SIENA and if newer, simpler and more user-friendly forms were to be established, all countries would be affected.</w:t>
      </w:r>
    </w:p>
    <w:p w14:paraId="3FF80BDE" w14:textId="77777777" w:rsidR="00BA18A0" w:rsidRPr="00751353" w:rsidRDefault="00BA18A0" w:rsidP="00BA18A0">
      <w:pPr>
        <w:pStyle w:val="Caption"/>
        <w:keepNext/>
        <w:jc w:val="center"/>
        <w:rPr>
          <w:noProof/>
          <w:lang w:val="en-US"/>
        </w:rPr>
      </w:pPr>
      <w:r w:rsidRPr="00B40683">
        <w:rPr>
          <w:rFonts w:ascii="Times New Roman" w:hAnsi="Times New Roman"/>
          <w:noProof/>
          <w:sz w:val="24"/>
          <w:szCs w:val="24"/>
          <w:lang w:val="en-US"/>
        </w:rPr>
        <w:t>Number of supported operations</w:t>
      </w:r>
    </w:p>
    <w:p w14:paraId="29EC27E7" w14:textId="77777777" w:rsidR="00BA18A0" w:rsidRPr="00784BAA" w:rsidRDefault="00BA18A0" w:rsidP="00BA18A0">
      <w:pPr>
        <w:pStyle w:val="Body"/>
        <w:jc w:val="center"/>
        <w:rPr>
          <w:noProof/>
        </w:rPr>
      </w:pPr>
      <w:r>
        <w:rPr>
          <w:noProof/>
          <w:lang w:eastAsia="en-GB"/>
        </w:rPr>
        <w:drawing>
          <wp:inline distT="0" distB="0" distL="0" distR="0" wp14:anchorId="1D4526D2" wp14:editId="00EF036F">
            <wp:extent cx="4680000" cy="2715837"/>
            <wp:effectExtent l="0" t="0" r="635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4680000" cy="2715837"/>
                    </a:xfrm>
                    <a:prstGeom prst="rect">
                      <a:avLst/>
                    </a:prstGeom>
                  </pic:spPr>
                </pic:pic>
              </a:graphicData>
            </a:graphic>
          </wp:inline>
        </w:drawing>
      </w:r>
    </w:p>
    <w:p w14:paraId="63C3A41B" w14:textId="77777777" w:rsidR="00BA18A0" w:rsidRDefault="00BA18A0" w:rsidP="00BA18A0">
      <w:pPr>
        <w:pStyle w:val="Body"/>
        <w:jc w:val="center"/>
        <w:rPr>
          <w:noProof/>
          <w:color w:val="000000" w:themeColor="text1"/>
        </w:rPr>
      </w:pPr>
      <w:r w:rsidRPr="000F55AF">
        <w:rPr>
          <w:rStyle w:val="SubtleEmphasis"/>
          <w:bCs/>
          <w:noProof/>
        </w:rPr>
        <w:t>Source:</w:t>
      </w:r>
      <w:r>
        <w:rPr>
          <w:rStyle w:val="SubtleEmphasis"/>
          <w:bCs/>
          <w:noProof/>
        </w:rPr>
        <w:t xml:space="preserve"> Europol</w:t>
      </w:r>
      <w:r>
        <w:rPr>
          <w:rStyle w:val="FootnoteReference"/>
          <w:bCs/>
          <w:i/>
          <w:iCs/>
          <w:noProof/>
          <w:color w:val="808080" w:themeColor="text1" w:themeTint="7F"/>
        </w:rPr>
        <w:footnoteReference w:id="339"/>
      </w:r>
    </w:p>
    <w:p w14:paraId="134A033B" w14:textId="77777777" w:rsidR="00BA18A0" w:rsidRPr="00B40683" w:rsidRDefault="00BA18A0" w:rsidP="00BA18A0">
      <w:pPr>
        <w:pStyle w:val="Caption"/>
        <w:keepNext/>
        <w:jc w:val="center"/>
        <w:rPr>
          <w:rFonts w:ascii="Times New Roman" w:hAnsi="Times New Roman"/>
          <w:noProof/>
          <w:sz w:val="24"/>
          <w:szCs w:val="24"/>
          <w:lang w:val="en-US"/>
        </w:rPr>
      </w:pPr>
      <w:r w:rsidRPr="00B40683">
        <w:rPr>
          <w:rFonts w:ascii="Times New Roman" w:hAnsi="Times New Roman"/>
          <w:noProof/>
          <w:sz w:val="24"/>
          <w:szCs w:val="24"/>
          <w:lang w:val="en-US"/>
        </w:rPr>
        <w:t>Number of exchanged messages in SIENA</w:t>
      </w:r>
    </w:p>
    <w:p w14:paraId="196A9D0B" w14:textId="77777777" w:rsidR="00BA18A0" w:rsidRDefault="00BA18A0" w:rsidP="00BA18A0">
      <w:pPr>
        <w:pStyle w:val="Body"/>
        <w:jc w:val="center"/>
        <w:rPr>
          <w:noProof/>
          <w:color w:val="000000" w:themeColor="text1"/>
        </w:rPr>
      </w:pPr>
      <w:r>
        <w:rPr>
          <w:noProof/>
          <w:lang w:eastAsia="en-GB"/>
        </w:rPr>
        <w:drawing>
          <wp:inline distT="0" distB="0" distL="0" distR="0" wp14:anchorId="6C637531" wp14:editId="3E93B7A9">
            <wp:extent cx="4680000" cy="2752256"/>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4680000" cy="2752256"/>
                    </a:xfrm>
                    <a:prstGeom prst="rect">
                      <a:avLst/>
                    </a:prstGeom>
                  </pic:spPr>
                </pic:pic>
              </a:graphicData>
            </a:graphic>
          </wp:inline>
        </w:drawing>
      </w:r>
    </w:p>
    <w:p w14:paraId="2A1761B9" w14:textId="77777777" w:rsidR="00BA18A0" w:rsidRDefault="00BA18A0" w:rsidP="00BA18A0">
      <w:pPr>
        <w:pStyle w:val="Body"/>
        <w:jc w:val="center"/>
        <w:rPr>
          <w:noProof/>
          <w:color w:val="000000" w:themeColor="text1"/>
        </w:rPr>
      </w:pPr>
      <w:r w:rsidRPr="000F55AF">
        <w:rPr>
          <w:rStyle w:val="SubtleEmphasis"/>
          <w:bCs/>
          <w:noProof/>
        </w:rPr>
        <w:t>Source:</w:t>
      </w:r>
      <w:r>
        <w:rPr>
          <w:rStyle w:val="SubtleEmphasis"/>
          <w:bCs/>
          <w:noProof/>
        </w:rPr>
        <w:t xml:space="preserve"> Europol</w:t>
      </w:r>
      <w:r>
        <w:rPr>
          <w:rStyle w:val="FootnoteReference"/>
          <w:bCs/>
          <w:i/>
          <w:iCs/>
          <w:noProof/>
          <w:color w:val="808080" w:themeColor="text1" w:themeTint="7F"/>
        </w:rPr>
        <w:footnoteReference w:id="340"/>
      </w:r>
    </w:p>
    <w:p w14:paraId="2C6B0FF9" w14:textId="77777777" w:rsidR="00BA18A0" w:rsidRPr="00B40683" w:rsidRDefault="00BA18A0" w:rsidP="00BA18A0">
      <w:pPr>
        <w:pStyle w:val="Caption"/>
        <w:keepNext/>
        <w:jc w:val="center"/>
        <w:rPr>
          <w:rFonts w:ascii="Times New Roman" w:hAnsi="Times New Roman"/>
          <w:noProof/>
          <w:sz w:val="24"/>
          <w:szCs w:val="24"/>
          <w:lang w:val="en-US"/>
        </w:rPr>
      </w:pPr>
      <w:r w:rsidRPr="00B40683">
        <w:rPr>
          <w:rFonts w:ascii="Times New Roman" w:hAnsi="Times New Roman"/>
          <w:noProof/>
          <w:sz w:val="24"/>
          <w:szCs w:val="24"/>
          <w:lang w:val="en-US"/>
        </w:rPr>
        <w:t>Number of initiated cases per year</w:t>
      </w:r>
    </w:p>
    <w:p w14:paraId="22508DF0" w14:textId="77777777" w:rsidR="00BA18A0" w:rsidRDefault="00BA18A0" w:rsidP="00BA18A0">
      <w:pPr>
        <w:pStyle w:val="Body"/>
        <w:ind w:left="720"/>
        <w:jc w:val="center"/>
        <w:rPr>
          <w:noProof/>
          <w:color w:val="000000" w:themeColor="text1"/>
        </w:rPr>
      </w:pPr>
      <w:r>
        <w:rPr>
          <w:noProof/>
          <w:lang w:eastAsia="en-GB"/>
        </w:rPr>
        <w:drawing>
          <wp:inline distT="0" distB="0" distL="0" distR="0" wp14:anchorId="43F9B220" wp14:editId="5D334665">
            <wp:extent cx="3600000" cy="2186958"/>
            <wp:effectExtent l="0" t="0" r="63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2"/>
                    <a:srcRect r="50257" b="53603"/>
                    <a:stretch/>
                  </pic:blipFill>
                  <pic:spPr bwMode="auto">
                    <a:xfrm>
                      <a:off x="0" y="0"/>
                      <a:ext cx="3600000" cy="2186958"/>
                    </a:xfrm>
                    <a:prstGeom prst="rect">
                      <a:avLst/>
                    </a:prstGeom>
                    <a:ln>
                      <a:noFill/>
                    </a:ln>
                    <a:extLst>
                      <a:ext uri="{53640926-AAD7-44D8-BBD7-CCE9431645EC}">
                        <a14:shadowObscured xmlns:a14="http://schemas.microsoft.com/office/drawing/2010/main"/>
                      </a:ext>
                    </a:extLst>
                  </pic:spPr>
                </pic:pic>
              </a:graphicData>
            </a:graphic>
          </wp:inline>
        </w:drawing>
      </w:r>
    </w:p>
    <w:p w14:paraId="0761F8CC" w14:textId="77777777" w:rsidR="00BA18A0" w:rsidRDefault="00BA18A0" w:rsidP="00BA18A0">
      <w:pPr>
        <w:pStyle w:val="Body"/>
        <w:jc w:val="center"/>
        <w:rPr>
          <w:rStyle w:val="SubtleEmphasis"/>
          <w:bCs/>
          <w:noProof/>
        </w:rPr>
      </w:pPr>
      <w:r w:rsidRPr="000F55AF">
        <w:rPr>
          <w:rStyle w:val="SubtleEmphasis"/>
          <w:bCs/>
          <w:noProof/>
        </w:rPr>
        <w:t xml:space="preserve">Source: </w:t>
      </w:r>
      <w:r>
        <w:rPr>
          <w:rStyle w:val="SubtleEmphasis"/>
          <w:bCs/>
          <w:noProof/>
        </w:rPr>
        <w:t>Europol, SIENA Annual Report 2020</w:t>
      </w:r>
      <w:r>
        <w:rPr>
          <w:rStyle w:val="FootnoteReference"/>
          <w:bCs/>
          <w:i/>
          <w:iCs/>
          <w:noProof/>
          <w:color w:val="808080" w:themeColor="text1" w:themeTint="7F"/>
        </w:rPr>
        <w:footnoteReference w:id="341"/>
      </w:r>
    </w:p>
    <w:p w14:paraId="0E2B7485" w14:textId="77777777" w:rsidR="00223D57" w:rsidRPr="00B40683" w:rsidRDefault="00223D57" w:rsidP="007C2411">
      <w:pPr>
        <w:pStyle w:val="Heading4"/>
        <w:numPr>
          <w:ilvl w:val="0"/>
          <w:numId w:val="0"/>
        </w:numPr>
        <w:spacing w:after="120"/>
        <w:ind w:left="864" w:hanging="864"/>
        <w:rPr>
          <w:b/>
          <w:i/>
          <w:noProof/>
          <w:color w:val="44546A" w:themeColor="text2"/>
          <w:szCs w:val="24"/>
        </w:rPr>
      </w:pPr>
      <w:r w:rsidRPr="00B40683">
        <w:rPr>
          <w:b/>
          <w:i/>
          <w:noProof/>
          <w:color w:val="44546A" w:themeColor="text2"/>
          <w:szCs w:val="24"/>
        </w:rPr>
        <w:t xml:space="preserve">Effects of the </w:t>
      </w:r>
      <w:r w:rsidR="00235468" w:rsidRPr="00B40683">
        <w:rPr>
          <w:b/>
          <w:i/>
          <w:noProof/>
          <w:color w:val="44546A" w:themeColor="text2"/>
          <w:szCs w:val="24"/>
        </w:rPr>
        <w:t xml:space="preserve">envisaged measures </w:t>
      </w:r>
      <w:r w:rsidRPr="00B40683">
        <w:rPr>
          <w:b/>
          <w:i/>
          <w:noProof/>
          <w:color w:val="44546A" w:themeColor="text2"/>
          <w:szCs w:val="24"/>
        </w:rPr>
        <w:t>on different types of stakeholders</w:t>
      </w:r>
    </w:p>
    <w:p w14:paraId="3421D71A" w14:textId="77777777" w:rsidR="00223D57" w:rsidRPr="00B40683" w:rsidRDefault="00223D57"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 xml:space="preserve">Based on the assessment above, the following table provides an indicative view on the extent to which different types of stakeholders are expected to be affected by the elements concerning each of the specific objectives of the policy option. </w:t>
      </w:r>
    </w:p>
    <w:p w14:paraId="1145D08C" w14:textId="77777777" w:rsidR="00223D57" w:rsidRDefault="00223D57" w:rsidP="00F826FD">
      <w:pPr>
        <w:pStyle w:val="Caption"/>
        <w:keepNext/>
        <w:jc w:val="center"/>
        <w:rPr>
          <w:noProof/>
          <w:lang w:val="en-GB"/>
        </w:rPr>
      </w:pPr>
      <w:bookmarkStart w:id="229" w:name="_Toc75781578"/>
      <w:r w:rsidRPr="00B40683">
        <w:rPr>
          <w:rFonts w:ascii="Times New Roman" w:hAnsi="Times New Roman"/>
          <w:noProof/>
          <w:sz w:val="24"/>
          <w:szCs w:val="24"/>
          <w:lang w:val="en-GB"/>
        </w:rPr>
        <w:t>Impacts on different types of stakeholders</w:t>
      </w:r>
      <w:bookmarkEnd w:id="229"/>
    </w:p>
    <w:tbl>
      <w:tblPr>
        <w:tblW w:w="9747" w:type="dxa"/>
        <w:tblLayout w:type="fixed"/>
        <w:tblLook w:val="04A0" w:firstRow="1" w:lastRow="0" w:firstColumn="1" w:lastColumn="0" w:noHBand="0" w:noVBand="1"/>
      </w:tblPr>
      <w:tblGrid>
        <w:gridCol w:w="1240"/>
        <w:gridCol w:w="2140"/>
        <w:gridCol w:w="1220"/>
        <w:gridCol w:w="5147"/>
      </w:tblGrid>
      <w:tr w:rsidR="00223D57" w:rsidRPr="00031BF8" w14:paraId="3D218554" w14:textId="77777777" w:rsidTr="007C2411">
        <w:trPr>
          <w:trHeight w:val="885"/>
        </w:trPr>
        <w:tc>
          <w:tcPr>
            <w:tcW w:w="4600" w:type="dxa"/>
            <w:gridSpan w:val="3"/>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E5E4501" w14:textId="77777777" w:rsidR="00223D57" w:rsidRPr="00B36E94" w:rsidRDefault="00223D57" w:rsidP="00E571D5">
            <w:pPr>
              <w:spacing w:before="40" w:after="40"/>
              <w:jc w:val="center"/>
              <w:rPr>
                <w:rFonts w:ascii="Calibri" w:hAnsi="Calibri" w:cs="Calibri"/>
                <w:b/>
                <w:bCs/>
                <w:noProof/>
                <w:color w:val="FFFFFF"/>
                <w:sz w:val="22"/>
                <w:szCs w:val="22"/>
                <w:lang w:val="en-GB" w:eastAsia="en-GB"/>
              </w:rPr>
            </w:pPr>
            <w:r w:rsidRPr="00B36E94">
              <w:rPr>
                <w:rFonts w:ascii="Calibri" w:hAnsi="Calibri" w:cs="Calibri"/>
                <w:b/>
                <w:bCs/>
                <w:noProof/>
                <w:color w:val="FFFFFF"/>
                <w:sz w:val="22"/>
                <w:szCs w:val="22"/>
                <w:lang w:val="en-GB" w:eastAsia="en-GB"/>
              </w:rPr>
              <w:t> </w:t>
            </w:r>
          </w:p>
        </w:tc>
        <w:tc>
          <w:tcPr>
            <w:tcW w:w="5147" w:type="dxa"/>
            <w:tcBorders>
              <w:top w:val="single" w:sz="4" w:space="0" w:color="auto"/>
              <w:left w:val="nil"/>
              <w:bottom w:val="single" w:sz="4" w:space="0" w:color="auto"/>
              <w:right w:val="single" w:sz="4" w:space="0" w:color="auto"/>
            </w:tcBorders>
            <w:shd w:val="clear" w:color="000000" w:fill="000000"/>
            <w:hideMark/>
          </w:tcPr>
          <w:p w14:paraId="418A0F67" w14:textId="77777777" w:rsidR="00F826FD" w:rsidRDefault="00F826FD" w:rsidP="00F826FD">
            <w:pPr>
              <w:spacing w:before="40" w:after="40"/>
              <w:jc w:val="center"/>
              <w:rPr>
                <w:rFonts w:ascii="Verdana" w:hAnsi="Verdana" w:cs="Calibri"/>
                <w:b/>
                <w:bCs/>
                <w:noProof/>
                <w:color w:val="FFFFFF"/>
                <w:sz w:val="16"/>
                <w:szCs w:val="16"/>
                <w:lang w:val="en-GB" w:eastAsia="en-GB"/>
              </w:rPr>
            </w:pPr>
          </w:p>
          <w:p w14:paraId="687DCCAA" w14:textId="77777777" w:rsidR="00223D57" w:rsidRPr="00B36E94" w:rsidRDefault="00223D57" w:rsidP="00F826FD">
            <w:pPr>
              <w:spacing w:before="40" w:after="40"/>
              <w:jc w:val="center"/>
              <w:rPr>
                <w:rFonts w:ascii="Verdana" w:hAnsi="Verdana" w:cs="Calibri"/>
                <w:b/>
                <w:bCs/>
                <w:noProof/>
                <w:color w:val="FFFFFF"/>
                <w:sz w:val="16"/>
                <w:szCs w:val="16"/>
                <w:lang w:val="en-GB" w:eastAsia="en-GB"/>
              </w:rPr>
            </w:pPr>
            <w:r w:rsidRPr="00B36E94">
              <w:rPr>
                <w:rFonts w:ascii="Verdana" w:hAnsi="Verdana" w:cs="Calibri"/>
                <w:b/>
                <w:bCs/>
                <w:noProof/>
                <w:color w:val="FFFFFF"/>
                <w:sz w:val="16"/>
                <w:szCs w:val="16"/>
                <w:lang w:val="en-GB" w:eastAsia="en-GB"/>
              </w:rPr>
              <w:t>Access to and exchange of information</w:t>
            </w:r>
          </w:p>
        </w:tc>
      </w:tr>
      <w:tr w:rsidR="00223D57" w:rsidRPr="00B36E94" w14:paraId="3A1A6C85" w14:textId="77777777" w:rsidTr="007C2411">
        <w:trPr>
          <w:trHeight w:val="96"/>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4A04ACC0" w14:textId="77777777" w:rsidR="00223D57" w:rsidRPr="00B36E94" w:rsidRDefault="00223D57" w:rsidP="00E571D5">
            <w:pPr>
              <w:spacing w:before="40" w:after="40"/>
              <w:jc w:val="center"/>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Public authorities</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3064154C" w14:textId="77777777" w:rsidR="00223D57" w:rsidRPr="00B36E94" w:rsidRDefault="00223D57" w:rsidP="00E571D5">
            <w:pPr>
              <w:spacing w:before="40" w:after="40"/>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Law Enforcement Authorities</w:t>
            </w:r>
          </w:p>
        </w:tc>
        <w:tc>
          <w:tcPr>
            <w:tcW w:w="1220" w:type="dxa"/>
            <w:tcBorders>
              <w:top w:val="nil"/>
              <w:left w:val="nil"/>
              <w:bottom w:val="single" w:sz="4" w:space="0" w:color="auto"/>
              <w:right w:val="single" w:sz="4" w:space="0" w:color="auto"/>
            </w:tcBorders>
            <w:shd w:val="clear" w:color="auto" w:fill="auto"/>
            <w:noWrap/>
            <w:vAlign w:val="center"/>
            <w:hideMark/>
          </w:tcPr>
          <w:p w14:paraId="0A91CC65" w14:textId="77777777" w:rsidR="00223D57" w:rsidRPr="00B36E94" w:rsidRDefault="00223D57" w:rsidP="00E571D5">
            <w:pPr>
              <w:spacing w:before="40" w:after="40"/>
              <w:jc w:val="center"/>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SPOCs</w:t>
            </w:r>
          </w:p>
        </w:tc>
        <w:tc>
          <w:tcPr>
            <w:tcW w:w="5147" w:type="dxa"/>
            <w:tcBorders>
              <w:top w:val="single" w:sz="4" w:space="0" w:color="auto"/>
              <w:left w:val="single" w:sz="4" w:space="0" w:color="auto"/>
              <w:bottom w:val="single" w:sz="4" w:space="0" w:color="auto"/>
              <w:right w:val="single" w:sz="4" w:space="0" w:color="auto"/>
            </w:tcBorders>
            <w:shd w:val="clear" w:color="auto" w:fill="A2D289"/>
            <w:noWrap/>
            <w:vAlign w:val="bottom"/>
          </w:tcPr>
          <w:p w14:paraId="165AF29F" w14:textId="77777777" w:rsidR="00223D57" w:rsidRPr="00B36E94" w:rsidRDefault="00223D57" w:rsidP="00E571D5">
            <w:pPr>
              <w:spacing w:before="40" w:after="40"/>
              <w:jc w:val="right"/>
              <w:rPr>
                <w:rFonts w:ascii="Calibri" w:hAnsi="Calibri" w:cs="Calibri"/>
                <w:noProof/>
                <w:color w:val="000000"/>
                <w:sz w:val="22"/>
                <w:szCs w:val="22"/>
                <w:lang w:val="en-GB" w:eastAsia="en-GB"/>
              </w:rPr>
            </w:pPr>
          </w:p>
        </w:tc>
      </w:tr>
      <w:tr w:rsidR="00223D57" w:rsidRPr="00B36E94" w14:paraId="364B1F60" w14:textId="77777777" w:rsidTr="007C2411">
        <w:trPr>
          <w:trHeight w:val="300"/>
        </w:trPr>
        <w:tc>
          <w:tcPr>
            <w:tcW w:w="1240" w:type="dxa"/>
            <w:vMerge/>
            <w:tcBorders>
              <w:top w:val="nil"/>
              <w:left w:val="single" w:sz="4" w:space="0" w:color="auto"/>
              <w:bottom w:val="single" w:sz="4" w:space="0" w:color="auto"/>
              <w:right w:val="single" w:sz="4" w:space="0" w:color="auto"/>
            </w:tcBorders>
            <w:vAlign w:val="center"/>
            <w:hideMark/>
          </w:tcPr>
          <w:p w14:paraId="22C1EAFB" w14:textId="77777777" w:rsidR="00223D57" w:rsidRPr="00B36E94" w:rsidRDefault="00223D57" w:rsidP="00E571D5">
            <w:pPr>
              <w:spacing w:before="40" w:after="40"/>
              <w:rPr>
                <w:rFonts w:ascii="Verdana" w:hAnsi="Verdana" w:cs="Calibri"/>
                <w:b/>
                <w:bCs/>
                <w:noProof/>
                <w:color w:val="000000"/>
                <w:sz w:val="16"/>
                <w:szCs w:val="16"/>
                <w:lang w:val="en-GB" w:eastAsia="en-GB"/>
              </w:rPr>
            </w:pPr>
          </w:p>
        </w:tc>
        <w:tc>
          <w:tcPr>
            <w:tcW w:w="2140" w:type="dxa"/>
            <w:vMerge/>
            <w:tcBorders>
              <w:top w:val="nil"/>
              <w:left w:val="single" w:sz="4" w:space="0" w:color="auto"/>
              <w:bottom w:val="single" w:sz="4" w:space="0" w:color="auto"/>
              <w:right w:val="single" w:sz="4" w:space="0" w:color="auto"/>
            </w:tcBorders>
            <w:vAlign w:val="center"/>
            <w:hideMark/>
          </w:tcPr>
          <w:p w14:paraId="04606FA9" w14:textId="77777777" w:rsidR="00223D57" w:rsidRPr="00B36E94" w:rsidRDefault="00223D57" w:rsidP="00E571D5">
            <w:pPr>
              <w:spacing w:before="40" w:after="40"/>
              <w:rPr>
                <w:rFonts w:ascii="Verdana" w:hAnsi="Verdana" w:cs="Calibri"/>
                <w:b/>
                <w:bCs/>
                <w:noProof/>
                <w:color w:val="000000"/>
                <w:sz w:val="16"/>
                <w:szCs w:val="16"/>
                <w:lang w:val="en-GB" w:eastAsia="en-GB"/>
              </w:rPr>
            </w:pPr>
          </w:p>
        </w:tc>
        <w:tc>
          <w:tcPr>
            <w:tcW w:w="1220" w:type="dxa"/>
            <w:tcBorders>
              <w:top w:val="nil"/>
              <w:left w:val="nil"/>
              <w:bottom w:val="single" w:sz="4" w:space="0" w:color="auto"/>
              <w:right w:val="single" w:sz="4" w:space="0" w:color="auto"/>
            </w:tcBorders>
            <w:shd w:val="clear" w:color="auto" w:fill="auto"/>
            <w:noWrap/>
            <w:vAlign w:val="center"/>
            <w:hideMark/>
          </w:tcPr>
          <w:p w14:paraId="02A85D05" w14:textId="77777777" w:rsidR="00223D57" w:rsidRPr="00B36E94" w:rsidRDefault="00223D57" w:rsidP="00E571D5">
            <w:pPr>
              <w:spacing w:before="40" w:after="40"/>
              <w:jc w:val="center"/>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PCCCs</w:t>
            </w:r>
          </w:p>
        </w:tc>
        <w:tc>
          <w:tcPr>
            <w:tcW w:w="5147" w:type="dxa"/>
            <w:tcBorders>
              <w:top w:val="single" w:sz="4" w:space="0" w:color="auto"/>
              <w:left w:val="single" w:sz="4" w:space="0" w:color="auto"/>
              <w:bottom w:val="single" w:sz="4" w:space="0" w:color="auto"/>
              <w:right w:val="single" w:sz="4" w:space="0" w:color="auto"/>
            </w:tcBorders>
            <w:shd w:val="clear" w:color="auto" w:fill="C1EF9C"/>
            <w:noWrap/>
            <w:vAlign w:val="bottom"/>
          </w:tcPr>
          <w:p w14:paraId="10054C41" w14:textId="77777777" w:rsidR="00223D57" w:rsidRPr="00B36E94" w:rsidRDefault="00223D57" w:rsidP="00E571D5">
            <w:pPr>
              <w:spacing w:before="40" w:after="40"/>
              <w:jc w:val="right"/>
              <w:rPr>
                <w:rFonts w:ascii="Calibri" w:hAnsi="Calibri" w:cs="Calibri"/>
                <w:noProof/>
                <w:color w:val="000000"/>
                <w:sz w:val="22"/>
                <w:szCs w:val="22"/>
                <w:lang w:val="en-GB" w:eastAsia="en-GB"/>
              </w:rPr>
            </w:pPr>
          </w:p>
        </w:tc>
      </w:tr>
      <w:tr w:rsidR="00223D57" w:rsidRPr="00B36E94" w14:paraId="6F7002C0" w14:textId="77777777" w:rsidTr="007C2411">
        <w:trPr>
          <w:trHeight w:val="60"/>
        </w:trPr>
        <w:tc>
          <w:tcPr>
            <w:tcW w:w="1240" w:type="dxa"/>
            <w:vMerge/>
            <w:tcBorders>
              <w:top w:val="nil"/>
              <w:left w:val="single" w:sz="4" w:space="0" w:color="auto"/>
              <w:bottom w:val="single" w:sz="4" w:space="0" w:color="auto"/>
              <w:right w:val="single" w:sz="4" w:space="0" w:color="auto"/>
            </w:tcBorders>
            <w:vAlign w:val="center"/>
            <w:hideMark/>
          </w:tcPr>
          <w:p w14:paraId="7AFF7479" w14:textId="77777777" w:rsidR="00223D57" w:rsidRPr="00B36E94" w:rsidRDefault="00223D57" w:rsidP="00E571D5">
            <w:pPr>
              <w:spacing w:before="40" w:after="40"/>
              <w:rPr>
                <w:rFonts w:ascii="Verdana" w:hAnsi="Verdana" w:cs="Calibri"/>
                <w:b/>
                <w:bCs/>
                <w:noProof/>
                <w:color w:val="000000"/>
                <w:sz w:val="16"/>
                <w:szCs w:val="16"/>
                <w:lang w:val="en-GB" w:eastAsia="en-GB"/>
              </w:rPr>
            </w:pPr>
          </w:p>
        </w:tc>
        <w:tc>
          <w:tcPr>
            <w:tcW w:w="2140" w:type="dxa"/>
            <w:vMerge/>
            <w:tcBorders>
              <w:top w:val="nil"/>
              <w:left w:val="single" w:sz="4" w:space="0" w:color="auto"/>
              <w:bottom w:val="single" w:sz="4" w:space="0" w:color="auto"/>
              <w:right w:val="single" w:sz="4" w:space="0" w:color="auto"/>
            </w:tcBorders>
            <w:vAlign w:val="center"/>
            <w:hideMark/>
          </w:tcPr>
          <w:p w14:paraId="3524348D" w14:textId="77777777" w:rsidR="00223D57" w:rsidRPr="00B36E94" w:rsidRDefault="00223D57" w:rsidP="00E571D5">
            <w:pPr>
              <w:spacing w:before="40" w:after="40"/>
              <w:rPr>
                <w:rFonts w:ascii="Verdana" w:hAnsi="Verdana" w:cs="Calibri"/>
                <w:b/>
                <w:bCs/>
                <w:noProof/>
                <w:color w:val="000000"/>
                <w:sz w:val="16"/>
                <w:szCs w:val="16"/>
                <w:lang w:val="en-GB" w:eastAsia="en-GB"/>
              </w:rPr>
            </w:pPr>
          </w:p>
        </w:tc>
        <w:tc>
          <w:tcPr>
            <w:tcW w:w="1220" w:type="dxa"/>
            <w:tcBorders>
              <w:top w:val="nil"/>
              <w:left w:val="nil"/>
              <w:bottom w:val="single" w:sz="4" w:space="0" w:color="auto"/>
              <w:right w:val="single" w:sz="4" w:space="0" w:color="auto"/>
            </w:tcBorders>
            <w:shd w:val="clear" w:color="auto" w:fill="auto"/>
            <w:noWrap/>
            <w:vAlign w:val="center"/>
            <w:hideMark/>
          </w:tcPr>
          <w:p w14:paraId="4900E2F5" w14:textId="77777777" w:rsidR="00223D57" w:rsidRPr="00B36E94" w:rsidRDefault="00223D57" w:rsidP="00E571D5">
            <w:pPr>
              <w:spacing w:before="40" w:after="40"/>
              <w:jc w:val="center"/>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Other</w:t>
            </w:r>
          </w:p>
        </w:tc>
        <w:tc>
          <w:tcPr>
            <w:tcW w:w="5147" w:type="dxa"/>
            <w:tcBorders>
              <w:top w:val="single" w:sz="4" w:space="0" w:color="auto"/>
              <w:left w:val="single" w:sz="4" w:space="0" w:color="auto"/>
              <w:bottom w:val="single" w:sz="4" w:space="0" w:color="auto"/>
              <w:right w:val="single" w:sz="4" w:space="0" w:color="auto"/>
            </w:tcBorders>
            <w:shd w:val="clear" w:color="auto" w:fill="C1EF9C"/>
            <w:noWrap/>
            <w:vAlign w:val="bottom"/>
          </w:tcPr>
          <w:p w14:paraId="420FB3C2" w14:textId="77777777" w:rsidR="00223D57" w:rsidRPr="00B36E94" w:rsidRDefault="00223D57" w:rsidP="00E571D5">
            <w:pPr>
              <w:spacing w:before="40" w:after="40"/>
              <w:jc w:val="right"/>
              <w:rPr>
                <w:rFonts w:ascii="Calibri" w:hAnsi="Calibri" w:cs="Calibri"/>
                <w:noProof/>
                <w:color w:val="000000"/>
                <w:sz w:val="22"/>
                <w:szCs w:val="22"/>
                <w:lang w:val="en-GB" w:eastAsia="en-GB"/>
              </w:rPr>
            </w:pPr>
          </w:p>
        </w:tc>
      </w:tr>
      <w:tr w:rsidR="00223D57" w:rsidRPr="00B36E94" w14:paraId="25ACD8D7" w14:textId="77777777" w:rsidTr="007C2411">
        <w:trPr>
          <w:trHeight w:val="60"/>
        </w:trPr>
        <w:tc>
          <w:tcPr>
            <w:tcW w:w="1240" w:type="dxa"/>
            <w:vMerge/>
            <w:tcBorders>
              <w:top w:val="nil"/>
              <w:left w:val="single" w:sz="4" w:space="0" w:color="auto"/>
              <w:bottom w:val="single" w:sz="4" w:space="0" w:color="auto"/>
              <w:right w:val="single" w:sz="4" w:space="0" w:color="auto"/>
            </w:tcBorders>
            <w:vAlign w:val="center"/>
            <w:hideMark/>
          </w:tcPr>
          <w:p w14:paraId="37266175" w14:textId="77777777" w:rsidR="00223D57" w:rsidRPr="00B36E94" w:rsidRDefault="00223D57" w:rsidP="00E571D5">
            <w:pPr>
              <w:spacing w:before="40" w:after="40"/>
              <w:rPr>
                <w:rFonts w:ascii="Verdana" w:hAnsi="Verdana" w:cs="Calibri"/>
                <w:b/>
                <w:bCs/>
                <w:noProof/>
                <w:color w:val="000000"/>
                <w:sz w:val="16"/>
                <w:szCs w:val="16"/>
                <w:lang w:val="en-GB" w:eastAsia="en-GB"/>
              </w:rPr>
            </w:pP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14:paraId="567599F2" w14:textId="77777777" w:rsidR="00223D57" w:rsidRPr="00B36E94" w:rsidRDefault="00223D57" w:rsidP="00E571D5">
            <w:pPr>
              <w:spacing w:before="40" w:after="40"/>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Judicial Authorities</w:t>
            </w:r>
          </w:p>
        </w:tc>
        <w:tc>
          <w:tcPr>
            <w:tcW w:w="5147" w:type="dxa"/>
            <w:tcBorders>
              <w:top w:val="single" w:sz="4" w:space="0" w:color="auto"/>
              <w:left w:val="single" w:sz="4" w:space="0" w:color="auto"/>
              <w:bottom w:val="single" w:sz="4" w:space="0" w:color="auto"/>
              <w:right w:val="single" w:sz="4" w:space="0" w:color="auto"/>
            </w:tcBorders>
            <w:shd w:val="clear" w:color="auto" w:fill="FFEF9C"/>
            <w:noWrap/>
            <w:vAlign w:val="bottom"/>
          </w:tcPr>
          <w:p w14:paraId="789FCDF3" w14:textId="77777777" w:rsidR="00223D57" w:rsidRPr="00B36E94" w:rsidRDefault="00223D57" w:rsidP="00E571D5">
            <w:pPr>
              <w:spacing w:before="40" w:after="40"/>
              <w:jc w:val="right"/>
              <w:rPr>
                <w:rFonts w:ascii="Calibri" w:hAnsi="Calibri" w:cs="Calibri"/>
                <w:noProof/>
                <w:color w:val="000000"/>
                <w:sz w:val="22"/>
                <w:szCs w:val="22"/>
                <w:lang w:val="en-GB" w:eastAsia="en-GB"/>
              </w:rPr>
            </w:pPr>
          </w:p>
        </w:tc>
      </w:tr>
      <w:tr w:rsidR="00223D57" w:rsidRPr="00B36E94" w14:paraId="7CF55CEC" w14:textId="77777777" w:rsidTr="007C2411">
        <w:trPr>
          <w:trHeight w:val="96"/>
        </w:trPr>
        <w:tc>
          <w:tcPr>
            <w:tcW w:w="1240" w:type="dxa"/>
            <w:vMerge/>
            <w:tcBorders>
              <w:top w:val="nil"/>
              <w:left w:val="single" w:sz="4" w:space="0" w:color="auto"/>
              <w:bottom w:val="single" w:sz="4" w:space="0" w:color="auto"/>
              <w:right w:val="single" w:sz="4" w:space="0" w:color="auto"/>
            </w:tcBorders>
            <w:vAlign w:val="center"/>
            <w:hideMark/>
          </w:tcPr>
          <w:p w14:paraId="730789CB" w14:textId="77777777" w:rsidR="00223D57" w:rsidRPr="00B36E94" w:rsidRDefault="00223D57" w:rsidP="00E571D5">
            <w:pPr>
              <w:spacing w:before="40" w:after="40"/>
              <w:rPr>
                <w:rFonts w:ascii="Verdana" w:hAnsi="Verdana" w:cs="Calibri"/>
                <w:b/>
                <w:bCs/>
                <w:noProof/>
                <w:color w:val="000000"/>
                <w:sz w:val="16"/>
                <w:szCs w:val="16"/>
                <w:lang w:val="en-GB" w:eastAsia="en-GB"/>
              </w:rPr>
            </w:pPr>
          </w:p>
        </w:tc>
        <w:tc>
          <w:tcPr>
            <w:tcW w:w="3360" w:type="dxa"/>
            <w:gridSpan w:val="2"/>
            <w:tcBorders>
              <w:top w:val="single" w:sz="4" w:space="0" w:color="auto"/>
              <w:left w:val="nil"/>
              <w:bottom w:val="single" w:sz="4" w:space="0" w:color="auto"/>
              <w:right w:val="single" w:sz="4" w:space="0" w:color="auto"/>
            </w:tcBorders>
            <w:shd w:val="clear" w:color="auto" w:fill="auto"/>
            <w:vAlign w:val="center"/>
            <w:hideMark/>
          </w:tcPr>
          <w:p w14:paraId="033E1AD9" w14:textId="77777777" w:rsidR="00223D57" w:rsidRPr="00B36E94" w:rsidRDefault="00223D57" w:rsidP="00E571D5">
            <w:pPr>
              <w:spacing w:before="40" w:after="40"/>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Data Protection Authorities</w:t>
            </w:r>
          </w:p>
        </w:tc>
        <w:tc>
          <w:tcPr>
            <w:tcW w:w="5147" w:type="dxa"/>
            <w:tcBorders>
              <w:top w:val="single" w:sz="4" w:space="0" w:color="auto"/>
              <w:left w:val="single" w:sz="4" w:space="0" w:color="auto"/>
              <w:bottom w:val="single" w:sz="4" w:space="0" w:color="auto"/>
              <w:right w:val="single" w:sz="4" w:space="0" w:color="auto"/>
            </w:tcBorders>
            <w:shd w:val="clear" w:color="auto" w:fill="FFEF9C"/>
            <w:noWrap/>
            <w:vAlign w:val="bottom"/>
          </w:tcPr>
          <w:p w14:paraId="0098B21B" w14:textId="77777777" w:rsidR="00223D57" w:rsidRPr="00B36E94" w:rsidRDefault="00223D57" w:rsidP="00E571D5">
            <w:pPr>
              <w:spacing w:before="40" w:after="40"/>
              <w:jc w:val="right"/>
              <w:rPr>
                <w:rFonts w:ascii="Calibri" w:hAnsi="Calibri" w:cs="Calibri"/>
                <w:noProof/>
                <w:color w:val="000000"/>
                <w:sz w:val="22"/>
                <w:szCs w:val="22"/>
                <w:lang w:val="en-GB" w:eastAsia="en-GB"/>
              </w:rPr>
            </w:pPr>
          </w:p>
        </w:tc>
      </w:tr>
      <w:tr w:rsidR="00223D57" w:rsidRPr="00B36E94" w14:paraId="4A0BC024" w14:textId="77777777" w:rsidTr="007C2411">
        <w:trPr>
          <w:trHeight w:val="96"/>
        </w:trPr>
        <w:tc>
          <w:tcPr>
            <w:tcW w:w="46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AB386" w14:textId="77777777" w:rsidR="00223D57" w:rsidRPr="00B36E94" w:rsidRDefault="00223D57" w:rsidP="00E571D5">
            <w:pPr>
              <w:spacing w:before="40" w:after="40"/>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NGOs</w:t>
            </w:r>
          </w:p>
        </w:tc>
        <w:tc>
          <w:tcPr>
            <w:tcW w:w="5147" w:type="dxa"/>
            <w:tcBorders>
              <w:top w:val="single" w:sz="4" w:space="0" w:color="auto"/>
              <w:left w:val="single" w:sz="4" w:space="0" w:color="auto"/>
              <w:bottom w:val="single" w:sz="4" w:space="0" w:color="auto"/>
              <w:right w:val="single" w:sz="4" w:space="0" w:color="auto"/>
            </w:tcBorders>
            <w:shd w:val="clear" w:color="auto" w:fill="FFEF9C"/>
            <w:noWrap/>
            <w:vAlign w:val="bottom"/>
          </w:tcPr>
          <w:p w14:paraId="0BC61B23" w14:textId="77777777" w:rsidR="00223D57" w:rsidRPr="00B36E94" w:rsidRDefault="00223D57" w:rsidP="00E571D5">
            <w:pPr>
              <w:spacing w:before="40" w:after="40"/>
              <w:jc w:val="right"/>
              <w:rPr>
                <w:rFonts w:ascii="Calibri" w:hAnsi="Calibri" w:cs="Calibri"/>
                <w:noProof/>
                <w:color w:val="000000"/>
                <w:sz w:val="22"/>
                <w:szCs w:val="22"/>
                <w:lang w:val="en-GB" w:eastAsia="en-GB"/>
              </w:rPr>
            </w:pPr>
          </w:p>
        </w:tc>
      </w:tr>
      <w:tr w:rsidR="00223D57" w:rsidRPr="00B36E94" w14:paraId="508CE6B8" w14:textId="77777777" w:rsidTr="007C2411">
        <w:trPr>
          <w:trHeight w:val="300"/>
        </w:trPr>
        <w:tc>
          <w:tcPr>
            <w:tcW w:w="4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D70849" w14:textId="77777777" w:rsidR="00223D57" w:rsidRPr="00B36E94" w:rsidRDefault="00223D57" w:rsidP="00E571D5">
            <w:pPr>
              <w:spacing w:before="40" w:after="40"/>
              <w:rPr>
                <w:rFonts w:ascii="Verdana" w:hAnsi="Verdana" w:cs="Calibri"/>
                <w:b/>
                <w:bCs/>
                <w:noProof/>
                <w:color w:val="000000"/>
                <w:sz w:val="16"/>
                <w:szCs w:val="16"/>
                <w:lang w:val="en-GB" w:eastAsia="en-GB"/>
              </w:rPr>
            </w:pPr>
            <w:r w:rsidRPr="00B36E94">
              <w:rPr>
                <w:rFonts w:ascii="Verdana" w:hAnsi="Verdana" w:cs="Calibri"/>
                <w:b/>
                <w:bCs/>
                <w:noProof/>
                <w:color w:val="000000"/>
                <w:sz w:val="16"/>
                <w:szCs w:val="16"/>
                <w:lang w:val="en-GB" w:eastAsia="en-GB"/>
              </w:rPr>
              <w:t>Citizens / Businesses</w:t>
            </w:r>
          </w:p>
        </w:tc>
        <w:tc>
          <w:tcPr>
            <w:tcW w:w="5147" w:type="dxa"/>
            <w:tcBorders>
              <w:top w:val="single" w:sz="4" w:space="0" w:color="auto"/>
              <w:left w:val="single" w:sz="4" w:space="0" w:color="auto"/>
              <w:bottom w:val="single" w:sz="4" w:space="0" w:color="auto"/>
              <w:right w:val="single" w:sz="4" w:space="0" w:color="auto"/>
            </w:tcBorders>
            <w:shd w:val="clear" w:color="auto" w:fill="C1EF9C"/>
            <w:noWrap/>
            <w:vAlign w:val="bottom"/>
          </w:tcPr>
          <w:p w14:paraId="37659EE1" w14:textId="77777777" w:rsidR="00223D57" w:rsidRPr="00B36E94" w:rsidRDefault="00223D57" w:rsidP="00E571D5">
            <w:pPr>
              <w:spacing w:before="40" w:after="40"/>
              <w:jc w:val="right"/>
              <w:rPr>
                <w:rFonts w:ascii="Calibri" w:hAnsi="Calibri" w:cs="Calibri"/>
                <w:noProof/>
                <w:color w:val="000000"/>
                <w:sz w:val="22"/>
                <w:szCs w:val="22"/>
                <w:lang w:val="en-GB" w:eastAsia="en-GB"/>
              </w:rPr>
            </w:pPr>
          </w:p>
        </w:tc>
      </w:tr>
    </w:tbl>
    <w:p w14:paraId="487BF789" w14:textId="3156C2A8" w:rsidR="00223D57" w:rsidRPr="00AC24E2" w:rsidRDefault="00223D57" w:rsidP="00E619CD">
      <w:pPr>
        <w:pStyle w:val="Body"/>
        <w:spacing w:after="120"/>
        <w:jc w:val="center"/>
        <w:rPr>
          <w:i/>
          <w:noProof/>
          <w:color w:val="7F7F7F" w:themeColor="text1" w:themeTint="80"/>
          <w:sz w:val="16"/>
          <w:szCs w:val="16"/>
        </w:rPr>
      </w:pPr>
      <w:r>
        <w:rPr>
          <w:i/>
          <w:noProof/>
          <w:color w:val="7F7F7F" w:themeColor="text1" w:themeTint="80"/>
          <w:sz w:val="16"/>
          <w:szCs w:val="16"/>
        </w:rPr>
        <w:t>S</w:t>
      </w:r>
      <w:r w:rsidRPr="00AC24E2">
        <w:rPr>
          <w:i/>
          <w:noProof/>
          <w:color w:val="7F7F7F" w:themeColor="text1" w:themeTint="80"/>
          <w:sz w:val="16"/>
          <w:szCs w:val="16"/>
        </w:rPr>
        <w:t xml:space="preserve">ource: </w:t>
      </w:r>
      <w:r w:rsidR="000F0DE5" w:rsidRPr="00CB565C">
        <w:rPr>
          <w:i/>
          <w:noProof/>
          <w:color w:val="7F7F7F" w:themeColor="text1" w:themeTint="80"/>
          <w:sz w:val="18"/>
          <w:szCs w:val="18"/>
        </w:rPr>
        <w:t>EY/RAND Europe Study’s</w:t>
      </w:r>
      <w:r w:rsidR="000F0DE5" w:rsidRPr="00CB565C">
        <w:rPr>
          <w:i/>
          <w:noProof/>
          <w:color w:val="7F7F7F" w:themeColor="text1" w:themeTint="80"/>
          <w:szCs w:val="16"/>
        </w:rPr>
        <w:t xml:space="preserve"> </w:t>
      </w:r>
      <w:r w:rsidR="000F0DE5" w:rsidRPr="00CB565C">
        <w:rPr>
          <w:i/>
          <w:noProof/>
          <w:color w:val="7F7F7F" w:themeColor="text1" w:themeTint="80"/>
          <w:sz w:val="18"/>
          <w:szCs w:val="16"/>
        </w:rPr>
        <w:t xml:space="preserve">elaboration </w:t>
      </w:r>
    </w:p>
    <w:p w14:paraId="56D422AD" w14:textId="77777777" w:rsidR="00E619CD" w:rsidRPr="00E619CD" w:rsidRDefault="00E619CD" w:rsidP="00E619CD">
      <w:pPr>
        <w:pStyle w:val="Body"/>
        <w:spacing w:after="120"/>
        <w:jc w:val="center"/>
        <w:rPr>
          <w:noProof/>
          <w:sz w:val="16"/>
        </w:rPr>
      </w:pPr>
      <w:r w:rsidRPr="00E619CD">
        <w:rPr>
          <w:noProof/>
          <w:sz w:val="16"/>
        </w:rPr>
        <w:t>Cells that are marked in darker green denote a stronger positive impact on the different types of stakeholders, whereas cells that are denoted in yellow denote less strong positive impact.</w:t>
      </w:r>
    </w:p>
    <w:p w14:paraId="234333DF" w14:textId="77777777" w:rsidR="00223D57" w:rsidRPr="00B40683" w:rsidRDefault="00E619CD" w:rsidP="007C2411">
      <w:pPr>
        <w:pStyle w:val="Body"/>
        <w:spacing w:after="120"/>
        <w:jc w:val="both"/>
        <w:rPr>
          <w:rFonts w:ascii="Times New Roman" w:hAnsi="Times New Roman"/>
          <w:bCs/>
          <w:noProof/>
          <w:sz w:val="24"/>
          <w:szCs w:val="24"/>
        </w:rPr>
      </w:pPr>
      <w:r w:rsidRPr="00E22256">
        <w:rPr>
          <w:bCs/>
          <w:noProof/>
        </w:rPr>
        <w:t xml:space="preserve"> </w:t>
      </w:r>
      <w:r w:rsidR="00223D57" w:rsidRPr="00B40683">
        <w:rPr>
          <w:rFonts w:ascii="Times New Roman" w:hAnsi="Times New Roman"/>
          <w:bCs/>
          <w:noProof/>
          <w:sz w:val="24"/>
          <w:szCs w:val="24"/>
        </w:rPr>
        <w:t xml:space="preserve">The table shows that law enforcement authorities </w:t>
      </w:r>
      <w:r w:rsidR="00235468" w:rsidRPr="00B40683">
        <w:rPr>
          <w:rFonts w:ascii="Times New Roman" w:hAnsi="Times New Roman"/>
          <w:bCs/>
          <w:noProof/>
          <w:sz w:val="24"/>
          <w:szCs w:val="24"/>
        </w:rPr>
        <w:t>and citizens/</w:t>
      </w:r>
      <w:r w:rsidR="00223D57" w:rsidRPr="00B40683">
        <w:rPr>
          <w:rFonts w:ascii="Times New Roman" w:hAnsi="Times New Roman"/>
          <w:bCs/>
          <w:noProof/>
          <w:sz w:val="24"/>
          <w:szCs w:val="24"/>
        </w:rPr>
        <w:t>businesses are slightly positively affected in the baseline scenario. However, only minor positive impacts are expected for other public authorities, as well as NGOs.</w:t>
      </w:r>
    </w:p>
    <w:p w14:paraId="6429B080" w14:textId="77777777" w:rsidR="00BA18A0" w:rsidRPr="007C2411" w:rsidRDefault="00BA18A0" w:rsidP="004F4D72">
      <w:pPr>
        <w:pStyle w:val="Text1"/>
        <w:ind w:left="0"/>
        <w:rPr>
          <w:rFonts w:ascii="Times New Roman Bold" w:hAnsi="Times New Roman Bold"/>
          <w:b/>
          <w:smallCaps/>
          <w:noProof/>
          <w:sz w:val="28"/>
          <w:szCs w:val="28"/>
          <w:lang w:val="en-GB"/>
        </w:rPr>
      </w:pPr>
    </w:p>
    <w:p w14:paraId="2E650B13" w14:textId="77777777" w:rsidR="00141DCF" w:rsidRDefault="00141DCF">
      <w:pPr>
        <w:spacing w:after="160" w:line="259" w:lineRule="auto"/>
        <w:rPr>
          <w:rFonts w:ascii="Times New Roman Bold" w:eastAsia="Times New Roman" w:hAnsi="Times New Roman Bold" w:cs="Times New Roman"/>
          <w:b/>
          <w:smallCaps/>
          <w:noProof/>
          <w:sz w:val="28"/>
          <w:szCs w:val="28"/>
        </w:rPr>
      </w:pPr>
      <w:r>
        <w:rPr>
          <w:rFonts w:ascii="Times New Roman Bold" w:hAnsi="Times New Roman Bold"/>
          <w:b/>
          <w:smallCaps/>
          <w:noProof/>
          <w:sz w:val="28"/>
          <w:szCs w:val="28"/>
        </w:rPr>
        <w:br w:type="page"/>
      </w:r>
    </w:p>
    <w:p w14:paraId="756692F1" w14:textId="0304D4A2" w:rsidR="001C5F9E" w:rsidRPr="00AE777C" w:rsidRDefault="001C5F9E" w:rsidP="00AE777C">
      <w:pPr>
        <w:pStyle w:val="AnnexHeading1"/>
        <w:rPr>
          <w:noProof/>
        </w:rPr>
      </w:pPr>
      <w:bookmarkStart w:id="230" w:name="_Toc83801061"/>
      <w:r w:rsidRPr="00AE777C">
        <w:rPr>
          <w:noProof/>
        </w:rPr>
        <w:t>Annex 1</w:t>
      </w:r>
      <w:r w:rsidR="00707BFC">
        <w:rPr>
          <w:noProof/>
        </w:rPr>
        <w:t>0</w:t>
      </w:r>
      <w:r w:rsidRPr="00AE777C">
        <w:rPr>
          <w:noProof/>
        </w:rPr>
        <w:t>: Complementary information on the political feasibility of envisaged measures</w:t>
      </w:r>
      <w:bookmarkEnd w:id="230"/>
      <w:r w:rsidRPr="00AE777C">
        <w:rPr>
          <w:noProof/>
        </w:rPr>
        <w:t xml:space="preserve"> </w:t>
      </w:r>
    </w:p>
    <w:p w14:paraId="7B202CD8" w14:textId="77777777" w:rsidR="00235468" w:rsidRPr="00B40683" w:rsidRDefault="00235468"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Throughout different stages of the study supporting this impact assessment, numerous types of documents have been reviewed and stakeholders have been consulted for contributions and feedback in order to co-develop and fine-tune the policy options (e.g. through interviews, focus groups, the online survey, technical workshops, and the public consultation).</w:t>
      </w:r>
    </w:p>
    <w:p w14:paraId="1C656012" w14:textId="77777777" w:rsidR="00235468" w:rsidRPr="00B40683" w:rsidRDefault="00235468"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 xml:space="preserve">This means that the elements of the policy options were, </w:t>
      </w:r>
      <w:r w:rsidRPr="00B40683">
        <w:rPr>
          <w:rFonts w:ascii="Times New Roman" w:hAnsi="Times New Roman"/>
          <w:i/>
          <w:noProof/>
          <w:sz w:val="24"/>
          <w:szCs w:val="24"/>
        </w:rPr>
        <w:t>inter alia</w:t>
      </w:r>
      <w:r w:rsidRPr="00B40683">
        <w:rPr>
          <w:rFonts w:ascii="Times New Roman" w:hAnsi="Times New Roman"/>
          <w:bCs/>
          <w:noProof/>
          <w:sz w:val="24"/>
          <w:szCs w:val="24"/>
        </w:rPr>
        <w:t>, drafted based on the contents of specific Council Conclusions and, for instance, the outcomes of various Heads of SPOC meetings, as well as based on the direct feedback voiced by individual representatives of Member States and other stakeholder groups.</w:t>
      </w:r>
    </w:p>
    <w:p w14:paraId="782340EB" w14:textId="77777777" w:rsidR="00235468" w:rsidRPr="00B40683" w:rsidRDefault="00235468"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Similar is valid for the assessment of the impacts of the policy options: The primary source was the feedback obtained directly from Member State representatives through the methodologies implemented as part of the study.</w:t>
      </w:r>
    </w:p>
    <w:p w14:paraId="7B7E61EA" w14:textId="77777777" w:rsidR="00235468" w:rsidRPr="00B40683" w:rsidRDefault="00235468"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However, due to the very tight timeframe of this study, the study process did not leave room for the Member States (or other stakeholders groups) to voice a politically negotiated and officially agreed position regarding the impact of the different elements of the policy options. Moreover, it turned out to be very challenging to obtain factual reliable quantitative and qualitative information about the impacts of the policy options on specific Member States and the respective stakeholders affected.</w:t>
      </w:r>
    </w:p>
    <w:p w14:paraId="3A7F599A" w14:textId="77777777" w:rsidR="00235468" w:rsidRPr="00B40683" w:rsidRDefault="00235468"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Therefore, the assessments of the impacts of the policy options have been carried out based on the best information available, including based on expert judgment and the experience of the Study Team.</w:t>
      </w:r>
    </w:p>
    <w:p w14:paraId="429D2BB5" w14:textId="77777777" w:rsidR="00235468" w:rsidRPr="00B40683" w:rsidRDefault="00235468"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Moreover, gauging stakeholders' high-level support for specific elements of the policy options has been challenging within the study process. It should be noted that different types of stakeholders may have different positions.</w:t>
      </w:r>
    </w:p>
    <w:p w14:paraId="22A29287" w14:textId="77777777" w:rsidR="00235468" w:rsidRPr="00B40683" w:rsidRDefault="00235468"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For instance, the extent to which Member States may support the establishment of a common minimum set of data for exchange depends on a wide variety of factors such as:</w:t>
      </w:r>
    </w:p>
    <w:p w14:paraId="51DBFB5D" w14:textId="77777777" w:rsidR="00235468" w:rsidRPr="00B40683" w:rsidRDefault="00235468" w:rsidP="00235468">
      <w:pPr>
        <w:pStyle w:val="Body"/>
        <w:numPr>
          <w:ilvl w:val="0"/>
          <w:numId w:val="8"/>
        </w:numPr>
        <w:spacing w:before="120" w:after="120"/>
        <w:jc w:val="both"/>
        <w:rPr>
          <w:rFonts w:ascii="Times New Roman" w:hAnsi="Times New Roman"/>
          <w:bCs/>
          <w:noProof/>
          <w:sz w:val="24"/>
          <w:szCs w:val="24"/>
        </w:rPr>
      </w:pPr>
      <w:r w:rsidRPr="00B40683">
        <w:rPr>
          <w:rFonts w:ascii="Times New Roman" w:hAnsi="Times New Roman"/>
          <w:bCs/>
          <w:i/>
          <w:iCs/>
          <w:noProof/>
          <w:sz w:val="24"/>
          <w:szCs w:val="24"/>
        </w:rPr>
        <w:t>Legal situation in the Member States:</w:t>
      </w:r>
      <w:r w:rsidRPr="00B40683">
        <w:rPr>
          <w:rFonts w:ascii="Times New Roman" w:hAnsi="Times New Roman"/>
          <w:bCs/>
          <w:noProof/>
          <w:sz w:val="24"/>
          <w:szCs w:val="24"/>
        </w:rPr>
        <w:t xml:space="preserve"> What types of data are already collected and being made available for exchange? Does the envisaged dataset necessitate and extension of that list or is this already sufficiently addressed in the current legal situation?</w:t>
      </w:r>
    </w:p>
    <w:p w14:paraId="7F471312" w14:textId="77777777" w:rsidR="00235468" w:rsidRPr="00B40683" w:rsidRDefault="00235468" w:rsidP="00235468">
      <w:pPr>
        <w:pStyle w:val="Body"/>
        <w:numPr>
          <w:ilvl w:val="0"/>
          <w:numId w:val="8"/>
        </w:numPr>
        <w:spacing w:before="120" w:after="120"/>
        <w:jc w:val="both"/>
        <w:rPr>
          <w:rFonts w:ascii="Times New Roman" w:hAnsi="Times New Roman"/>
          <w:bCs/>
          <w:noProof/>
          <w:sz w:val="24"/>
          <w:szCs w:val="24"/>
        </w:rPr>
      </w:pPr>
      <w:r w:rsidRPr="00B40683">
        <w:rPr>
          <w:rFonts w:ascii="Times New Roman" w:hAnsi="Times New Roman"/>
          <w:bCs/>
          <w:i/>
          <w:iCs/>
          <w:noProof/>
          <w:sz w:val="24"/>
          <w:szCs w:val="24"/>
        </w:rPr>
        <w:t>Political preference of the government:</w:t>
      </w:r>
      <w:r w:rsidRPr="00B40683">
        <w:rPr>
          <w:rFonts w:ascii="Times New Roman" w:hAnsi="Times New Roman"/>
          <w:bCs/>
          <w:noProof/>
          <w:sz w:val="24"/>
          <w:szCs w:val="24"/>
        </w:rPr>
        <w:t xml:space="preserve"> If additional data needs to be collected and made available for exchange, is this regarded as politically opportune? To what extent would this be aligned with existing data protection rules, as well as safeguards for fundamental rights? Moreover, even those Member States that currently do collect those datasets that should be made available, may not be willing to share them with other Member States and SAC.</w:t>
      </w:r>
    </w:p>
    <w:p w14:paraId="64B39625" w14:textId="77777777" w:rsidR="00235468" w:rsidRPr="00B40683" w:rsidRDefault="00235468" w:rsidP="003E7245">
      <w:pPr>
        <w:pStyle w:val="Body"/>
        <w:numPr>
          <w:ilvl w:val="0"/>
          <w:numId w:val="8"/>
        </w:numPr>
        <w:spacing w:before="120" w:after="120"/>
        <w:jc w:val="both"/>
        <w:rPr>
          <w:rFonts w:ascii="Times New Roman" w:hAnsi="Times New Roman"/>
          <w:bCs/>
          <w:noProof/>
          <w:sz w:val="24"/>
          <w:szCs w:val="24"/>
        </w:rPr>
      </w:pPr>
      <w:r w:rsidRPr="00B40683">
        <w:rPr>
          <w:rFonts w:ascii="Times New Roman" w:hAnsi="Times New Roman"/>
          <w:bCs/>
          <w:i/>
          <w:iCs/>
          <w:noProof/>
          <w:sz w:val="24"/>
          <w:szCs w:val="24"/>
        </w:rPr>
        <w:t>Perceived complexity to implement certain elements of the policy options in practice:</w:t>
      </w:r>
      <w:r w:rsidRPr="00B40683">
        <w:rPr>
          <w:rFonts w:ascii="Times New Roman" w:hAnsi="Times New Roman"/>
          <w:bCs/>
          <w:noProof/>
          <w:sz w:val="24"/>
          <w:szCs w:val="24"/>
        </w:rPr>
        <w:t xml:space="preserve"> To what extent and how do legislative, technical, and operational changes have to be implemented in order to enable making available a certain set of data to other Member States? What is a realistic timeline and budget that needs to be allocated and spent in this regard?</w:t>
      </w:r>
    </w:p>
    <w:p w14:paraId="5893E5FA" w14:textId="77777777" w:rsidR="00235468" w:rsidRPr="00B40683" w:rsidRDefault="00235468" w:rsidP="00F43040">
      <w:pPr>
        <w:pStyle w:val="Body"/>
        <w:numPr>
          <w:ilvl w:val="0"/>
          <w:numId w:val="8"/>
        </w:numPr>
        <w:spacing w:before="120" w:after="120"/>
        <w:jc w:val="both"/>
        <w:rPr>
          <w:rFonts w:ascii="Times New Roman" w:hAnsi="Times New Roman"/>
          <w:bCs/>
          <w:noProof/>
          <w:sz w:val="24"/>
          <w:szCs w:val="24"/>
        </w:rPr>
      </w:pPr>
      <w:r w:rsidRPr="00B40683">
        <w:rPr>
          <w:rFonts w:ascii="Times New Roman" w:hAnsi="Times New Roman"/>
          <w:bCs/>
          <w:i/>
          <w:iCs/>
          <w:noProof/>
          <w:sz w:val="24"/>
          <w:szCs w:val="24"/>
        </w:rPr>
        <w:t>Type of stakeholder queried for feedback on a specific element:</w:t>
      </w:r>
      <w:r w:rsidRPr="00B40683">
        <w:rPr>
          <w:rFonts w:ascii="Times New Roman" w:hAnsi="Times New Roman"/>
          <w:bCs/>
          <w:noProof/>
          <w:sz w:val="24"/>
          <w:szCs w:val="24"/>
        </w:rPr>
        <w:t xml:space="preserve"> What are the different positions of LEAs (including e.g. SPOCs and PCCCs), judicial authorities, data protection authorities, NGOs and civil society organisations?</w:t>
      </w:r>
    </w:p>
    <w:p w14:paraId="3CEA8E2C" w14:textId="77777777" w:rsidR="00235468" w:rsidRPr="00B40683" w:rsidRDefault="00235468" w:rsidP="007C2411">
      <w:pPr>
        <w:pStyle w:val="Body"/>
        <w:spacing w:after="120"/>
        <w:jc w:val="both"/>
        <w:rPr>
          <w:rFonts w:ascii="Times New Roman" w:hAnsi="Times New Roman"/>
          <w:bCs/>
          <w:noProof/>
          <w:sz w:val="24"/>
          <w:szCs w:val="24"/>
        </w:rPr>
      </w:pPr>
      <w:r w:rsidRPr="00B40683">
        <w:rPr>
          <w:rFonts w:ascii="Times New Roman" w:hAnsi="Times New Roman"/>
          <w:bCs/>
          <w:noProof/>
          <w:sz w:val="24"/>
          <w:szCs w:val="24"/>
        </w:rPr>
        <w:t xml:space="preserve">Although a complex and challenging endeavour, the study team was able to gauge stakeholders' </w:t>
      </w:r>
      <w:r w:rsidRPr="00B40683">
        <w:rPr>
          <w:rFonts w:ascii="Times New Roman" w:hAnsi="Times New Roman"/>
          <w:bCs/>
          <w:i/>
          <w:iCs/>
          <w:noProof/>
          <w:sz w:val="24"/>
          <w:szCs w:val="24"/>
        </w:rPr>
        <w:t xml:space="preserve">personal </w:t>
      </w:r>
      <w:r w:rsidRPr="00B40683">
        <w:rPr>
          <w:rFonts w:ascii="Times New Roman" w:hAnsi="Times New Roman"/>
          <w:bCs/>
          <w:noProof/>
          <w:sz w:val="24"/>
          <w:szCs w:val="24"/>
        </w:rPr>
        <w:t>high-level views on the policy options throughout the study process in an indicative way (meaning not based on official positions established by stakeholders). The respective indications of support for overarching and more specific elements of the policy options by various types of stakeholder groups have been provided in the following table using a rating from weaker (white) to stronger support (dark green).</w:t>
      </w:r>
    </w:p>
    <w:p w14:paraId="0D5D0C79" w14:textId="77777777" w:rsidR="00235468" w:rsidRPr="00B40683" w:rsidRDefault="00235468" w:rsidP="007C2411">
      <w:pPr>
        <w:pStyle w:val="Body"/>
        <w:jc w:val="both"/>
        <w:rPr>
          <w:rFonts w:ascii="Times New Roman" w:hAnsi="Times New Roman"/>
          <w:bCs/>
          <w:noProof/>
          <w:sz w:val="24"/>
          <w:szCs w:val="24"/>
        </w:rPr>
      </w:pPr>
      <w:r w:rsidRPr="00B40683">
        <w:rPr>
          <w:rFonts w:ascii="Times New Roman" w:hAnsi="Times New Roman"/>
          <w:b/>
          <w:noProof/>
          <w:sz w:val="24"/>
          <w:szCs w:val="24"/>
        </w:rPr>
        <w:t>The table should only be read as an indication of the Study Team's understanding of general trends</w:t>
      </w:r>
      <w:r w:rsidRPr="00B40683">
        <w:rPr>
          <w:rFonts w:ascii="Times New Roman" w:hAnsi="Times New Roman"/>
          <w:bCs/>
          <w:noProof/>
          <w:sz w:val="24"/>
          <w:szCs w:val="24"/>
        </w:rPr>
        <w:t xml:space="preserve"> concerning the potential high-level support of stakeholders for (specific aspects of) the policy options. The table is not based on official positions provided by the Member States. In fact, it is very likely that specific stakeholders in specific Member States have a differing view from what is indicated in the table when it comes to the legal, technical and structural specificities of the elements of the policy options. </w:t>
      </w:r>
    </w:p>
    <w:p w14:paraId="45B4334E" w14:textId="77777777" w:rsidR="00235468" w:rsidRPr="00AC24E2" w:rsidRDefault="00235468" w:rsidP="00F826FD">
      <w:pPr>
        <w:pStyle w:val="Caption"/>
        <w:keepNext/>
        <w:jc w:val="center"/>
        <w:rPr>
          <w:noProof/>
          <w:lang w:val="en-GB"/>
        </w:rPr>
      </w:pPr>
      <w:bookmarkStart w:id="231" w:name="_Toc75781586"/>
      <w:r w:rsidRPr="00B40683">
        <w:rPr>
          <w:rFonts w:ascii="Times New Roman" w:hAnsi="Times New Roman"/>
          <w:noProof/>
          <w:sz w:val="24"/>
          <w:szCs w:val="24"/>
          <w:lang w:val="en-GB"/>
        </w:rPr>
        <w:t>Stakeholders</w:t>
      </w:r>
      <w:r w:rsidR="002A7A17">
        <w:rPr>
          <w:rFonts w:ascii="Times New Roman" w:hAnsi="Times New Roman"/>
          <w:noProof/>
          <w:sz w:val="24"/>
          <w:szCs w:val="24"/>
          <w:lang w:val="en-GB"/>
        </w:rPr>
        <w:t>'</w:t>
      </w:r>
      <w:r w:rsidRPr="00B40683">
        <w:rPr>
          <w:rFonts w:ascii="Times New Roman" w:hAnsi="Times New Roman"/>
          <w:noProof/>
          <w:sz w:val="24"/>
          <w:szCs w:val="24"/>
          <w:lang w:val="en-GB"/>
        </w:rPr>
        <w:t xml:space="preserve"> high-level support for the policy options</w:t>
      </w:r>
      <w:bookmarkEnd w:id="231"/>
    </w:p>
    <w:tbl>
      <w:tblPr>
        <w:tblW w:w="10813" w:type="dxa"/>
        <w:tblInd w:w="-431" w:type="dxa"/>
        <w:tblLook w:val="04A0" w:firstRow="1" w:lastRow="0" w:firstColumn="1" w:lastColumn="0" w:noHBand="0" w:noVBand="1"/>
      </w:tblPr>
      <w:tblGrid>
        <w:gridCol w:w="4537"/>
        <w:gridCol w:w="1360"/>
        <w:gridCol w:w="1016"/>
        <w:gridCol w:w="922"/>
        <w:gridCol w:w="959"/>
        <w:gridCol w:w="1077"/>
        <w:gridCol w:w="942"/>
      </w:tblGrid>
      <w:tr w:rsidR="00235468" w:rsidRPr="00AC24E2" w14:paraId="7B695B8A" w14:textId="77777777" w:rsidTr="00E571D5">
        <w:trPr>
          <w:trHeight w:val="70"/>
          <w:tblHeader/>
        </w:trPr>
        <w:tc>
          <w:tcPr>
            <w:tcW w:w="4537" w:type="dxa"/>
            <w:vMerge w:val="restart"/>
            <w:tcBorders>
              <w:top w:val="single" w:sz="4" w:space="0" w:color="auto"/>
              <w:left w:val="single" w:sz="4" w:space="0" w:color="auto"/>
              <w:right w:val="single" w:sz="4" w:space="0" w:color="FFFFFF" w:themeColor="background1"/>
            </w:tcBorders>
            <w:shd w:val="clear" w:color="000000" w:fill="000000"/>
            <w:noWrap/>
            <w:vAlign w:val="center"/>
            <w:hideMark/>
          </w:tcPr>
          <w:p w14:paraId="2D211DC4" w14:textId="77777777" w:rsidR="00235468" w:rsidRPr="00AC24E2" w:rsidRDefault="00235468" w:rsidP="00E571D5">
            <w:pPr>
              <w:spacing w:before="40" w:after="40"/>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Stakeholders in the Member States</w:t>
            </w:r>
          </w:p>
        </w:tc>
        <w:tc>
          <w:tcPr>
            <w:tcW w:w="5334"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00000"/>
            <w:noWrap/>
            <w:vAlign w:val="center"/>
            <w:hideMark/>
          </w:tcPr>
          <w:p w14:paraId="6A7FA74A" w14:textId="77777777" w:rsidR="00235468" w:rsidRPr="00AC24E2" w:rsidRDefault="00235468" w:rsidP="00E571D5">
            <w:pPr>
              <w:spacing w:before="40" w:after="40"/>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Public authorities</w:t>
            </w:r>
          </w:p>
        </w:tc>
        <w:tc>
          <w:tcPr>
            <w:tcW w:w="942" w:type="dxa"/>
            <w:vMerge w:val="restart"/>
            <w:tcBorders>
              <w:top w:val="single" w:sz="4" w:space="0" w:color="auto"/>
              <w:left w:val="single" w:sz="4" w:space="0" w:color="FFFFFF" w:themeColor="background1"/>
              <w:right w:val="single" w:sz="4" w:space="0" w:color="auto"/>
            </w:tcBorders>
            <w:shd w:val="clear" w:color="000000" w:fill="000000"/>
            <w:noWrap/>
            <w:vAlign w:val="center"/>
            <w:hideMark/>
          </w:tcPr>
          <w:p w14:paraId="3E41BFD6" w14:textId="77777777" w:rsidR="00235468" w:rsidRPr="00AC24E2" w:rsidRDefault="00235468" w:rsidP="00E571D5">
            <w:pPr>
              <w:spacing w:before="40" w:after="40"/>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NGOs &amp; civil society</w:t>
            </w:r>
          </w:p>
        </w:tc>
      </w:tr>
      <w:tr w:rsidR="00235468" w:rsidRPr="00AC24E2" w14:paraId="0C0484C0" w14:textId="77777777" w:rsidTr="00E571D5">
        <w:trPr>
          <w:trHeight w:val="70"/>
          <w:tblHeader/>
        </w:trPr>
        <w:tc>
          <w:tcPr>
            <w:tcW w:w="4537" w:type="dxa"/>
            <w:vMerge/>
            <w:tcBorders>
              <w:left w:val="single" w:sz="4" w:space="0" w:color="auto"/>
              <w:bottom w:val="single" w:sz="4" w:space="0" w:color="000000"/>
              <w:right w:val="single" w:sz="4" w:space="0" w:color="FFFFFF" w:themeColor="background1"/>
            </w:tcBorders>
            <w:vAlign w:val="center"/>
            <w:hideMark/>
          </w:tcPr>
          <w:p w14:paraId="13E9C56E" w14:textId="77777777" w:rsidR="00235468" w:rsidRPr="00AC24E2" w:rsidRDefault="00235468" w:rsidP="00E571D5">
            <w:pPr>
              <w:spacing w:before="40" w:after="40"/>
              <w:rPr>
                <w:rFonts w:ascii="Verdana" w:hAnsi="Verdana" w:cs="Calibri"/>
                <w:b/>
                <w:bCs/>
                <w:noProof/>
                <w:color w:val="FFFFFF"/>
                <w:sz w:val="16"/>
                <w:szCs w:val="16"/>
                <w:lang w:val="en-GB" w:eastAsia="en-GB"/>
              </w:rPr>
            </w:pPr>
          </w:p>
        </w:tc>
        <w:tc>
          <w:tcPr>
            <w:tcW w:w="329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noWrap/>
            <w:vAlign w:val="center"/>
            <w:hideMark/>
          </w:tcPr>
          <w:p w14:paraId="0A47D006" w14:textId="77777777" w:rsidR="00235468" w:rsidRPr="00AC24E2" w:rsidRDefault="00235468" w:rsidP="00E571D5">
            <w:pPr>
              <w:spacing w:before="40" w:after="40"/>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Law Enforcement Authorities</w:t>
            </w:r>
          </w:p>
        </w:tc>
        <w:tc>
          <w:tcPr>
            <w:tcW w:w="95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00043F77" w14:textId="77777777" w:rsidR="00235468" w:rsidRPr="00AC24E2" w:rsidRDefault="00235468" w:rsidP="00E571D5">
            <w:pPr>
              <w:spacing w:before="40" w:after="40"/>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Judicial Authorit</w:t>
            </w:r>
          </w:p>
        </w:tc>
        <w:tc>
          <w:tcPr>
            <w:tcW w:w="107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E035E12" w14:textId="77777777" w:rsidR="00235468" w:rsidRPr="00AC24E2" w:rsidRDefault="00235468" w:rsidP="00E571D5">
            <w:pPr>
              <w:spacing w:before="40" w:after="40"/>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Data Protect. Authorit</w:t>
            </w:r>
          </w:p>
        </w:tc>
        <w:tc>
          <w:tcPr>
            <w:tcW w:w="942" w:type="dxa"/>
            <w:vMerge/>
            <w:tcBorders>
              <w:left w:val="single" w:sz="4" w:space="0" w:color="FFFFFF" w:themeColor="background1"/>
              <w:right w:val="single" w:sz="4" w:space="0" w:color="auto"/>
            </w:tcBorders>
            <w:shd w:val="clear" w:color="auto" w:fill="000000" w:themeFill="text1"/>
            <w:vAlign w:val="center"/>
            <w:hideMark/>
          </w:tcPr>
          <w:p w14:paraId="223CA7F7" w14:textId="77777777" w:rsidR="00235468" w:rsidRPr="00AC24E2" w:rsidRDefault="00235468" w:rsidP="00E571D5">
            <w:pPr>
              <w:spacing w:before="40" w:after="40"/>
              <w:rPr>
                <w:rFonts w:ascii="Verdana" w:hAnsi="Verdana" w:cs="Calibri"/>
                <w:b/>
                <w:bCs/>
                <w:noProof/>
                <w:color w:val="FFFFFF"/>
                <w:sz w:val="16"/>
                <w:szCs w:val="16"/>
                <w:lang w:val="en-GB" w:eastAsia="en-GB"/>
              </w:rPr>
            </w:pPr>
          </w:p>
        </w:tc>
      </w:tr>
      <w:tr w:rsidR="00235468" w:rsidRPr="00AC24E2" w14:paraId="0CA67A73" w14:textId="77777777" w:rsidTr="00E571D5">
        <w:trPr>
          <w:trHeight w:val="70"/>
          <w:tblHeader/>
        </w:trPr>
        <w:tc>
          <w:tcPr>
            <w:tcW w:w="4537"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000000" w:fill="000000"/>
            <w:noWrap/>
            <w:vAlign w:val="center"/>
            <w:hideMark/>
          </w:tcPr>
          <w:p w14:paraId="2465814F" w14:textId="77777777" w:rsidR="00235468" w:rsidRPr="00AC24E2" w:rsidRDefault="00235468" w:rsidP="00E571D5">
            <w:pPr>
              <w:spacing w:before="40" w:after="40"/>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Topics</w:t>
            </w:r>
          </w:p>
        </w:tc>
        <w:tc>
          <w:tcPr>
            <w:tcW w:w="1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noWrap/>
            <w:vAlign w:val="center"/>
            <w:hideMark/>
          </w:tcPr>
          <w:p w14:paraId="651E7915" w14:textId="77777777" w:rsidR="00235468" w:rsidRPr="00AC24E2" w:rsidRDefault="00235468" w:rsidP="00E571D5">
            <w:pPr>
              <w:spacing w:before="40" w:after="40"/>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SPOCs</w:t>
            </w:r>
          </w:p>
        </w:tc>
        <w:tc>
          <w:tcPr>
            <w:tcW w:w="1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14:paraId="5D17FC1C" w14:textId="77777777" w:rsidR="00235468" w:rsidRPr="00AC24E2" w:rsidRDefault="00235468" w:rsidP="00E571D5">
            <w:pPr>
              <w:spacing w:before="40" w:after="40"/>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PCCCs</w:t>
            </w:r>
          </w:p>
        </w:tc>
        <w:tc>
          <w:tcPr>
            <w:tcW w:w="9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14:paraId="7C2FA412" w14:textId="77777777" w:rsidR="00235468" w:rsidRPr="00AC24E2" w:rsidRDefault="00235468" w:rsidP="00E571D5">
            <w:pPr>
              <w:spacing w:before="40" w:after="40"/>
              <w:jc w:val="center"/>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Other</w:t>
            </w:r>
          </w:p>
        </w:tc>
        <w:tc>
          <w:tcPr>
            <w:tcW w:w="959" w:type="dxa"/>
            <w:vMerge/>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14:paraId="4AB647F1" w14:textId="77777777" w:rsidR="00235468" w:rsidRPr="00AC24E2" w:rsidRDefault="00235468" w:rsidP="00E571D5">
            <w:pPr>
              <w:spacing w:before="40" w:after="40"/>
              <w:rPr>
                <w:rFonts w:ascii="Verdana" w:hAnsi="Verdana" w:cs="Calibri"/>
                <w:b/>
                <w:bCs/>
                <w:noProof/>
                <w:color w:val="FFFFFF"/>
                <w:sz w:val="16"/>
                <w:szCs w:val="16"/>
                <w:lang w:val="en-GB" w:eastAsia="en-GB"/>
              </w:rPr>
            </w:pPr>
          </w:p>
        </w:tc>
        <w:tc>
          <w:tcPr>
            <w:tcW w:w="1077" w:type="dxa"/>
            <w:vMerge/>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14:paraId="4DF2B6B3" w14:textId="77777777" w:rsidR="00235468" w:rsidRPr="00AC24E2" w:rsidRDefault="00235468" w:rsidP="00E571D5">
            <w:pPr>
              <w:spacing w:before="40" w:after="40"/>
              <w:rPr>
                <w:rFonts w:ascii="Verdana" w:hAnsi="Verdana" w:cs="Calibri"/>
                <w:b/>
                <w:bCs/>
                <w:noProof/>
                <w:color w:val="FFFFFF"/>
                <w:sz w:val="16"/>
                <w:szCs w:val="16"/>
                <w:lang w:val="en-GB" w:eastAsia="en-GB"/>
              </w:rPr>
            </w:pPr>
          </w:p>
        </w:tc>
        <w:tc>
          <w:tcPr>
            <w:tcW w:w="942" w:type="dxa"/>
            <w:vMerge/>
            <w:tcBorders>
              <w:left w:val="single" w:sz="4" w:space="0" w:color="FFFFFF" w:themeColor="background1"/>
              <w:bottom w:val="single" w:sz="4" w:space="0" w:color="FFFFFF" w:themeColor="background1"/>
              <w:right w:val="single" w:sz="4" w:space="0" w:color="auto"/>
            </w:tcBorders>
            <w:shd w:val="clear" w:color="auto" w:fill="000000" w:themeFill="text1"/>
            <w:vAlign w:val="center"/>
            <w:hideMark/>
          </w:tcPr>
          <w:p w14:paraId="7357DC2C" w14:textId="77777777" w:rsidR="00235468" w:rsidRPr="00AC24E2" w:rsidRDefault="00235468" w:rsidP="00E571D5">
            <w:pPr>
              <w:spacing w:before="40" w:after="40"/>
              <w:rPr>
                <w:rFonts w:ascii="Verdana" w:hAnsi="Verdana" w:cs="Calibri"/>
                <w:b/>
                <w:bCs/>
                <w:noProof/>
                <w:color w:val="FFFFFF"/>
                <w:sz w:val="16"/>
                <w:szCs w:val="16"/>
                <w:lang w:val="en-GB" w:eastAsia="en-GB"/>
              </w:rPr>
            </w:pPr>
          </w:p>
        </w:tc>
      </w:tr>
      <w:tr w:rsidR="00235468" w:rsidRPr="00AC24E2" w14:paraId="443AE0A5" w14:textId="77777777" w:rsidTr="00E571D5">
        <w:trPr>
          <w:trHeight w:val="70"/>
        </w:trPr>
        <w:tc>
          <w:tcPr>
            <w:tcW w:w="10813" w:type="dxa"/>
            <w:gridSpan w:val="7"/>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69B447FF" w14:textId="77777777" w:rsidR="00235468" w:rsidRPr="00AC24E2" w:rsidRDefault="00235468" w:rsidP="00E571D5">
            <w:pPr>
              <w:spacing w:before="40" w:after="40"/>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Overarching topics</w:t>
            </w:r>
          </w:p>
        </w:tc>
      </w:tr>
      <w:tr w:rsidR="00235468" w:rsidRPr="00AC24E2" w14:paraId="24B76BF2"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C90012"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Access to and exchange of information</w:t>
            </w:r>
          </w:p>
        </w:tc>
        <w:tc>
          <w:tcPr>
            <w:tcW w:w="1360"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37147C1F"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7EA72FA"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68499FC2"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6B82C57E"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12DF61D2"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1EB87043"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54FBBBB4" w14:textId="77777777" w:rsidTr="00E571D5">
        <w:trPr>
          <w:trHeight w:val="70"/>
        </w:trPr>
        <w:tc>
          <w:tcPr>
            <w:tcW w:w="10813" w:type="dxa"/>
            <w:gridSpan w:val="7"/>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BB4DFD5" w14:textId="77777777" w:rsidR="00235468" w:rsidRPr="00AC24E2" w:rsidRDefault="00235468" w:rsidP="00E571D5">
            <w:pPr>
              <w:spacing w:before="40" w:after="40"/>
              <w:rPr>
                <w:rFonts w:ascii="Verdana" w:hAnsi="Verdana" w:cs="Calibri"/>
                <w:b/>
                <w:bCs/>
                <w:noProof/>
                <w:color w:val="FFFFFF"/>
                <w:sz w:val="16"/>
                <w:szCs w:val="16"/>
                <w:lang w:val="en-GB" w:eastAsia="en-GB"/>
              </w:rPr>
            </w:pPr>
            <w:r w:rsidRPr="00AC24E2">
              <w:rPr>
                <w:rFonts w:ascii="Verdana" w:hAnsi="Verdana" w:cs="Calibri"/>
                <w:b/>
                <w:bCs/>
                <w:noProof/>
                <w:color w:val="FFFFFF"/>
                <w:sz w:val="16"/>
                <w:szCs w:val="16"/>
                <w:lang w:val="en-GB" w:eastAsia="en-GB"/>
              </w:rPr>
              <w:t>Specific topics</w:t>
            </w:r>
          </w:p>
        </w:tc>
      </w:tr>
      <w:tr w:rsidR="00235468" w:rsidRPr="00AC24E2" w14:paraId="7C2F0519" w14:textId="77777777" w:rsidTr="00E571D5">
        <w:trPr>
          <w:trHeight w:val="70"/>
        </w:trPr>
        <w:tc>
          <w:tcPr>
            <w:tcW w:w="10813"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85CD39D" w14:textId="77777777" w:rsidR="00235468" w:rsidRPr="00AC24E2" w:rsidRDefault="00235468" w:rsidP="00E571D5">
            <w:pPr>
              <w:spacing w:before="40" w:after="40"/>
              <w:rPr>
                <w:rFonts w:ascii="Verdana" w:hAnsi="Verdana" w:cs="Calibri"/>
                <w:b/>
                <w:bCs/>
                <w:noProof/>
                <w:color w:val="000000"/>
                <w:sz w:val="16"/>
                <w:szCs w:val="16"/>
                <w:lang w:val="en-GB" w:eastAsia="en-GB"/>
              </w:rPr>
            </w:pPr>
            <w:r w:rsidRPr="00AC24E2">
              <w:rPr>
                <w:rFonts w:ascii="Verdana" w:hAnsi="Verdana" w:cs="Calibri"/>
                <w:b/>
                <w:bCs/>
                <w:noProof/>
                <w:color w:val="000000"/>
                <w:sz w:val="16"/>
                <w:szCs w:val="16"/>
                <w:lang w:val="en-GB" w:eastAsia="en-GB"/>
              </w:rPr>
              <w:t>Legislative improvements</w:t>
            </w:r>
          </w:p>
        </w:tc>
      </w:tr>
      <w:tr w:rsidR="00235468" w:rsidRPr="00AC24E2" w14:paraId="08CB41F0"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2E392D5"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Provision of clarifications</w:t>
            </w:r>
          </w:p>
        </w:tc>
        <w:tc>
          <w:tcPr>
            <w:tcW w:w="1360"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5F84CDDE"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04DAAB59"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53EC25CF"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2573640C"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6D1DEC6"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C5C3788"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0986556B"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AD4C61"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Introduction of new requirements</w:t>
            </w:r>
          </w:p>
        </w:tc>
        <w:tc>
          <w:tcPr>
            <w:tcW w:w="1360"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2B582E49"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0F46289"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6A750E90"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7BCA0A0"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0A6AECB3"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430748F2"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2F68CE02"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8793C3"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Streamlining of existing requirements</w:t>
            </w:r>
          </w:p>
        </w:tc>
        <w:tc>
          <w:tcPr>
            <w:tcW w:w="1360"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493C418F"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27ABDAC0"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06F3C7DA"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5146B057"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1FE7D1A6"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1B629131"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5D50C251"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B3E7F5"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Alignment of different legal instruments</w:t>
            </w:r>
          </w:p>
        </w:tc>
        <w:tc>
          <w:tcPr>
            <w:tcW w:w="1360"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2AD69BEA"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062827CB"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D8B4AAC"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73BC7D9A"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212B63F9"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18A71802"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4C2168F1" w14:textId="77777777" w:rsidTr="00E571D5">
        <w:trPr>
          <w:trHeight w:val="70"/>
        </w:trPr>
        <w:tc>
          <w:tcPr>
            <w:tcW w:w="10813"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E3B831A" w14:textId="77777777" w:rsidR="00235468" w:rsidRPr="00AC24E2" w:rsidRDefault="00235468" w:rsidP="00E571D5">
            <w:pPr>
              <w:spacing w:before="40" w:after="40"/>
              <w:rPr>
                <w:rFonts w:ascii="Verdana" w:hAnsi="Verdana" w:cs="Calibri"/>
                <w:b/>
                <w:bCs/>
                <w:noProof/>
                <w:color w:val="000000"/>
                <w:sz w:val="16"/>
                <w:szCs w:val="16"/>
                <w:lang w:val="en-GB" w:eastAsia="en-GB"/>
              </w:rPr>
            </w:pPr>
            <w:r w:rsidRPr="00AC24E2">
              <w:rPr>
                <w:rFonts w:ascii="Verdana" w:hAnsi="Verdana" w:cs="Calibri"/>
                <w:b/>
                <w:bCs/>
                <w:noProof/>
                <w:color w:val="000000"/>
                <w:sz w:val="16"/>
                <w:szCs w:val="16"/>
                <w:lang w:val="en-GB" w:eastAsia="en-GB"/>
              </w:rPr>
              <w:t>Technical improvements</w:t>
            </w:r>
          </w:p>
        </w:tc>
      </w:tr>
      <w:tr w:rsidR="00235468" w:rsidRPr="00AC24E2" w14:paraId="7891E3BB"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C3BFFD"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Definition of technical requirements &amp; functionalities</w:t>
            </w:r>
          </w:p>
        </w:tc>
        <w:tc>
          <w:tcPr>
            <w:tcW w:w="1360"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8A92FF7"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1DA1F584"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549A2C"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6DAB864A"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84BABD5"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A0BFA66"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770F30E4"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FDA847B"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Establishment of quality control mechanisms</w:t>
            </w:r>
          </w:p>
        </w:tc>
        <w:tc>
          <w:tcPr>
            <w:tcW w:w="1360"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D192CCA"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59D80D82"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8B230B"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04CC4FA4"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D17F69C"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0B5C82B6"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7E5C634D" w14:textId="77777777" w:rsidTr="00E571D5">
        <w:trPr>
          <w:trHeight w:val="70"/>
        </w:trPr>
        <w:tc>
          <w:tcPr>
            <w:tcW w:w="10813"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CD3A48C" w14:textId="77777777" w:rsidR="00235468" w:rsidRPr="00AC24E2" w:rsidRDefault="00235468" w:rsidP="00E571D5">
            <w:pPr>
              <w:spacing w:before="40" w:after="40"/>
              <w:rPr>
                <w:rFonts w:ascii="Verdana" w:hAnsi="Verdana" w:cs="Calibri"/>
                <w:b/>
                <w:bCs/>
                <w:noProof/>
                <w:color w:val="000000"/>
                <w:sz w:val="16"/>
                <w:szCs w:val="16"/>
                <w:lang w:val="en-GB" w:eastAsia="en-GB"/>
              </w:rPr>
            </w:pPr>
            <w:r w:rsidRPr="00AC24E2">
              <w:rPr>
                <w:rFonts w:ascii="Verdana" w:hAnsi="Verdana" w:cs="Calibri"/>
                <w:b/>
                <w:bCs/>
                <w:noProof/>
                <w:color w:val="000000"/>
                <w:sz w:val="16"/>
                <w:szCs w:val="16"/>
                <w:lang w:val="en-GB" w:eastAsia="en-GB"/>
              </w:rPr>
              <w:t>Structural improvements</w:t>
            </w:r>
          </w:p>
        </w:tc>
      </w:tr>
      <w:tr w:rsidR="00235468" w:rsidRPr="00AC24E2" w14:paraId="0DC663BD"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5A7603"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Establishment of organisational requirements</w:t>
            </w:r>
          </w:p>
        </w:tc>
        <w:tc>
          <w:tcPr>
            <w:tcW w:w="1360"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5E6E2070"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1DF503D"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2F160F0D"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7C4C25DC"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10555559"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34B7E484"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245CCBD1"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ECFD97"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Establishment of governance requirements</w:t>
            </w:r>
          </w:p>
        </w:tc>
        <w:tc>
          <w:tcPr>
            <w:tcW w:w="1360"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34C9389D"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68D9FB3"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auto" w:fill="C6E0B4"/>
            <w:noWrap/>
            <w:vAlign w:val="center"/>
          </w:tcPr>
          <w:p w14:paraId="22346681"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4F4D197C"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BD793D8"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784FB196"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0B10415D" w14:textId="77777777" w:rsidTr="00E571D5">
        <w:trPr>
          <w:trHeight w:val="70"/>
        </w:trPr>
        <w:tc>
          <w:tcPr>
            <w:tcW w:w="10813"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703E260" w14:textId="77777777" w:rsidR="00235468" w:rsidRPr="00AC24E2" w:rsidRDefault="00235468" w:rsidP="00E571D5">
            <w:pPr>
              <w:keepNext/>
              <w:spacing w:before="40" w:after="40"/>
              <w:rPr>
                <w:rFonts w:ascii="Verdana" w:hAnsi="Verdana" w:cs="Calibri"/>
                <w:b/>
                <w:bCs/>
                <w:noProof/>
                <w:color w:val="000000"/>
                <w:sz w:val="16"/>
                <w:szCs w:val="16"/>
                <w:lang w:val="en-GB" w:eastAsia="en-GB"/>
              </w:rPr>
            </w:pPr>
            <w:r w:rsidRPr="00AC24E2">
              <w:rPr>
                <w:rFonts w:ascii="Verdana" w:hAnsi="Verdana" w:cs="Calibri"/>
                <w:b/>
                <w:bCs/>
                <w:noProof/>
                <w:color w:val="000000"/>
                <w:sz w:val="16"/>
                <w:szCs w:val="16"/>
                <w:lang w:val="en-GB" w:eastAsia="en-GB"/>
              </w:rPr>
              <w:t>Other improvements</w:t>
            </w:r>
          </w:p>
        </w:tc>
      </w:tr>
      <w:tr w:rsidR="00235468" w:rsidRPr="00AC24E2" w14:paraId="5BAEE122"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9A84104"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Provision of training</w:t>
            </w:r>
          </w:p>
        </w:tc>
        <w:tc>
          <w:tcPr>
            <w:tcW w:w="1360"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16D2DAB9"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21D9B63"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34DEF6F0"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8B42416"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61D94418"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7164055"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4493D40B"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EFFB08A"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Provision of awareness raising</w:t>
            </w:r>
          </w:p>
        </w:tc>
        <w:tc>
          <w:tcPr>
            <w:tcW w:w="1360"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12247A26"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1C6EB962"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5ECA9335"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1C7E3159"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3037D5AF"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90D76CF"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5C56ABA5"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3A7299"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Provision of funding</w:t>
            </w:r>
          </w:p>
        </w:tc>
        <w:tc>
          <w:tcPr>
            <w:tcW w:w="1360" w:type="dxa"/>
            <w:tcBorders>
              <w:top w:val="single" w:sz="4" w:space="0" w:color="auto"/>
              <w:left w:val="single" w:sz="4" w:space="0" w:color="auto"/>
              <w:bottom w:val="single" w:sz="4" w:space="0" w:color="auto"/>
              <w:right w:val="single" w:sz="4" w:space="0" w:color="auto"/>
            </w:tcBorders>
            <w:shd w:val="clear" w:color="000000" w:fill="70AD47"/>
            <w:noWrap/>
            <w:vAlign w:val="center"/>
          </w:tcPr>
          <w:p w14:paraId="3B4B5829"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5481EB0B"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9BC77E"/>
            <w:noWrap/>
            <w:vAlign w:val="center"/>
          </w:tcPr>
          <w:p w14:paraId="1722F025"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2638B8A"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2FED0DA4"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E3F0DA"/>
            <w:noWrap/>
            <w:vAlign w:val="center"/>
          </w:tcPr>
          <w:p w14:paraId="3431249F"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r w:rsidR="00235468" w:rsidRPr="00AC24E2" w14:paraId="4CC413EB" w14:textId="77777777" w:rsidTr="00E571D5">
        <w:trPr>
          <w:trHeight w:val="70"/>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03C883" w14:textId="77777777" w:rsidR="00235468" w:rsidRPr="00AC24E2" w:rsidRDefault="00235468" w:rsidP="00E571D5">
            <w:pPr>
              <w:spacing w:before="40" w:after="40"/>
              <w:rPr>
                <w:rFonts w:ascii="Verdana" w:hAnsi="Verdana" w:cs="Calibri"/>
                <w:noProof/>
                <w:color w:val="000000"/>
                <w:sz w:val="16"/>
                <w:szCs w:val="16"/>
                <w:lang w:val="en-GB" w:eastAsia="en-GB"/>
              </w:rPr>
            </w:pPr>
            <w:r w:rsidRPr="00AC24E2">
              <w:rPr>
                <w:rFonts w:ascii="Verdana" w:hAnsi="Verdana" w:cs="Calibri"/>
                <w:noProof/>
                <w:color w:val="000000"/>
                <w:sz w:val="16"/>
                <w:szCs w:val="16"/>
                <w:lang w:val="en-GB" w:eastAsia="en-GB"/>
              </w:rPr>
              <w:t>Implementation of further studies</w:t>
            </w:r>
          </w:p>
        </w:tc>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00ED3"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B58832"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6D44F"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BB523"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E0E2C6"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687E5A" w14:textId="77777777" w:rsidR="00235468" w:rsidRPr="00AC24E2" w:rsidRDefault="00235468" w:rsidP="00E571D5">
            <w:pPr>
              <w:spacing w:before="40" w:after="40"/>
              <w:jc w:val="center"/>
              <w:rPr>
                <w:rFonts w:ascii="Verdana" w:hAnsi="Verdana" w:cs="Calibri"/>
                <w:noProof/>
                <w:color w:val="000000"/>
                <w:sz w:val="16"/>
                <w:szCs w:val="16"/>
                <w:lang w:val="en-GB" w:eastAsia="en-GB"/>
              </w:rPr>
            </w:pPr>
          </w:p>
        </w:tc>
      </w:tr>
    </w:tbl>
    <w:p w14:paraId="193CF451" w14:textId="15078538" w:rsidR="00235468" w:rsidRDefault="00235468" w:rsidP="004F4D72">
      <w:pPr>
        <w:pStyle w:val="Body"/>
        <w:spacing w:after="120"/>
        <w:jc w:val="center"/>
        <w:rPr>
          <w:i/>
          <w:noProof/>
          <w:color w:val="7F7F7F" w:themeColor="text1" w:themeTint="80"/>
          <w:sz w:val="16"/>
          <w:szCs w:val="16"/>
        </w:rPr>
      </w:pPr>
      <w:r w:rsidRPr="00AC24E2">
        <w:rPr>
          <w:i/>
          <w:noProof/>
          <w:color w:val="7F7F7F" w:themeColor="text1" w:themeTint="80"/>
          <w:sz w:val="16"/>
          <w:szCs w:val="16"/>
        </w:rPr>
        <w:t xml:space="preserve">Source: </w:t>
      </w:r>
      <w:r w:rsidR="000F0DE5" w:rsidRPr="00CB565C">
        <w:rPr>
          <w:i/>
          <w:noProof/>
          <w:color w:val="7F7F7F" w:themeColor="text1" w:themeTint="80"/>
          <w:sz w:val="18"/>
          <w:szCs w:val="18"/>
        </w:rPr>
        <w:t>EY/RAND Europe Study’s</w:t>
      </w:r>
      <w:r w:rsidR="000F0DE5" w:rsidRPr="00CB565C">
        <w:rPr>
          <w:i/>
          <w:noProof/>
          <w:color w:val="7F7F7F" w:themeColor="text1" w:themeTint="80"/>
          <w:szCs w:val="16"/>
        </w:rPr>
        <w:t xml:space="preserve"> </w:t>
      </w:r>
      <w:r w:rsidR="000F0DE5" w:rsidRPr="00CB565C">
        <w:rPr>
          <w:i/>
          <w:noProof/>
          <w:color w:val="7F7F7F" w:themeColor="text1" w:themeTint="80"/>
          <w:sz w:val="18"/>
          <w:szCs w:val="16"/>
        </w:rPr>
        <w:t xml:space="preserve">elaboration </w:t>
      </w:r>
    </w:p>
    <w:p w14:paraId="52758803" w14:textId="77777777" w:rsidR="004F4D72" w:rsidRPr="00AC24E2" w:rsidRDefault="004F4D72" w:rsidP="00235468">
      <w:pPr>
        <w:pStyle w:val="Body"/>
        <w:jc w:val="center"/>
        <w:rPr>
          <w:i/>
          <w:noProof/>
          <w:color w:val="7F7F7F" w:themeColor="text1" w:themeTint="80"/>
          <w:sz w:val="16"/>
          <w:szCs w:val="16"/>
        </w:rPr>
      </w:pPr>
      <w:r w:rsidRPr="00E619CD">
        <w:rPr>
          <w:noProof/>
          <w:sz w:val="16"/>
        </w:rPr>
        <w:t>Cells that are marked in darker green denote a stronger positive impact on the different types of stakeholders, whereas cells that are denoted in yellow denote less strong positive impact</w:t>
      </w:r>
    </w:p>
    <w:p w14:paraId="01EFCAF6" w14:textId="77777777" w:rsidR="00235468" w:rsidRPr="00B40683" w:rsidRDefault="00235468" w:rsidP="007C2411">
      <w:pPr>
        <w:pStyle w:val="Body"/>
        <w:jc w:val="both"/>
        <w:rPr>
          <w:rFonts w:ascii="Times New Roman" w:hAnsi="Times New Roman"/>
          <w:bCs/>
          <w:noProof/>
          <w:sz w:val="24"/>
          <w:szCs w:val="24"/>
        </w:rPr>
      </w:pPr>
      <w:r w:rsidRPr="00B40683">
        <w:rPr>
          <w:rFonts w:ascii="Times New Roman" w:hAnsi="Times New Roman"/>
          <w:bCs/>
          <w:noProof/>
          <w:sz w:val="24"/>
          <w:szCs w:val="24"/>
        </w:rPr>
        <w:t>The table shows that, overall at large, the Study Team has sensed a general trend towards high-level support among stakeholders. LEAs seem to be, generally spoken, more supportive of the elements of the policy options than judicial authorities. With specific regard to data protection authorities, it is crucial to note that the support is contingent on the extent to which the protection of personal data is safeguarded throughout all measures foreseen under the policy options. Generally spoken, NGOs and civil society organisations are supportive of the policy options as long as fundamental rights are safeguarded, and LEAs do not come into the possession of excessive, unjustified amounts of information about citizens and businesses that do not concern actual criminal investigations and/or legal proceedings before court.</w:t>
      </w:r>
    </w:p>
    <w:p w14:paraId="6749FA1C" w14:textId="77777777" w:rsidR="000F4A66" w:rsidRPr="00DD7880" w:rsidRDefault="000F4A66" w:rsidP="00DD7880">
      <w:pPr>
        <w:pStyle w:val="Text1"/>
        <w:ind w:left="0"/>
        <w:rPr>
          <w:rFonts w:ascii="Verdana" w:hAnsi="Verdana"/>
          <w:b/>
          <w:smallCaps/>
          <w:noProof/>
          <w:sz w:val="20"/>
          <w:szCs w:val="28"/>
        </w:rPr>
      </w:pPr>
      <w:bookmarkStart w:id="232" w:name="_Toc1314821"/>
      <w:bookmarkStart w:id="233" w:name="_Toc1749292"/>
      <w:bookmarkStart w:id="234" w:name="_Toc1750594"/>
      <w:bookmarkStart w:id="235" w:name="_Toc1750658"/>
      <w:bookmarkStart w:id="236" w:name="_Toc5102735"/>
      <w:bookmarkStart w:id="237" w:name="_Toc75251311"/>
      <w:bookmarkStart w:id="238" w:name="_Toc75260229"/>
      <w:bookmarkStart w:id="239" w:name="_Toc75251319"/>
      <w:bookmarkStart w:id="240" w:name="_Toc75260237"/>
      <w:bookmarkStart w:id="241" w:name="_Toc75251320"/>
      <w:bookmarkStart w:id="242" w:name="_Toc75260238"/>
      <w:bookmarkStart w:id="243" w:name="_Toc75251321"/>
      <w:bookmarkStart w:id="244" w:name="_Toc75260239"/>
      <w:bookmarkStart w:id="245" w:name="_Toc75251322"/>
      <w:bookmarkStart w:id="246" w:name="_Toc75260240"/>
      <w:bookmarkStart w:id="247" w:name="_Toc75251323"/>
      <w:bookmarkStart w:id="248" w:name="_Toc75260241"/>
      <w:bookmarkStart w:id="249" w:name="_Toc75251324"/>
      <w:bookmarkStart w:id="250" w:name="_Toc75260242"/>
      <w:bookmarkStart w:id="251" w:name="_Toc75251325"/>
      <w:bookmarkStart w:id="252" w:name="_Toc75260243"/>
      <w:bookmarkStart w:id="253" w:name="_Toc75251326"/>
      <w:bookmarkStart w:id="254" w:name="_Toc75260244"/>
      <w:bookmarkStart w:id="255" w:name="_Toc75251327"/>
      <w:bookmarkStart w:id="256" w:name="_Toc75260245"/>
      <w:bookmarkStart w:id="257" w:name="_Toc75251328"/>
      <w:bookmarkStart w:id="258" w:name="_Toc75260246"/>
      <w:bookmarkStart w:id="259" w:name="_Toc75251332"/>
      <w:bookmarkStart w:id="260" w:name="_Toc75260250"/>
      <w:bookmarkStart w:id="261" w:name="_Toc75251333"/>
      <w:bookmarkStart w:id="262" w:name="_Toc75260251"/>
      <w:bookmarkStart w:id="263" w:name="_Toc75251334"/>
      <w:bookmarkStart w:id="264" w:name="_Toc75260252"/>
      <w:bookmarkStart w:id="265" w:name="_Toc75251335"/>
      <w:bookmarkStart w:id="266" w:name="_Toc75260253"/>
      <w:bookmarkStart w:id="267" w:name="_Toc75251336"/>
      <w:bookmarkStart w:id="268" w:name="_Toc75260254"/>
      <w:bookmarkStart w:id="269" w:name="_Toc75251337"/>
      <w:bookmarkStart w:id="270" w:name="_Toc75260255"/>
      <w:bookmarkStart w:id="271" w:name="_Toc75251338"/>
      <w:bookmarkStart w:id="272" w:name="_Toc75260256"/>
      <w:bookmarkStart w:id="273" w:name="_Toc75251339"/>
      <w:bookmarkStart w:id="274" w:name="_Toc75260257"/>
      <w:bookmarkStart w:id="275" w:name="_Toc75251349"/>
      <w:bookmarkStart w:id="276" w:name="_Toc75260267"/>
      <w:bookmarkStart w:id="277" w:name="_Toc75251350"/>
      <w:bookmarkStart w:id="278" w:name="_Toc75260268"/>
      <w:bookmarkStart w:id="279" w:name="_Toc75251351"/>
      <w:bookmarkStart w:id="280" w:name="_Toc75260269"/>
      <w:bookmarkStart w:id="281" w:name="_Toc75251352"/>
      <w:bookmarkStart w:id="282" w:name="_Toc75260270"/>
      <w:bookmarkStart w:id="283" w:name="_Toc75251375"/>
      <w:bookmarkStart w:id="284" w:name="_Toc75260293"/>
      <w:bookmarkStart w:id="285" w:name="_Toc75251376"/>
      <w:bookmarkStart w:id="286" w:name="_Toc75260294"/>
      <w:bookmarkStart w:id="287" w:name="_Toc75251377"/>
      <w:bookmarkStart w:id="288" w:name="_Toc75260295"/>
      <w:bookmarkStart w:id="289" w:name="_Toc75251378"/>
      <w:bookmarkStart w:id="290" w:name="_Toc75260296"/>
      <w:bookmarkStart w:id="291" w:name="_Toc75251379"/>
      <w:bookmarkStart w:id="292" w:name="_Toc75260297"/>
      <w:bookmarkStart w:id="293" w:name="_Toc75251380"/>
      <w:bookmarkStart w:id="294" w:name="_Toc75260298"/>
      <w:bookmarkStart w:id="295" w:name="_Toc75251381"/>
      <w:bookmarkStart w:id="296" w:name="_Toc75260299"/>
      <w:bookmarkStart w:id="297" w:name="_Toc75251382"/>
      <w:bookmarkStart w:id="298" w:name="_Toc75260300"/>
      <w:bookmarkStart w:id="299" w:name="_Toc75251383"/>
      <w:bookmarkStart w:id="300" w:name="_Toc75260301"/>
      <w:bookmarkStart w:id="301" w:name="_Toc75251384"/>
      <w:bookmarkStart w:id="302" w:name="_Toc75260302"/>
      <w:bookmarkStart w:id="303" w:name="_Toc75251385"/>
      <w:bookmarkStart w:id="304" w:name="_Toc75260303"/>
      <w:bookmarkStart w:id="305" w:name="_Toc75251386"/>
      <w:bookmarkStart w:id="306" w:name="_Toc75260304"/>
      <w:bookmarkStart w:id="307" w:name="_Toc75251387"/>
      <w:bookmarkStart w:id="308" w:name="_Toc75260305"/>
      <w:bookmarkStart w:id="309" w:name="_Toc75251388"/>
      <w:bookmarkStart w:id="310" w:name="_Toc75260306"/>
      <w:bookmarkStart w:id="311" w:name="_Toc75251389"/>
      <w:bookmarkStart w:id="312" w:name="_Toc75260307"/>
      <w:bookmarkStart w:id="313" w:name="_Toc75251390"/>
      <w:bookmarkStart w:id="314" w:name="_Toc75260308"/>
      <w:bookmarkStart w:id="315" w:name="_Toc75251391"/>
      <w:bookmarkStart w:id="316" w:name="_Toc75260309"/>
      <w:bookmarkStart w:id="317" w:name="_Toc75251392"/>
      <w:bookmarkStart w:id="318" w:name="_Toc75260310"/>
      <w:bookmarkStart w:id="319" w:name="_Toc75251393"/>
      <w:bookmarkStart w:id="320" w:name="_Toc75260311"/>
      <w:bookmarkStart w:id="321" w:name="_Toc75251394"/>
      <w:bookmarkStart w:id="322" w:name="_Toc75260312"/>
      <w:bookmarkStart w:id="323" w:name="_Toc75251395"/>
      <w:bookmarkStart w:id="324" w:name="_Toc75260313"/>
      <w:bookmarkStart w:id="325" w:name="_Toc75251396"/>
      <w:bookmarkStart w:id="326" w:name="_Toc75260314"/>
      <w:bookmarkStart w:id="327" w:name="_Toc75251397"/>
      <w:bookmarkStart w:id="328" w:name="_Toc75260315"/>
      <w:bookmarkStart w:id="329" w:name="_Hlk1314167"/>
      <w:bookmarkStart w:id="330" w:name="_Hlk72737326"/>
      <w:bookmarkStart w:id="331" w:name="_Toc505028829"/>
      <w:bookmarkStart w:id="332" w:name="_Toc506734014"/>
      <w:bookmarkStart w:id="333" w:name="_Toc506734757"/>
      <w:bookmarkStart w:id="334" w:name="_Toc506747156"/>
      <w:bookmarkStart w:id="335" w:name="_Toc506750397"/>
      <w:bookmarkStart w:id="336" w:name="_Toc506765569"/>
      <w:bookmarkStart w:id="337" w:name="_Toc506762955"/>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sectPr w:rsidR="000F4A66" w:rsidRPr="00DD7880" w:rsidSect="0018362E">
      <w:headerReference w:type="even" r:id="rId83"/>
      <w:headerReference w:type="default" r:id="rId84"/>
      <w:footerReference w:type="even" r:id="rId85"/>
      <w:footerReference w:type="default" r:id="rId86"/>
      <w:headerReference w:type="first" r:id="rId87"/>
      <w:footerReference w:type="first" r:id="rId88"/>
      <w:pgSz w:w="11906" w:h="16838"/>
      <w:pgMar w:top="1134" w:right="1134" w:bottom="1134" w:left="1134" w:header="710" w:footer="7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A11B1" w14:textId="77777777" w:rsidR="003F3C88" w:rsidRDefault="003F3C88" w:rsidP="004D1331">
      <w:pPr>
        <w:spacing w:after="0" w:line="240" w:lineRule="auto"/>
      </w:pPr>
      <w:r>
        <w:separator/>
      </w:r>
    </w:p>
    <w:p w14:paraId="1545BAC6" w14:textId="77777777" w:rsidR="003F3C88" w:rsidRDefault="003F3C88"/>
    <w:p w14:paraId="2F1B00FE" w14:textId="77777777" w:rsidR="003F3C88" w:rsidRDefault="003F3C88" w:rsidP="001521FB"/>
  </w:endnote>
  <w:endnote w:type="continuationSeparator" w:id="0">
    <w:p w14:paraId="7403E8C9" w14:textId="77777777" w:rsidR="003F3C88" w:rsidRDefault="003F3C88" w:rsidP="004D1331">
      <w:pPr>
        <w:spacing w:after="0" w:line="240" w:lineRule="auto"/>
      </w:pPr>
      <w:r>
        <w:continuationSeparator/>
      </w:r>
    </w:p>
    <w:p w14:paraId="55065CCE" w14:textId="77777777" w:rsidR="003F3C88" w:rsidRDefault="003F3C88"/>
    <w:p w14:paraId="7023395A" w14:textId="77777777" w:rsidR="003F3C88" w:rsidRDefault="003F3C88" w:rsidP="001521FB"/>
  </w:endnote>
  <w:endnote w:type="continuationNotice" w:id="1">
    <w:p w14:paraId="757D3BAD" w14:textId="77777777" w:rsidR="003F3C88" w:rsidRDefault="003F3C88">
      <w:pPr>
        <w:spacing w:after="0" w:line="240" w:lineRule="auto"/>
      </w:pPr>
    </w:p>
    <w:p w14:paraId="606752AF" w14:textId="77777777" w:rsidR="003F3C88" w:rsidRDefault="003F3C88"/>
    <w:p w14:paraId="76DBE0B5" w14:textId="77777777" w:rsidR="003F3C88" w:rsidRDefault="003F3C88" w:rsidP="00152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Calibri"/>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Rounded LT Std Blk">
    <w:altName w:val="Arial"/>
    <w:panose1 w:val="00000000000000000000"/>
    <w:charset w:val="00"/>
    <w:family w:val="swiss"/>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 w:name="@MS PGothic">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9214" w14:textId="77777777" w:rsidR="00190A33" w:rsidRPr="00190A33" w:rsidRDefault="00190A33" w:rsidP="00190A3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2D7C" w14:textId="77777777" w:rsidR="00CB5F23" w:rsidRDefault="00CB5F2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977741"/>
      <w:docPartObj>
        <w:docPartGallery w:val="Page Numbers (Bottom of Page)"/>
        <w:docPartUnique/>
      </w:docPartObj>
    </w:sdtPr>
    <w:sdtEndPr>
      <w:rPr>
        <w:noProof/>
      </w:rPr>
    </w:sdtEndPr>
    <w:sdtContent>
      <w:p w14:paraId="14506706" w14:textId="725CBFF2" w:rsidR="003F3C88" w:rsidRDefault="003F3C88" w:rsidP="002F09B2">
        <w:pPr>
          <w:pStyle w:val="Footer"/>
          <w:spacing w:before="0"/>
          <w:ind w:left="-851" w:right="-851"/>
          <w:jc w:val="center"/>
        </w:pPr>
        <w:r>
          <w:fldChar w:fldCharType="begin"/>
        </w:r>
        <w:r>
          <w:instrText xml:space="preserve"> PAGE   \* MERGEFORMAT </w:instrText>
        </w:r>
        <w:r>
          <w:fldChar w:fldCharType="separate"/>
        </w:r>
        <w:r w:rsidR="00190A33">
          <w:rPr>
            <w:noProof/>
          </w:rPr>
          <w:t>11</w:t>
        </w:r>
        <w:r>
          <w:rPr>
            <w:noProof/>
          </w:rPr>
          <w:fldChar w:fldCharType="end"/>
        </w:r>
      </w:p>
    </w:sdtContent>
  </w:sdt>
  <w:p w14:paraId="6B8D0734" w14:textId="77777777" w:rsidR="003F3C88" w:rsidRDefault="003F3C8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DC24B" w14:textId="77777777" w:rsidR="00CB5F23" w:rsidRDefault="00CB5F2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D567B" w14:textId="77777777" w:rsidR="00CB5F23" w:rsidRDefault="00CB5F2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392803"/>
      <w:docPartObj>
        <w:docPartGallery w:val="Page Numbers (Bottom of Page)"/>
        <w:docPartUnique/>
      </w:docPartObj>
    </w:sdtPr>
    <w:sdtEndPr>
      <w:rPr>
        <w:noProof/>
      </w:rPr>
    </w:sdtEndPr>
    <w:sdtContent>
      <w:p w14:paraId="7F4290E7" w14:textId="156D82ED" w:rsidR="00CB5F23" w:rsidRDefault="00CB5F23" w:rsidP="002F09B2">
        <w:pPr>
          <w:pStyle w:val="Footer"/>
          <w:spacing w:before="0"/>
          <w:ind w:left="-851" w:right="-851"/>
          <w:jc w:val="center"/>
        </w:pPr>
        <w:r>
          <w:fldChar w:fldCharType="begin"/>
        </w:r>
        <w:r>
          <w:instrText xml:space="preserve"> PAGE   \* MERGEFORMAT </w:instrText>
        </w:r>
        <w:r>
          <w:fldChar w:fldCharType="separate"/>
        </w:r>
        <w:r w:rsidR="007C7060">
          <w:rPr>
            <w:noProof/>
          </w:rPr>
          <w:t>71</w:t>
        </w:r>
        <w:r>
          <w:rPr>
            <w:noProof/>
          </w:rPr>
          <w:fldChar w:fldCharType="end"/>
        </w:r>
      </w:p>
    </w:sdtContent>
  </w:sdt>
  <w:p w14:paraId="37BDEB59" w14:textId="77777777" w:rsidR="00CB5F23" w:rsidRDefault="00CB5F2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4064" w14:textId="77777777" w:rsidR="00CB5F23" w:rsidRDefault="00CB5F2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F3CD0" w14:textId="77777777" w:rsidR="003F3C88" w:rsidRDefault="003F3C88">
    <w:pPr>
      <w:pStyle w:val="Footer"/>
    </w:pPr>
  </w:p>
  <w:p w14:paraId="064CBD06" w14:textId="77777777" w:rsidR="003F3C88" w:rsidRDefault="003F3C88"/>
  <w:p w14:paraId="48FC5144" w14:textId="77777777" w:rsidR="003F3C88" w:rsidRDefault="003F3C88" w:rsidP="001521FB"/>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846559"/>
      <w:docPartObj>
        <w:docPartGallery w:val="Page Numbers (Bottom of Page)"/>
        <w:docPartUnique/>
      </w:docPartObj>
    </w:sdtPr>
    <w:sdtEndPr>
      <w:rPr>
        <w:noProof/>
      </w:rPr>
    </w:sdtEndPr>
    <w:sdtContent>
      <w:p w14:paraId="64159375" w14:textId="1B9D9568" w:rsidR="003F3C88" w:rsidRPr="00CD516A" w:rsidRDefault="003F3C88" w:rsidP="005B7685">
        <w:pPr>
          <w:pStyle w:val="Footer"/>
          <w:spacing w:before="120"/>
          <w:ind w:left="-851" w:right="-851"/>
          <w:jc w:val="center"/>
        </w:pPr>
        <w:r>
          <w:fldChar w:fldCharType="begin"/>
        </w:r>
        <w:r>
          <w:instrText xml:space="preserve"> PAGE   \* MERGEFORMAT </w:instrText>
        </w:r>
        <w:r>
          <w:fldChar w:fldCharType="separate"/>
        </w:r>
        <w:r w:rsidR="007C7060">
          <w:rPr>
            <w:noProof/>
          </w:rPr>
          <w:t>125</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42181"/>
      <w:docPartObj>
        <w:docPartGallery w:val="Page Numbers (Bottom of Page)"/>
        <w:docPartUnique/>
      </w:docPartObj>
    </w:sdtPr>
    <w:sdtEndPr>
      <w:rPr>
        <w:noProof/>
      </w:rPr>
    </w:sdtEndPr>
    <w:sdtContent>
      <w:p w14:paraId="04B468C6" w14:textId="50D982A3" w:rsidR="003F3C88" w:rsidRDefault="003F3C88" w:rsidP="00C926FE">
        <w:pPr>
          <w:pStyle w:val="Footer"/>
          <w:spacing w:before="0"/>
          <w:ind w:left="-851" w:right="-851"/>
          <w:jc w:val="center"/>
        </w:pPr>
        <w:r>
          <w:fldChar w:fldCharType="begin"/>
        </w:r>
        <w:r>
          <w:instrText xml:space="preserve"> PAGE   \* MERGEFORMAT </w:instrText>
        </w:r>
        <w:r>
          <w:fldChar w:fldCharType="separate"/>
        </w:r>
        <w:r w:rsidR="007C7060">
          <w:rPr>
            <w:noProof/>
          </w:rPr>
          <w:t>72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A847" w14:textId="77777777" w:rsidR="00CB5F23" w:rsidRDefault="00CB5F23">
    <w:pPr>
      <w:pStyle w:val="Footer"/>
    </w:pPr>
  </w:p>
  <w:p w14:paraId="4C2959A6" w14:textId="77777777" w:rsidR="00CB5F23" w:rsidRDefault="00CB5F23"/>
  <w:p w14:paraId="6961156F" w14:textId="77777777" w:rsidR="00CB5F23" w:rsidRDefault="00CB5F23" w:rsidP="001521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5497" w14:textId="4766C311" w:rsidR="008651E0" w:rsidRPr="00190A33" w:rsidRDefault="00190A33" w:rsidP="00190A33">
    <w:pPr>
      <w:pStyle w:val="FooterCoverPage"/>
      <w:rPr>
        <w:rFonts w:ascii="Arial" w:hAnsi="Arial" w:cs="Arial"/>
        <w:b/>
        <w:sz w:val="48"/>
      </w:rPr>
    </w:pPr>
    <w:r w:rsidRPr="00190A33">
      <w:rPr>
        <w:rFonts w:ascii="Arial" w:hAnsi="Arial" w:cs="Arial"/>
        <w:b/>
        <w:sz w:val="48"/>
      </w:rPr>
      <w:t>EN</w:t>
    </w:r>
    <w:r w:rsidRPr="00190A33">
      <w:rPr>
        <w:rFonts w:ascii="Arial" w:hAnsi="Arial" w:cs="Arial"/>
        <w:b/>
        <w:sz w:val="48"/>
      </w:rPr>
      <w:tab/>
    </w:r>
    <w:r w:rsidRPr="00190A33">
      <w:rPr>
        <w:rFonts w:ascii="Arial" w:hAnsi="Arial" w:cs="Arial"/>
        <w:b/>
        <w:sz w:val="48"/>
      </w:rPr>
      <w:tab/>
    </w:r>
    <w:r w:rsidRPr="00190A33">
      <w:tab/>
    </w:r>
    <w:r w:rsidRPr="00190A33">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269266"/>
      <w:docPartObj>
        <w:docPartGallery w:val="Page Numbers (Bottom of Page)"/>
        <w:docPartUnique/>
      </w:docPartObj>
    </w:sdtPr>
    <w:sdtEndPr>
      <w:rPr>
        <w:noProof/>
      </w:rPr>
    </w:sdtEndPr>
    <w:sdtContent>
      <w:p w14:paraId="4E99B161" w14:textId="32EA38B2" w:rsidR="00CB5F23" w:rsidRPr="00CD516A" w:rsidRDefault="00CB5F23" w:rsidP="005B7685">
        <w:pPr>
          <w:pStyle w:val="Footer"/>
          <w:spacing w:before="120"/>
          <w:ind w:left="-851" w:right="-851"/>
          <w:jc w:val="center"/>
        </w:pPr>
        <w:r>
          <w:fldChar w:fldCharType="begin"/>
        </w:r>
        <w:r>
          <w:instrText xml:space="preserve"> PAGE   \* MERGEFORMAT </w:instrText>
        </w:r>
        <w:r>
          <w:fldChar w:fldCharType="separate"/>
        </w:r>
        <w:r w:rsidR="007C7060">
          <w:rPr>
            <w:noProof/>
          </w:rPr>
          <w:t>131</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38681"/>
      <w:docPartObj>
        <w:docPartGallery w:val="Page Numbers (Bottom of Page)"/>
        <w:docPartUnique/>
      </w:docPartObj>
    </w:sdtPr>
    <w:sdtEndPr>
      <w:rPr>
        <w:noProof/>
      </w:rPr>
    </w:sdtEndPr>
    <w:sdtContent>
      <w:p w14:paraId="635ABB41" w14:textId="581C3594" w:rsidR="00CB5F23" w:rsidRDefault="00CB5F23" w:rsidP="00C926FE">
        <w:pPr>
          <w:pStyle w:val="Footer"/>
          <w:spacing w:before="0"/>
          <w:ind w:left="-851" w:right="-851"/>
          <w:jc w:val="center"/>
        </w:pPr>
        <w:r>
          <w:fldChar w:fldCharType="begin"/>
        </w:r>
        <w:r>
          <w:instrText xml:space="preserve"> PAGE   \* MERGEFORMAT </w:instrText>
        </w:r>
        <w:r>
          <w:fldChar w:fldCharType="separate"/>
        </w:r>
        <w:r w:rsidR="007C7060">
          <w:rPr>
            <w:noProof/>
          </w:rPr>
          <w:t>126</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00A0" w14:textId="77777777" w:rsidR="00CB5F23" w:rsidRDefault="00CB5F23">
    <w:pPr>
      <w:pStyle w:val="Footer"/>
    </w:pPr>
  </w:p>
  <w:p w14:paraId="43FACC19" w14:textId="77777777" w:rsidR="00CB5F23" w:rsidRDefault="00CB5F23"/>
  <w:p w14:paraId="0774A9FC" w14:textId="77777777" w:rsidR="00CB5F23" w:rsidRDefault="00CB5F23" w:rsidP="001521FB"/>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399062"/>
      <w:docPartObj>
        <w:docPartGallery w:val="Page Numbers (Bottom of Page)"/>
        <w:docPartUnique/>
      </w:docPartObj>
    </w:sdtPr>
    <w:sdtEndPr>
      <w:rPr>
        <w:noProof/>
      </w:rPr>
    </w:sdtEndPr>
    <w:sdtContent>
      <w:p w14:paraId="719BB7E8" w14:textId="77777777" w:rsidR="00CB5F23" w:rsidRPr="00CD516A" w:rsidRDefault="00CB5F23" w:rsidP="005B7685">
        <w:pPr>
          <w:pStyle w:val="Footer"/>
          <w:spacing w:before="120"/>
          <w:ind w:left="-851" w:right="-851"/>
          <w:jc w:val="center"/>
        </w:pPr>
        <w:r>
          <w:fldChar w:fldCharType="begin"/>
        </w:r>
        <w:r>
          <w:instrText xml:space="preserve"> PAGE   \* MERGEFORMAT </w:instrText>
        </w:r>
        <w:r>
          <w:fldChar w:fldCharType="separate"/>
        </w:r>
        <w:r>
          <w:rPr>
            <w:noProof/>
          </w:rPr>
          <w:t>205</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3608"/>
      <w:docPartObj>
        <w:docPartGallery w:val="Page Numbers (Bottom of Page)"/>
        <w:docPartUnique/>
      </w:docPartObj>
    </w:sdtPr>
    <w:sdtEndPr>
      <w:rPr>
        <w:noProof/>
      </w:rPr>
    </w:sdtEndPr>
    <w:sdtContent>
      <w:p w14:paraId="67EF2A20" w14:textId="77777777" w:rsidR="00CB5F23" w:rsidRDefault="00CB5F23" w:rsidP="00C926FE">
        <w:pPr>
          <w:pStyle w:val="Footer"/>
          <w:spacing w:before="0"/>
          <w:ind w:left="-851" w:right="-851"/>
          <w:jc w:val="center"/>
        </w:pPr>
        <w:r>
          <w:fldChar w:fldCharType="begin"/>
        </w:r>
        <w:r>
          <w:instrText xml:space="preserve"> PAGE   \* MERGEFORMAT </w:instrText>
        </w:r>
        <w:r>
          <w:fldChar w:fldCharType="separate"/>
        </w:r>
        <w:r>
          <w:rPr>
            <w:noProof/>
          </w:rPr>
          <w:t>206</w:t>
        </w:r>
        <w:r>
          <w:rPr>
            <w:noProof/>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2C4F" w14:textId="77777777" w:rsidR="00CB5F23" w:rsidRDefault="00CB5F23">
    <w:pPr>
      <w:pStyle w:val="Footer"/>
    </w:pPr>
  </w:p>
  <w:p w14:paraId="509AD214" w14:textId="77777777" w:rsidR="00CB5F23" w:rsidRDefault="00CB5F23"/>
  <w:p w14:paraId="5E7A1B03" w14:textId="77777777" w:rsidR="00CB5F23" w:rsidRDefault="00CB5F23" w:rsidP="001521FB"/>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971857"/>
      <w:docPartObj>
        <w:docPartGallery w:val="Page Numbers (Bottom of Page)"/>
        <w:docPartUnique/>
      </w:docPartObj>
    </w:sdtPr>
    <w:sdtEndPr>
      <w:rPr>
        <w:noProof/>
      </w:rPr>
    </w:sdtEndPr>
    <w:sdtContent>
      <w:p w14:paraId="7B54E6BF" w14:textId="77777777" w:rsidR="00CB5F23" w:rsidRPr="00CD516A" w:rsidRDefault="00CB5F23" w:rsidP="005B7685">
        <w:pPr>
          <w:pStyle w:val="Footer"/>
          <w:spacing w:before="120"/>
          <w:ind w:left="-851" w:right="-851"/>
          <w:jc w:val="center"/>
        </w:pPr>
        <w:r>
          <w:fldChar w:fldCharType="begin"/>
        </w:r>
        <w:r>
          <w:instrText xml:space="preserve"> PAGE   \* MERGEFORMAT </w:instrText>
        </w:r>
        <w:r>
          <w:fldChar w:fldCharType="separate"/>
        </w:r>
        <w:r>
          <w:rPr>
            <w:noProof/>
          </w:rPr>
          <w:t>205</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830283"/>
      <w:docPartObj>
        <w:docPartGallery w:val="Page Numbers (Bottom of Page)"/>
        <w:docPartUnique/>
      </w:docPartObj>
    </w:sdtPr>
    <w:sdtEndPr>
      <w:rPr>
        <w:noProof/>
      </w:rPr>
    </w:sdtEndPr>
    <w:sdtContent>
      <w:p w14:paraId="34851165" w14:textId="77777777" w:rsidR="00CB5F23" w:rsidRDefault="00CB5F23" w:rsidP="00C926FE">
        <w:pPr>
          <w:pStyle w:val="Footer"/>
          <w:spacing w:before="0"/>
          <w:ind w:left="-851" w:right="-851"/>
          <w:jc w:val="center"/>
        </w:pPr>
        <w:r>
          <w:fldChar w:fldCharType="begin"/>
        </w:r>
        <w:r>
          <w:instrText xml:space="preserve"> PAGE   \* MERGEFORMAT </w:instrText>
        </w:r>
        <w:r>
          <w:fldChar w:fldCharType="separate"/>
        </w:r>
        <w:r>
          <w:rPr>
            <w:noProof/>
          </w:rPr>
          <w:t>206</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6A9C" w14:textId="77777777" w:rsidR="00CB5F23" w:rsidRDefault="00CB5F23">
    <w:pPr>
      <w:pStyle w:val="Footer"/>
    </w:pPr>
  </w:p>
  <w:p w14:paraId="7745D190" w14:textId="77777777" w:rsidR="00CB5F23" w:rsidRDefault="00CB5F23"/>
  <w:p w14:paraId="4C857AEC" w14:textId="77777777" w:rsidR="00CB5F23" w:rsidRDefault="00CB5F23" w:rsidP="001521FB"/>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63794"/>
      <w:docPartObj>
        <w:docPartGallery w:val="Page Numbers (Bottom of Page)"/>
        <w:docPartUnique/>
      </w:docPartObj>
    </w:sdtPr>
    <w:sdtEndPr>
      <w:rPr>
        <w:noProof/>
      </w:rPr>
    </w:sdtEndPr>
    <w:sdtContent>
      <w:p w14:paraId="3703E6DE" w14:textId="00839B0E" w:rsidR="003F3C88" w:rsidRDefault="003F3C88" w:rsidP="007E2CCE">
        <w:pPr>
          <w:pStyle w:val="Footer"/>
          <w:jc w:val="center"/>
          <w:rPr>
            <w:noProof/>
          </w:rPr>
        </w:pPr>
        <w:r>
          <w:rPr>
            <w:noProof/>
          </w:rPr>
          <w:fldChar w:fldCharType="begin"/>
        </w:r>
        <w:r>
          <w:rPr>
            <w:noProof/>
          </w:rPr>
          <w:instrText xml:space="preserve"> PAGE   \* MERGEFORMAT </w:instrText>
        </w:r>
        <w:r>
          <w:rPr>
            <w:noProof/>
          </w:rPr>
          <w:fldChar w:fldCharType="separate"/>
        </w:r>
        <w:r w:rsidR="00CB5F23">
          <w:rPr>
            <w:noProof/>
          </w:rPr>
          <w:t>230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73064" w14:textId="77777777" w:rsidR="00190A33" w:rsidRPr="00190A33" w:rsidRDefault="00190A33" w:rsidP="00190A33">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819101"/>
      <w:docPartObj>
        <w:docPartGallery w:val="Page Numbers (Bottom of Page)"/>
        <w:docPartUnique/>
      </w:docPartObj>
    </w:sdtPr>
    <w:sdtEndPr>
      <w:rPr>
        <w:noProof/>
      </w:rPr>
    </w:sdtEndPr>
    <w:sdtContent>
      <w:p w14:paraId="5DD68010" w14:textId="77777777" w:rsidR="00CB5F23" w:rsidRDefault="00CB5F23" w:rsidP="00C926FE">
        <w:pPr>
          <w:pStyle w:val="Footer"/>
          <w:spacing w:before="0"/>
          <w:ind w:left="-851" w:right="-851"/>
          <w:jc w:val="center"/>
        </w:pPr>
        <w:r>
          <w:fldChar w:fldCharType="begin"/>
        </w:r>
        <w:r>
          <w:instrText xml:space="preserve"> PAGE   \* MERGEFORMAT </w:instrText>
        </w:r>
        <w:r>
          <w:fldChar w:fldCharType="separate"/>
        </w:r>
        <w:r>
          <w:rPr>
            <w:noProof/>
          </w:rPr>
          <w:t>206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8DB1" w14:textId="77777777" w:rsidR="00CB5F23" w:rsidRDefault="00CB5F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074187"/>
      <w:docPartObj>
        <w:docPartGallery w:val="Page Numbers (Bottom of Page)"/>
        <w:docPartUnique/>
      </w:docPartObj>
    </w:sdtPr>
    <w:sdtEndPr>
      <w:rPr>
        <w:noProof/>
        <w:sz w:val="22"/>
      </w:rPr>
    </w:sdtEndPr>
    <w:sdtContent>
      <w:p w14:paraId="30C959AA" w14:textId="65807539" w:rsidR="003F3C88" w:rsidRPr="00C64E21" w:rsidRDefault="003F3C88" w:rsidP="00C64E21">
        <w:pPr>
          <w:pStyle w:val="Footer"/>
          <w:spacing w:before="120"/>
          <w:ind w:left="-851" w:right="-851"/>
          <w:jc w:val="center"/>
          <w:rPr>
            <w:sz w:val="22"/>
          </w:rPr>
        </w:pPr>
        <w:r w:rsidRPr="00C64E21">
          <w:rPr>
            <w:sz w:val="22"/>
          </w:rPr>
          <w:fldChar w:fldCharType="begin"/>
        </w:r>
        <w:r w:rsidRPr="00C64E21">
          <w:rPr>
            <w:sz w:val="22"/>
          </w:rPr>
          <w:instrText xml:space="preserve"> PAGE   \* MERGEFORMAT </w:instrText>
        </w:r>
        <w:r w:rsidRPr="00C64E21">
          <w:rPr>
            <w:sz w:val="22"/>
          </w:rPr>
          <w:fldChar w:fldCharType="separate"/>
        </w:r>
        <w:r w:rsidR="00190A33">
          <w:rPr>
            <w:noProof/>
            <w:sz w:val="22"/>
          </w:rPr>
          <w:t>1</w:t>
        </w:r>
        <w:r w:rsidRPr="00C64E21">
          <w:rPr>
            <w:noProof/>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2B72" w14:textId="77777777" w:rsidR="00CB5F23" w:rsidRDefault="00CB5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4C8F" w14:textId="77777777" w:rsidR="00CB5F23" w:rsidRDefault="00CB5F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143987"/>
      <w:docPartObj>
        <w:docPartGallery w:val="Page Numbers (Bottom of Page)"/>
        <w:docPartUnique/>
      </w:docPartObj>
    </w:sdtPr>
    <w:sdtEndPr>
      <w:rPr>
        <w:noProof/>
        <w:sz w:val="22"/>
      </w:rPr>
    </w:sdtEndPr>
    <w:sdtContent>
      <w:p w14:paraId="386FFF54" w14:textId="3376F28B" w:rsidR="00CB5F23" w:rsidRPr="00C64E21" w:rsidRDefault="00CB5F23" w:rsidP="00C64E21">
        <w:pPr>
          <w:pStyle w:val="Footer"/>
          <w:spacing w:before="120"/>
          <w:ind w:left="-851" w:right="-851"/>
          <w:jc w:val="center"/>
          <w:rPr>
            <w:sz w:val="22"/>
          </w:rPr>
        </w:pPr>
        <w:r w:rsidRPr="00C64E21">
          <w:rPr>
            <w:sz w:val="22"/>
          </w:rPr>
          <w:fldChar w:fldCharType="begin"/>
        </w:r>
        <w:r w:rsidRPr="00C64E21">
          <w:rPr>
            <w:sz w:val="22"/>
          </w:rPr>
          <w:instrText xml:space="preserve"> PAGE   \* MERGEFORMAT </w:instrText>
        </w:r>
        <w:r w:rsidRPr="00C64E21">
          <w:rPr>
            <w:sz w:val="22"/>
          </w:rPr>
          <w:fldChar w:fldCharType="separate"/>
        </w:r>
        <w:r w:rsidR="00190A33">
          <w:rPr>
            <w:noProof/>
            <w:sz w:val="22"/>
          </w:rPr>
          <w:t>9</w:t>
        </w:r>
        <w:r w:rsidRPr="00C64E21">
          <w:rPr>
            <w:noProof/>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C37C" w14:textId="77777777" w:rsidR="00CB5F23" w:rsidRDefault="00CB5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46568" w14:textId="77777777" w:rsidR="003F3C88" w:rsidRDefault="003F3C88" w:rsidP="004D1331">
      <w:pPr>
        <w:spacing w:after="0" w:line="240" w:lineRule="auto"/>
      </w:pPr>
      <w:r>
        <w:separator/>
      </w:r>
    </w:p>
  </w:footnote>
  <w:footnote w:type="continuationSeparator" w:id="0">
    <w:p w14:paraId="6BB8D586" w14:textId="77777777" w:rsidR="003F3C88" w:rsidRDefault="003F3C88" w:rsidP="004D1331">
      <w:pPr>
        <w:spacing w:after="0" w:line="240" w:lineRule="auto"/>
      </w:pPr>
      <w:r>
        <w:continuationSeparator/>
      </w:r>
    </w:p>
  </w:footnote>
  <w:footnote w:type="continuationNotice" w:id="1">
    <w:p w14:paraId="52409FA5" w14:textId="77777777" w:rsidR="003F3C88" w:rsidRDefault="003F3C88" w:rsidP="001521FB"/>
  </w:footnote>
  <w:footnote w:id="2">
    <w:p w14:paraId="750B0582" w14:textId="77777777" w:rsidR="003F3C88" w:rsidRPr="0027739C" w:rsidRDefault="003F3C88" w:rsidP="00810E66">
      <w:pPr>
        <w:pStyle w:val="FootnoteText"/>
        <w:ind w:left="142" w:hanging="142"/>
        <w:rPr>
          <w:lang w:val="en-GB"/>
        </w:rPr>
      </w:pPr>
      <w:r>
        <w:rPr>
          <w:rStyle w:val="FootnoteReference"/>
        </w:rPr>
        <w:footnoteRef/>
      </w:r>
      <w:r>
        <w:t xml:space="preserve"> Europol (2021) </w:t>
      </w:r>
      <w:r w:rsidRPr="00636D16">
        <w:rPr>
          <w:i/>
        </w:rPr>
        <w:t>Serious and Organised Crime Threat Assessment (SOCTA): A corrupting influence</w:t>
      </w:r>
      <w:r>
        <w:t>.</w:t>
      </w:r>
    </w:p>
  </w:footnote>
  <w:footnote w:id="3">
    <w:p w14:paraId="4BA62FEF" w14:textId="77777777" w:rsidR="003F3C88" w:rsidRPr="00750BC4" w:rsidRDefault="003F3C88" w:rsidP="00810E66">
      <w:pPr>
        <w:pStyle w:val="FootnoteText"/>
        <w:ind w:left="142" w:hanging="142"/>
        <w:rPr>
          <w:lang w:val="en-GB"/>
        </w:rPr>
      </w:pPr>
      <w:r>
        <w:rPr>
          <w:rStyle w:val="FootnoteReference"/>
        </w:rPr>
        <w:footnoteRef/>
      </w:r>
      <w:r>
        <w:t xml:space="preserve"> </w:t>
      </w:r>
      <w:r w:rsidRPr="00A4672D">
        <w:rPr>
          <w:rStyle w:val="Emphasis"/>
          <w:rFonts w:cs="Times New Roman"/>
          <w:bCs/>
          <w:i w:val="0"/>
          <w:iCs w:val="0"/>
          <w:szCs w:val="21"/>
          <w:shd w:val="clear" w:color="auto" w:fill="FFFFFF"/>
        </w:rPr>
        <w:t>European Monitoring Centre for Drugs and Drug Addiction (</w:t>
      </w:r>
      <w:r w:rsidRPr="00750BC4">
        <w:rPr>
          <w:lang w:val="en-GB"/>
        </w:rPr>
        <w:t>EMCDDA</w:t>
      </w:r>
      <w:r>
        <w:rPr>
          <w:lang w:val="en-GB"/>
        </w:rPr>
        <w:t>)</w:t>
      </w:r>
      <w:r w:rsidRPr="00750BC4">
        <w:rPr>
          <w:lang w:val="en-GB"/>
        </w:rPr>
        <w:t xml:space="preserve">, </w:t>
      </w:r>
      <w:r w:rsidRPr="00750BC4">
        <w:rPr>
          <w:i/>
          <w:lang w:val="en-GB"/>
        </w:rPr>
        <w:t>European drug report 2021</w:t>
      </w:r>
      <w:r>
        <w:rPr>
          <w:i/>
          <w:lang w:val="en-GB"/>
        </w:rPr>
        <w:t xml:space="preserve"> – trends and developments. </w:t>
      </w:r>
    </w:p>
  </w:footnote>
  <w:footnote w:id="4">
    <w:p w14:paraId="30673B13" w14:textId="1ACF8337" w:rsidR="003F3C88" w:rsidRPr="00380EEA" w:rsidRDefault="003F3C88" w:rsidP="008A7F47">
      <w:pPr>
        <w:pStyle w:val="FootnoteText"/>
        <w:ind w:left="142" w:hanging="142"/>
        <w:rPr>
          <w:lang w:val="de-DE"/>
        </w:rPr>
      </w:pPr>
      <w:r>
        <w:rPr>
          <w:rStyle w:val="FootnoteReference"/>
        </w:rPr>
        <w:footnoteRef/>
      </w:r>
      <w:r>
        <w:t xml:space="preserve"> </w:t>
      </w:r>
      <w:r w:rsidRPr="00810E66">
        <w:t xml:space="preserve">For example, the use of violence by criminals involved in serious and organised crime appears to be increasing; unprecedented quantities of cocaine are trafficked into the EU from Latin America and criminal groups are scaling up their capacities to produce and distribute synthetic drugs. </w:t>
      </w:r>
    </w:p>
  </w:footnote>
  <w:footnote w:id="5">
    <w:p w14:paraId="04E45A11" w14:textId="497B5DFE" w:rsidR="003F3C88" w:rsidRPr="00380EEA" w:rsidRDefault="003F3C88" w:rsidP="00886F3D">
      <w:pPr>
        <w:pStyle w:val="FootnoteText"/>
        <w:ind w:left="142" w:hanging="142"/>
        <w:rPr>
          <w:lang w:val="de-DE"/>
        </w:rPr>
      </w:pPr>
      <w:r>
        <w:rPr>
          <w:rStyle w:val="FootnoteReference"/>
        </w:rPr>
        <w:footnoteRef/>
      </w:r>
      <w:r>
        <w:t xml:space="preserve"> </w:t>
      </w:r>
      <w:r>
        <w:rPr>
          <w:lang w:val="de-DE"/>
        </w:rPr>
        <w:t>COM(2020) 795 final.</w:t>
      </w:r>
    </w:p>
  </w:footnote>
  <w:footnote w:id="6">
    <w:p w14:paraId="22DBC992" w14:textId="77777777" w:rsidR="003F3C88" w:rsidRPr="009F4C7C" w:rsidRDefault="003F3C88" w:rsidP="00886F3D">
      <w:pPr>
        <w:pStyle w:val="FootnoteText"/>
        <w:keepNext/>
        <w:widowControl w:val="0"/>
        <w:suppressLineNumbers/>
        <w:suppressAutoHyphens/>
        <w:ind w:left="142" w:hanging="142"/>
        <w:rPr>
          <w:lang w:val="en-GB"/>
        </w:rPr>
      </w:pPr>
      <w:r>
        <w:rPr>
          <w:rStyle w:val="FootnoteReference"/>
        </w:rPr>
        <w:footnoteRef/>
      </w:r>
      <w:r>
        <w:t xml:space="preserve"> European Commission (2017), </w:t>
      </w:r>
      <w:r w:rsidRPr="00636D16">
        <w:rPr>
          <w:i/>
        </w:rPr>
        <w:t>Boosting Growth and cohesion in EU border regions</w:t>
      </w:r>
      <w:r>
        <w:t>.</w:t>
      </w:r>
      <w:r w:rsidRPr="009F4C7C">
        <w:rPr>
          <w:lang w:val="en-GB"/>
        </w:rPr>
        <w:t xml:space="preserve"> </w:t>
      </w:r>
      <w:hyperlink r:id="rId1" w:history="1">
        <w:r w:rsidRPr="009F4C7C">
          <w:rPr>
            <w:rStyle w:val="Hyperlink"/>
            <w:lang w:val="en-GB"/>
          </w:rPr>
          <w:t>link</w:t>
        </w:r>
      </w:hyperlink>
      <w:r w:rsidRPr="009F4C7C">
        <w:rPr>
          <w:rStyle w:val="Hyperlink"/>
          <w:lang w:val="en-GB"/>
        </w:rPr>
        <w:t>.</w:t>
      </w:r>
    </w:p>
  </w:footnote>
  <w:footnote w:id="7">
    <w:p w14:paraId="64D0A9FF" w14:textId="77777777" w:rsidR="003F3C88" w:rsidRDefault="003F3C88" w:rsidP="00886F3D">
      <w:pPr>
        <w:pStyle w:val="FootnoteText"/>
        <w:keepNext/>
        <w:widowControl w:val="0"/>
        <w:suppressLineNumbers/>
        <w:suppressAutoHyphens/>
        <w:ind w:left="142" w:hanging="142"/>
      </w:pPr>
      <w:r>
        <w:rPr>
          <w:rStyle w:val="FootnoteReference"/>
        </w:rPr>
        <w:footnoteRef/>
      </w:r>
      <w:r>
        <w:t xml:space="preserve"> </w:t>
      </w:r>
      <w:bookmarkStart w:id="8" w:name="_Hlk69408208"/>
      <w:r>
        <w:t>Eurostat (2020)</w:t>
      </w:r>
      <w:r w:rsidRPr="007C3FBD">
        <w:rPr>
          <w:i/>
          <w:iCs/>
        </w:rPr>
        <w:t xml:space="preserve"> EU citizens living in another Member State - statistical overview</w:t>
      </w:r>
      <w:bookmarkEnd w:id="8"/>
      <w:r w:rsidRPr="007C3FBD">
        <w:rPr>
          <w:i/>
          <w:iCs/>
        </w:rPr>
        <w:t xml:space="preserve">. </w:t>
      </w:r>
      <w:r>
        <w:t xml:space="preserve">As of 8 April 2021: </w:t>
      </w:r>
      <w:hyperlink r:id="rId2" w:anchor=":~:text=Among%20the%20EU%20citizens%20of,of%20their%20citizenship%20in%202019" w:history="1">
        <w:r>
          <w:rPr>
            <w:rStyle w:val="Hyperlink"/>
          </w:rPr>
          <w:t>link</w:t>
        </w:r>
      </w:hyperlink>
      <w:r w:rsidRPr="007C3FBD">
        <w:t>.</w:t>
      </w:r>
      <w:r>
        <w:t xml:space="preserve"> </w:t>
      </w:r>
    </w:p>
  </w:footnote>
  <w:footnote w:id="8">
    <w:p w14:paraId="3416922D" w14:textId="77777777" w:rsidR="003F3C88" w:rsidRPr="00AC245F" w:rsidRDefault="003F3C88" w:rsidP="00886F3D">
      <w:pPr>
        <w:pStyle w:val="FootnoteText"/>
        <w:ind w:left="142" w:hanging="142"/>
      </w:pPr>
      <w:r>
        <w:rPr>
          <w:rStyle w:val="FootnoteReference"/>
        </w:rPr>
        <w:footnoteRef/>
      </w:r>
      <w:r>
        <w:t xml:space="preserve"> Complementary information can be found in annex 4. </w:t>
      </w:r>
    </w:p>
  </w:footnote>
  <w:footnote w:id="9">
    <w:p w14:paraId="60F28975" w14:textId="77777777" w:rsidR="003F3C88" w:rsidRPr="00834502" w:rsidRDefault="003F3C88" w:rsidP="00886F3D">
      <w:pPr>
        <w:pStyle w:val="FootnoteText"/>
        <w:ind w:left="142" w:hanging="142"/>
        <w:rPr>
          <w:lang w:val="en-GB"/>
        </w:rPr>
      </w:pPr>
      <w:r>
        <w:rPr>
          <w:rStyle w:val="FootnoteReference"/>
        </w:rPr>
        <w:footnoteRef/>
      </w:r>
      <w:r>
        <w:t xml:space="preserve"> </w:t>
      </w:r>
      <w:r w:rsidRPr="00834502">
        <w:rPr>
          <w:lang w:val="en-GB"/>
        </w:rPr>
        <w:t xml:space="preserve">It has been further complemented by a </w:t>
      </w:r>
      <w:r w:rsidRPr="00A213FF">
        <w:rPr>
          <w:lang w:val="en-GB"/>
        </w:rPr>
        <w:t>high</w:t>
      </w:r>
      <w:r w:rsidRPr="00834502">
        <w:rPr>
          <w:lang w:val="en-GB"/>
        </w:rPr>
        <w:t xml:space="preserve"> number of bi-tri-</w:t>
      </w:r>
      <w:r w:rsidRPr="00A213FF">
        <w:rPr>
          <w:lang w:val="en-GB"/>
        </w:rPr>
        <w:t>multilateral</w:t>
      </w:r>
      <w:r w:rsidRPr="00834502">
        <w:rPr>
          <w:lang w:val="en-GB"/>
        </w:rPr>
        <w:t xml:space="preserve"> </w:t>
      </w:r>
      <w:r w:rsidRPr="00A213FF">
        <w:rPr>
          <w:lang w:val="en-GB"/>
        </w:rPr>
        <w:t>agreements</w:t>
      </w:r>
      <w:r>
        <w:rPr>
          <w:lang w:val="en-GB"/>
        </w:rPr>
        <w:t xml:space="preserve"> (60 were identified).</w:t>
      </w:r>
    </w:p>
  </w:footnote>
  <w:footnote w:id="10">
    <w:p w14:paraId="539047C9" w14:textId="77777777" w:rsidR="003F3C88" w:rsidRPr="00A7181E" w:rsidRDefault="003F3C88" w:rsidP="00886F3D">
      <w:pPr>
        <w:pStyle w:val="FootnoteText"/>
        <w:ind w:left="142" w:hanging="142"/>
      </w:pPr>
      <w:r>
        <w:rPr>
          <w:rStyle w:val="FootnoteReference"/>
        </w:rPr>
        <w:footnoteRef/>
      </w:r>
      <w:r>
        <w:t xml:space="preserve"> Complementary information can be found in annex 5. </w:t>
      </w:r>
    </w:p>
  </w:footnote>
  <w:footnote w:id="11">
    <w:p w14:paraId="520B7BB8" w14:textId="0B17A7D9" w:rsidR="003F3C88" w:rsidRPr="00380EEA" w:rsidRDefault="003F3C88" w:rsidP="00380EEA">
      <w:pPr>
        <w:pStyle w:val="FootnoteText"/>
        <w:ind w:left="142" w:hanging="142"/>
        <w:jc w:val="both"/>
        <w:rPr>
          <w:lang w:val="de-DE"/>
        </w:rPr>
      </w:pPr>
      <w:r>
        <w:rPr>
          <w:rStyle w:val="FootnoteReference"/>
        </w:rPr>
        <w:footnoteRef/>
      </w:r>
      <w:r>
        <w:t xml:space="preserve"> In December 2020, the Commission tabled a legislative proposal to strengthen the mandate of Europol (COM(2020) 796 final). The mandate of the </w:t>
      </w:r>
      <w:r w:rsidRPr="008F621A">
        <w:t>European Border and Coast Guard</w:t>
      </w:r>
      <w:r>
        <w:t xml:space="preserve"> Agency was reinforced in November 2019 (see Regulation (EU) 2019/1896). </w:t>
      </w:r>
    </w:p>
  </w:footnote>
  <w:footnote w:id="12">
    <w:p w14:paraId="611ED4A4" w14:textId="77777777" w:rsidR="003F3C88" w:rsidRPr="00302A54" w:rsidRDefault="003F3C88" w:rsidP="00886F3D">
      <w:pPr>
        <w:pStyle w:val="FootnoteText"/>
        <w:ind w:left="142" w:hanging="142"/>
        <w:jc w:val="both"/>
        <w:rPr>
          <w:lang w:val="pt-BR"/>
        </w:rPr>
      </w:pPr>
      <w:r w:rsidRPr="001E3B3A">
        <w:rPr>
          <w:rStyle w:val="FootnoteReference"/>
          <w:rFonts w:cs="Times New Roman"/>
        </w:rPr>
        <w:footnoteRef/>
      </w:r>
      <w:r w:rsidRPr="00302A54">
        <w:rPr>
          <w:lang w:val="pt-BR"/>
        </w:rPr>
        <w:t xml:space="preserve"> COM(2020) 605 final.</w:t>
      </w:r>
    </w:p>
  </w:footnote>
  <w:footnote w:id="13">
    <w:p w14:paraId="76D0839F" w14:textId="77777777" w:rsidR="003F3C88" w:rsidRPr="00302A54" w:rsidRDefault="003F3C88" w:rsidP="00886F3D">
      <w:pPr>
        <w:pStyle w:val="FootnoteText"/>
        <w:ind w:left="142" w:hanging="142"/>
        <w:jc w:val="both"/>
        <w:rPr>
          <w:lang w:val="pt-BR"/>
        </w:rPr>
      </w:pPr>
      <w:r w:rsidRPr="00AB5038">
        <w:rPr>
          <w:rStyle w:val="FootnoteReference"/>
          <w:rFonts w:cs="Times New Roman"/>
        </w:rPr>
        <w:footnoteRef/>
      </w:r>
      <w:r w:rsidRPr="00302A54">
        <w:rPr>
          <w:lang w:val="pt-BR"/>
        </w:rPr>
        <w:t xml:space="preserve"> COM(2020) 795 final.</w:t>
      </w:r>
    </w:p>
  </w:footnote>
  <w:footnote w:id="14">
    <w:p w14:paraId="3856681E" w14:textId="77777777" w:rsidR="003F3C88" w:rsidRPr="00302A54" w:rsidRDefault="003F3C88" w:rsidP="00886F3D">
      <w:pPr>
        <w:pStyle w:val="FootnoteText"/>
        <w:ind w:left="142" w:hanging="142"/>
        <w:jc w:val="both"/>
        <w:rPr>
          <w:lang w:val="pt-BR"/>
        </w:rPr>
      </w:pPr>
      <w:r w:rsidRPr="00AB5038">
        <w:rPr>
          <w:rStyle w:val="FootnoteReference"/>
          <w:rFonts w:cs="Times New Roman"/>
        </w:rPr>
        <w:footnoteRef/>
      </w:r>
      <w:r w:rsidRPr="00302A54">
        <w:rPr>
          <w:lang w:val="pt-BR"/>
        </w:rPr>
        <w:t xml:space="preserve"> COM(2021) 170 final.</w:t>
      </w:r>
    </w:p>
  </w:footnote>
  <w:footnote w:id="15">
    <w:p w14:paraId="65E51C64" w14:textId="77777777" w:rsidR="003F3C88" w:rsidRPr="00D222C4" w:rsidRDefault="003F3C88" w:rsidP="00886F3D">
      <w:pPr>
        <w:pStyle w:val="FootnoteText"/>
        <w:ind w:left="142" w:hanging="142"/>
        <w:jc w:val="both"/>
      </w:pPr>
      <w:r w:rsidRPr="00D222C4">
        <w:rPr>
          <w:rStyle w:val="FootnoteReference"/>
          <w:rFonts w:cs="Times New Roman"/>
        </w:rPr>
        <w:footnoteRef/>
      </w:r>
      <w:r>
        <w:t xml:space="preserve"> </w:t>
      </w:r>
      <w:r w:rsidRPr="00D222C4">
        <w:t>COM(2021) 277 final.</w:t>
      </w:r>
    </w:p>
  </w:footnote>
  <w:footnote w:id="16">
    <w:p w14:paraId="217F0BD6" w14:textId="77777777" w:rsidR="003F3C88" w:rsidRPr="00316247" w:rsidRDefault="003F3C88" w:rsidP="00886F3D">
      <w:pPr>
        <w:pStyle w:val="FootnoteText"/>
        <w:ind w:left="142" w:hanging="142"/>
        <w:jc w:val="both"/>
        <w:rPr>
          <w:bCs/>
          <w:color w:val="0070C0"/>
          <w:u w:val="single"/>
        </w:rPr>
      </w:pPr>
      <w:r w:rsidRPr="00F373F4">
        <w:rPr>
          <w:rStyle w:val="FootnoteReference"/>
          <w:rFonts w:cs="Times New Roman"/>
        </w:rPr>
        <w:footnoteRef/>
      </w:r>
      <w:r>
        <w:t xml:space="preserve"> </w:t>
      </w:r>
      <w:r w:rsidRPr="00F373F4">
        <w:rPr>
          <w:shd w:val="clear" w:color="auto" w:fill="FFFFFF"/>
        </w:rPr>
        <w:t>European Parliament resolution of 17</w:t>
      </w:r>
      <w:r>
        <w:rPr>
          <w:shd w:val="clear" w:color="auto" w:fill="FFFFFF"/>
        </w:rPr>
        <w:t>.12.</w:t>
      </w:r>
      <w:r w:rsidRPr="00F373F4">
        <w:rPr>
          <w:shd w:val="clear" w:color="auto" w:fill="FFFFFF"/>
        </w:rPr>
        <w:t>2020 on the EU Security Union Strategy (</w:t>
      </w:r>
      <w:hyperlink r:id="rId3" w:history="1">
        <w:r w:rsidRPr="00F373F4">
          <w:rPr>
            <w:rStyle w:val="Hyperlink"/>
            <w:rFonts w:cs="Times New Roman"/>
            <w:bCs/>
          </w:rPr>
          <w:t>2020/2791(RSP)</w:t>
        </w:r>
      </w:hyperlink>
      <w:r w:rsidRPr="00F373F4">
        <w:rPr>
          <w:shd w:val="clear" w:color="auto" w:fill="FFFFFF"/>
        </w:rPr>
        <w:t>) and</w:t>
      </w:r>
      <w:r w:rsidRPr="00F373F4">
        <w:rPr>
          <w:color w:val="0070C0"/>
          <w:shd w:val="clear" w:color="auto" w:fill="FFFFFF"/>
        </w:rPr>
        <w:t xml:space="preserve"> </w:t>
      </w:r>
      <w:r w:rsidRPr="00F373F4">
        <w:t>Council Conclusions</w:t>
      </w:r>
      <w:r w:rsidRPr="00316247">
        <w:t xml:space="preserve"> 13083/1/20 REV 1, 24</w:t>
      </w:r>
      <w:r>
        <w:t>.11.</w:t>
      </w:r>
      <w:r w:rsidRPr="00316247">
        <w:t xml:space="preserve">2020 on </w:t>
      </w:r>
      <w:r w:rsidRPr="009E080A">
        <w:rPr>
          <w:i/>
        </w:rPr>
        <w:t>Internal Security and European Police Partnership</w:t>
      </w:r>
      <w:r w:rsidRPr="00316247">
        <w:t>.</w:t>
      </w:r>
    </w:p>
  </w:footnote>
  <w:footnote w:id="17">
    <w:p w14:paraId="21F5CC9D" w14:textId="77777777" w:rsidR="003F3C88" w:rsidRPr="00302A54" w:rsidRDefault="003F3C88" w:rsidP="00886F3D">
      <w:pPr>
        <w:pStyle w:val="FootnoteText"/>
        <w:ind w:left="142" w:hanging="142"/>
        <w:jc w:val="both"/>
        <w:rPr>
          <w:lang w:val="pt-BR"/>
        </w:rPr>
      </w:pPr>
      <w:r w:rsidRPr="00E76B99">
        <w:rPr>
          <w:rStyle w:val="FootnoteReference"/>
          <w:rFonts w:cs="Times New Roman"/>
        </w:rPr>
        <w:footnoteRef/>
      </w:r>
      <w:r w:rsidRPr="00493B98">
        <w:rPr>
          <w:lang w:val="pt-BR"/>
        </w:rPr>
        <w:t xml:space="preserve"> Political Guidelines: </w:t>
      </w:r>
      <w:hyperlink r:id="rId4" w:history="1">
        <w:r w:rsidRPr="00302A54">
          <w:rPr>
            <w:rStyle w:val="Hyperlink"/>
            <w:rFonts w:cs="Times New Roman"/>
            <w:lang w:val="pt-BR"/>
          </w:rPr>
          <w:t>https://ec.europa.eu/info/sites/info/files/political-guidelines-next-commission_en_0.pdf</w:t>
        </w:r>
      </w:hyperlink>
      <w:r w:rsidRPr="00302A54">
        <w:rPr>
          <w:lang w:val="pt-BR"/>
        </w:rPr>
        <w:t xml:space="preserve"> </w:t>
      </w:r>
    </w:p>
  </w:footnote>
  <w:footnote w:id="18">
    <w:p w14:paraId="6DB75B87" w14:textId="77777777" w:rsidR="003F3C88" w:rsidRPr="00302A54" w:rsidRDefault="003F3C88" w:rsidP="00886F3D">
      <w:pPr>
        <w:pStyle w:val="FootnoteText"/>
        <w:ind w:left="142" w:hanging="142"/>
        <w:jc w:val="both"/>
        <w:rPr>
          <w:lang w:val="pt-BR"/>
        </w:rPr>
      </w:pPr>
      <w:r w:rsidRPr="000D1F69">
        <w:rPr>
          <w:rStyle w:val="FootnoteReference"/>
          <w:rFonts w:cs="Times New Roman"/>
        </w:rPr>
        <w:footnoteRef/>
      </w:r>
      <w:r w:rsidRPr="00302A54">
        <w:rPr>
          <w:lang w:val="pt-BR"/>
        </w:rPr>
        <w:t xml:space="preserve"> COM(2020) 690 final.</w:t>
      </w:r>
    </w:p>
  </w:footnote>
  <w:footnote w:id="19">
    <w:p w14:paraId="2E3F4899" w14:textId="77777777" w:rsidR="003F3C88" w:rsidRPr="00493B98" w:rsidRDefault="003F3C88" w:rsidP="00886F3D">
      <w:pPr>
        <w:pStyle w:val="FootnoteText"/>
        <w:ind w:left="142" w:hanging="142"/>
        <w:jc w:val="both"/>
        <w:rPr>
          <w:lang w:val="pt-BR"/>
        </w:rPr>
      </w:pPr>
      <w:r w:rsidRPr="00311B6B">
        <w:rPr>
          <w:rStyle w:val="FootnoteReference"/>
          <w:rFonts w:cs="Times New Roman"/>
        </w:rPr>
        <w:footnoteRef/>
      </w:r>
      <w:r w:rsidRPr="00493B98">
        <w:rPr>
          <w:lang w:val="pt-BR"/>
        </w:rPr>
        <w:t xml:space="preserve"> COM(2020) 796 final.</w:t>
      </w:r>
    </w:p>
  </w:footnote>
  <w:footnote w:id="20">
    <w:p w14:paraId="4154E23F" w14:textId="677AB940" w:rsidR="003F3C88" w:rsidRPr="00380EEA" w:rsidRDefault="003F3C88" w:rsidP="00886F3D">
      <w:pPr>
        <w:pStyle w:val="FootnoteText"/>
        <w:ind w:left="142" w:hanging="142"/>
        <w:rPr>
          <w:lang w:val="de-DE"/>
        </w:rPr>
      </w:pPr>
      <w:r>
        <w:rPr>
          <w:rStyle w:val="FootnoteReference"/>
        </w:rPr>
        <w:footnoteRef/>
      </w:r>
      <w:r>
        <w:t xml:space="preserve"> </w:t>
      </w:r>
      <w:r>
        <w:rPr>
          <w:lang w:val="de-DE"/>
        </w:rPr>
        <w:t>COM(2021) 277 final.</w:t>
      </w:r>
    </w:p>
  </w:footnote>
  <w:footnote w:id="21">
    <w:p w14:paraId="33253CB1" w14:textId="46E8312C" w:rsidR="003F3C88" w:rsidRPr="00380EEA" w:rsidRDefault="003F3C88" w:rsidP="00886F3D">
      <w:pPr>
        <w:pStyle w:val="FootnoteText"/>
        <w:ind w:left="142" w:hanging="142"/>
        <w:rPr>
          <w:lang w:val="de-DE"/>
        </w:rPr>
      </w:pPr>
      <w:r>
        <w:rPr>
          <w:rStyle w:val="FootnoteReference"/>
        </w:rPr>
        <w:footnoteRef/>
      </w:r>
      <w:r>
        <w:t xml:space="preserve"> </w:t>
      </w:r>
      <w:r>
        <w:rPr>
          <w:lang w:val="de-DE"/>
        </w:rPr>
        <w:t>Regulation (EU) 2017/458.</w:t>
      </w:r>
    </w:p>
  </w:footnote>
  <w:footnote w:id="22">
    <w:p w14:paraId="4CD0E77A" w14:textId="77777777" w:rsidR="003F3C88" w:rsidRPr="00174D3F" w:rsidRDefault="003F3C88" w:rsidP="00886F3D">
      <w:pPr>
        <w:pStyle w:val="FootnoteText"/>
        <w:ind w:left="142" w:hanging="142"/>
      </w:pPr>
      <w:r>
        <w:rPr>
          <w:rStyle w:val="FootnoteReference"/>
        </w:rPr>
        <w:footnoteRef/>
      </w:r>
      <w:r>
        <w:t xml:space="preserve"> Complementary information on high level issues and their links with the core problems can be found in annex 4. </w:t>
      </w:r>
    </w:p>
  </w:footnote>
  <w:footnote w:id="23">
    <w:p w14:paraId="7B0F6C42" w14:textId="77777777" w:rsidR="003F3C88" w:rsidRPr="009F67CD" w:rsidRDefault="003F3C88" w:rsidP="00886F3D">
      <w:pPr>
        <w:pStyle w:val="FootnoteText"/>
        <w:ind w:left="142" w:hanging="142"/>
        <w:jc w:val="both"/>
        <w:rPr>
          <w:lang w:val="de-DE"/>
        </w:rPr>
      </w:pPr>
      <w:r w:rsidRPr="009F67CD">
        <w:rPr>
          <w:rStyle w:val="FootnoteReference"/>
          <w:rFonts w:cs="Times New Roman"/>
        </w:rPr>
        <w:footnoteRef/>
      </w:r>
      <w:r>
        <w:t xml:space="preserve"> Europol's "</w:t>
      </w:r>
      <w:r w:rsidRPr="009F67CD">
        <w:t>Secure Information Exchange Network Application</w:t>
      </w:r>
      <w:r>
        <w:t>"</w:t>
      </w:r>
      <w:r w:rsidRPr="009F67CD">
        <w:t>.</w:t>
      </w:r>
    </w:p>
  </w:footnote>
  <w:footnote w:id="24">
    <w:p w14:paraId="19B91338" w14:textId="4C6F951F" w:rsidR="003F3C88" w:rsidRPr="009807D1" w:rsidRDefault="003F3C88" w:rsidP="00886F3D">
      <w:pPr>
        <w:pStyle w:val="FootnoteText"/>
        <w:ind w:left="142" w:hanging="142"/>
        <w:jc w:val="both"/>
      </w:pPr>
      <w:r w:rsidRPr="009807D1">
        <w:rPr>
          <w:rStyle w:val="FootnoteReference"/>
          <w:rFonts w:cs="Times New Roman"/>
        </w:rPr>
        <w:footnoteRef/>
      </w:r>
      <w:r w:rsidRPr="009807D1">
        <w:t xml:space="preserve"> Survey: Q 31, 83% (n=53) of LEAs respondents reported information sharing took place always or very frequently in relation to drugs, 73% (n=38) in relation to illegal immigration and 68% in relation to both terrorism (n=26) and cybercrime (n=34).</w:t>
      </w:r>
      <w:r>
        <w:t xml:space="preserve"> See Annexes 2, 6 &amp; 9 .</w:t>
      </w:r>
    </w:p>
  </w:footnote>
  <w:footnote w:id="25">
    <w:p w14:paraId="2111272D" w14:textId="47BC0CE3" w:rsidR="003F3C88" w:rsidRPr="00323032" w:rsidRDefault="003F3C88" w:rsidP="00886F3D">
      <w:pPr>
        <w:pStyle w:val="FootnoteText"/>
        <w:ind w:left="142" w:hanging="142"/>
        <w:jc w:val="both"/>
      </w:pPr>
      <w:r>
        <w:rPr>
          <w:rStyle w:val="FootnoteReference"/>
        </w:rPr>
        <w:footnoteRef/>
      </w:r>
      <w:r>
        <w:t xml:space="preserve"> </w:t>
      </w:r>
      <w:r>
        <w:rPr>
          <w:szCs w:val="24"/>
          <w:shd w:val="clear" w:color="auto" w:fill="FFFFFF"/>
        </w:rPr>
        <w:t xml:space="preserve"> </w:t>
      </w:r>
      <w:r w:rsidRPr="003E4F1F">
        <w:rPr>
          <w:rFonts w:cs="Times New Roman"/>
          <w:szCs w:val="24"/>
        </w:rPr>
        <w:t>The SFD has been regularly and thoroughly monitored and evaluated as part of the Schengen evaluation and monitoring process carried out for the past 6 years in field of police cooperation. The Schengen evaluation and monitoring process consist of questionnaires and one-week on-site visits (announced or unannounced) by an expert team involving national experts from other Member States, Commission representatives and experts from EU Agencies. The evaluation team inquires into the practical application of the SFD by national police authorities in their daily work, e.g. how the national police authorities request information from other Member States, and how they respond to such requests that they receive from other Member States. The evaluation team can directly address relevant persons and has access to all areas, premises and documents required for the evaluation.  All Schengen countries have been evaluated from 2015 to 2019 (26 countries). A new evaluation cycle started in 2020 (starting with countries evaluated in 2015). Over 30 evaluations have thus been carried out in field of police cooperation over the past 6 years. The country reports drawn up following each evaluation analyse</w:t>
      </w:r>
      <w:r>
        <w:rPr>
          <w:rFonts w:cs="Times New Roman"/>
          <w:szCs w:val="24"/>
        </w:rPr>
        <w:t>s</w:t>
      </w:r>
      <w:r w:rsidRPr="003E4F1F">
        <w:rPr>
          <w:rFonts w:cs="Times New Roman"/>
          <w:szCs w:val="24"/>
        </w:rPr>
        <w:t xml:space="preserve"> the qualitative, quantitative, operational, administrative and organisational aspects and list any deficiencies identified during the evaluation. The country reports offer sound and first-hand information on the application of the SFD in the Member States, making the SFD one of the best evaluated policies in the justice and home affairs domain, and providing a very solid knowledge base for evidence-based law-making</w:t>
      </w:r>
      <w:r>
        <w:rPr>
          <w:rFonts w:cs="Times New Roman"/>
          <w:szCs w:val="24"/>
        </w:rPr>
        <w:t>.</w:t>
      </w:r>
    </w:p>
  </w:footnote>
  <w:footnote w:id="26">
    <w:p w14:paraId="17B2F7A7" w14:textId="77777777" w:rsidR="003F3C88" w:rsidRPr="00AC012F" w:rsidRDefault="003F3C88" w:rsidP="00886F3D">
      <w:pPr>
        <w:pStyle w:val="FootnoteText"/>
        <w:ind w:left="142" w:hanging="142"/>
        <w:jc w:val="both"/>
      </w:pPr>
      <w:r w:rsidRPr="00AC012F">
        <w:rPr>
          <w:rStyle w:val="FootnoteReference"/>
          <w:rFonts w:cs="Times New Roman"/>
        </w:rPr>
        <w:footnoteRef/>
      </w:r>
      <w:r>
        <w:t xml:space="preserve"> </w:t>
      </w:r>
      <w:r w:rsidRPr="00AC012F">
        <w:t>Council Framework Decision 2006/960/JHA of 18 December 2006 on simplifying the exchange of information and intelligence between law enforcement authorities of the Member States, OJ L 386/89, 29.12.2006.</w:t>
      </w:r>
    </w:p>
  </w:footnote>
  <w:footnote w:id="27">
    <w:p w14:paraId="47D36D5A" w14:textId="77777777" w:rsidR="003F3C88" w:rsidRPr="00237337" w:rsidRDefault="003F3C88" w:rsidP="00886F3D">
      <w:pPr>
        <w:pStyle w:val="FootnoteText"/>
        <w:ind w:left="142" w:hanging="142"/>
        <w:rPr>
          <w:lang w:val="en-GB"/>
        </w:rPr>
      </w:pPr>
      <w:r>
        <w:rPr>
          <w:rStyle w:val="FootnoteReference"/>
        </w:rPr>
        <w:footnoteRef/>
      </w:r>
      <w:r>
        <w:t xml:space="preserve"> </w:t>
      </w:r>
      <w:r w:rsidRPr="00237337">
        <w:rPr>
          <w:lang w:val="en-GB"/>
        </w:rPr>
        <w:t xml:space="preserve">Council document </w:t>
      </w:r>
      <w:r>
        <w:t>5825/20 ADD 1 REV 1, 2.12.2020,</w:t>
      </w:r>
      <w:r w:rsidRPr="00237337">
        <w:rPr>
          <w:lang w:val="en-GB"/>
        </w:rPr>
        <w:t xml:space="preserve"> </w:t>
      </w:r>
      <w:r w:rsidRPr="00237337">
        <w:rPr>
          <w:i/>
        </w:rPr>
        <w:t>Manual on Law Enforcement Information Exchange</w:t>
      </w:r>
      <w:r>
        <w:rPr>
          <w:i/>
        </w:rPr>
        <w:t>.</w:t>
      </w:r>
      <w:r w:rsidRPr="00237337">
        <w:rPr>
          <w:lang w:val="en-GB"/>
        </w:rPr>
        <w:t xml:space="preserve"> </w:t>
      </w:r>
    </w:p>
  </w:footnote>
  <w:footnote w:id="28">
    <w:p w14:paraId="1516EB91" w14:textId="77777777" w:rsidR="003F3C88" w:rsidRPr="001829EF" w:rsidRDefault="003F3C88" w:rsidP="003B5817">
      <w:pPr>
        <w:pStyle w:val="FootnoteText"/>
        <w:ind w:left="142" w:hanging="142"/>
        <w:rPr>
          <w:lang w:val="en-GB"/>
        </w:rPr>
      </w:pPr>
      <w:r>
        <w:rPr>
          <w:rStyle w:val="FootnoteReference"/>
        </w:rPr>
        <w:footnoteRef/>
      </w:r>
      <w:r>
        <w:t xml:space="preserve"> </w:t>
      </w:r>
      <w:r w:rsidRPr="00C5236E">
        <w:rPr>
          <w:rFonts w:cs="Times New Roman"/>
        </w:rPr>
        <w:t>Supplementary Information REquest at the National Entry.</w:t>
      </w:r>
    </w:p>
  </w:footnote>
  <w:footnote w:id="29">
    <w:p w14:paraId="2B57D34C" w14:textId="77777777" w:rsidR="003F3C88" w:rsidRPr="004C00AE" w:rsidRDefault="003F3C88" w:rsidP="003B5817">
      <w:pPr>
        <w:pStyle w:val="FootnoteText"/>
        <w:ind w:left="142" w:hanging="142"/>
        <w:jc w:val="both"/>
      </w:pPr>
      <w:r w:rsidRPr="004C00AE">
        <w:rPr>
          <w:rStyle w:val="FootnoteReference"/>
          <w:rFonts w:cs="Times New Roman"/>
        </w:rPr>
        <w:footnoteRef/>
      </w:r>
      <w:r w:rsidRPr="004C00AE">
        <w:t xml:space="preserve"> See Council doc</w:t>
      </w:r>
      <w:r>
        <w:t>ument</w:t>
      </w:r>
      <w:r w:rsidRPr="004C00AE">
        <w:t xml:space="preserve"> 6261/17, 4 July 2017,</w:t>
      </w:r>
      <w:r w:rsidRPr="004C00AE">
        <w:rPr>
          <w:i/>
        </w:rPr>
        <w:t xml:space="preserve"> ibidem</w:t>
      </w:r>
      <w:r w:rsidRPr="004C00AE">
        <w:t xml:space="preserve"> p. 31.</w:t>
      </w:r>
    </w:p>
  </w:footnote>
  <w:footnote w:id="30">
    <w:p w14:paraId="3F26DC18" w14:textId="5C1D63A4" w:rsidR="003F3C88" w:rsidRPr="00BC2D7D" w:rsidRDefault="003F3C88" w:rsidP="00BC2D7D">
      <w:pPr>
        <w:pStyle w:val="FootnoteText"/>
        <w:ind w:left="142" w:hanging="142"/>
        <w:jc w:val="both"/>
      </w:pPr>
      <w:r w:rsidRPr="007C7DAD">
        <w:rPr>
          <w:rStyle w:val="FootnoteReference"/>
          <w:rFonts w:cs="Times New Roman"/>
        </w:rPr>
        <w:footnoteRef/>
      </w:r>
      <w:r w:rsidRPr="007C7DAD">
        <w:t xml:space="preserve"> </w:t>
      </w:r>
      <w:r>
        <w:rPr>
          <w:szCs w:val="24"/>
        </w:rPr>
        <w:t>A</w:t>
      </w:r>
      <w:r w:rsidRPr="007C7DAD">
        <w:rPr>
          <w:szCs w:val="24"/>
        </w:rPr>
        <w:t xml:space="preserve"> number of Member States indicated that the different scope of the SFD and the CISA (respectively "conducting criminal intelligence operations"</w:t>
      </w:r>
      <w:r>
        <w:rPr>
          <w:szCs w:val="24"/>
        </w:rPr>
        <w:t xml:space="preserve"> and "</w:t>
      </w:r>
      <w:r w:rsidRPr="007C7DAD">
        <w:rPr>
          <w:szCs w:val="24"/>
        </w:rPr>
        <w:t>preventing and detecting criminal offences</w:t>
      </w:r>
      <w:r>
        <w:rPr>
          <w:szCs w:val="24"/>
        </w:rPr>
        <w:t>"</w:t>
      </w:r>
      <w:r w:rsidRPr="007C7DAD">
        <w:rPr>
          <w:szCs w:val="24"/>
        </w:rPr>
        <w:t>) makes it unclear if and to what extent the CISA (Art. 39 and 46) is still applicable</w:t>
      </w:r>
      <w:r>
        <w:rPr>
          <w:szCs w:val="24"/>
        </w:rPr>
        <w:t xml:space="preserve">, </w:t>
      </w:r>
      <w:r w:rsidRPr="007C7DAD" w:rsidDel="00953D5D">
        <w:rPr>
          <w:szCs w:val="24"/>
        </w:rPr>
        <w:t>despite</w:t>
      </w:r>
      <w:r w:rsidRPr="007C7DAD">
        <w:rPr>
          <w:szCs w:val="24"/>
        </w:rPr>
        <w:t xml:space="preserve"> that</w:t>
      </w:r>
      <w:r w:rsidRPr="007C7DAD" w:rsidDel="00953D5D">
        <w:rPr>
          <w:szCs w:val="24"/>
        </w:rPr>
        <w:t xml:space="preserve"> the SFD was expected to replace the CISA as the key legal basis for information sharing relevant to law enforcement cooperation.</w:t>
      </w:r>
      <w:r w:rsidRPr="007C7DAD">
        <w:rPr>
          <w:sz w:val="18"/>
        </w:rPr>
        <w:t xml:space="preserve"> </w:t>
      </w:r>
      <w:r w:rsidRPr="007C7DAD">
        <w:rPr>
          <w:szCs w:val="24"/>
        </w:rPr>
        <w:t>This results in a limited contribution of the SFD towards simplification and streamlining of the EU framework</w:t>
      </w:r>
      <w:r>
        <w:rPr>
          <w:szCs w:val="24"/>
        </w:rPr>
        <w:t xml:space="preserve">. They also </w:t>
      </w:r>
      <w:r w:rsidRPr="007C7DAD">
        <w:rPr>
          <w:szCs w:val="24"/>
        </w:rPr>
        <w:t>question</w:t>
      </w:r>
      <w:r>
        <w:rPr>
          <w:szCs w:val="24"/>
        </w:rPr>
        <w:t>ed</w:t>
      </w:r>
      <w:r w:rsidRPr="007C7DAD">
        <w:rPr>
          <w:szCs w:val="24"/>
        </w:rPr>
        <w:t xml:space="preserve"> the need to have two pieces of legislation (the SFD and the CISA) instead of just one piece of legislation with a broader and more comprehensive scope.</w:t>
      </w:r>
      <w:r>
        <w:rPr>
          <w:szCs w:val="24"/>
        </w:rPr>
        <w:t xml:space="preserve"> 7 </w:t>
      </w:r>
      <w:r w:rsidRPr="009807D1">
        <w:t>Schengen evaluation reports</w:t>
      </w:r>
      <w:r>
        <w:t>.</w:t>
      </w:r>
    </w:p>
  </w:footnote>
  <w:footnote w:id="31">
    <w:p w14:paraId="1F311888" w14:textId="0EBE1165" w:rsidR="003F3C88" w:rsidRPr="00800018" w:rsidRDefault="003F3C88" w:rsidP="006241B7">
      <w:pPr>
        <w:pStyle w:val="FootnoteText"/>
        <w:jc w:val="both"/>
        <w:rPr>
          <w:lang w:val="en-GB"/>
        </w:rPr>
      </w:pPr>
      <w:r>
        <w:rPr>
          <w:rStyle w:val="FootnoteReference"/>
        </w:rPr>
        <w:footnoteRef/>
      </w:r>
      <w:r>
        <w:t xml:space="preserve"> Council Document 14755/1/12, </w:t>
      </w:r>
      <w:r w:rsidRPr="00704502">
        <w:rPr>
          <w:i/>
          <w:lang w:val="en-GB"/>
        </w:rPr>
        <w:t>Swedish Framework Decision (SFD) implementation – Assessment of compliance pursuant to Article 1(2)</w:t>
      </w:r>
      <w:r w:rsidRPr="00AC0345">
        <w:rPr>
          <w:lang w:val="en-GB"/>
        </w:rPr>
        <w:t>.</w:t>
      </w:r>
    </w:p>
  </w:footnote>
  <w:footnote w:id="32">
    <w:p w14:paraId="55E15687" w14:textId="27DF7912" w:rsidR="003F3C88" w:rsidRPr="00AC0345" w:rsidRDefault="003F3C88" w:rsidP="003B5817">
      <w:pPr>
        <w:pStyle w:val="FootnoteText"/>
        <w:ind w:left="142" w:hanging="142"/>
        <w:jc w:val="both"/>
        <w:rPr>
          <w:rStyle w:val="FootnoteReference"/>
          <w:rFonts w:cs="Times New Roman"/>
          <w:lang w:val="en-GB"/>
        </w:rPr>
      </w:pPr>
      <w:r w:rsidRPr="00733C6A">
        <w:rPr>
          <w:rStyle w:val="FootnoteReference"/>
          <w:rFonts w:cs="Times New Roman"/>
        </w:rPr>
        <w:footnoteRef/>
      </w:r>
      <w:r w:rsidRPr="00AC0345">
        <w:rPr>
          <w:rStyle w:val="FootnoteReference"/>
          <w:rFonts w:cs="Times New Roman"/>
          <w:lang w:val="en-GB"/>
        </w:rPr>
        <w:t xml:space="preserve"> </w:t>
      </w:r>
      <w:r w:rsidRPr="00AC0345">
        <w:rPr>
          <w:lang w:val="en-GB"/>
        </w:rPr>
        <w:t>Council Document 14755/1/12</w:t>
      </w:r>
      <w:r>
        <w:rPr>
          <w:lang w:val="en-GB"/>
        </w:rPr>
        <w:t>.</w:t>
      </w:r>
    </w:p>
  </w:footnote>
  <w:footnote w:id="33">
    <w:p w14:paraId="40C165FD" w14:textId="77777777" w:rsidR="003F3C88" w:rsidRPr="00DB74D0" w:rsidRDefault="003F3C88" w:rsidP="003B5817">
      <w:pPr>
        <w:pStyle w:val="FootnoteText"/>
        <w:ind w:left="142" w:hanging="142"/>
        <w:jc w:val="both"/>
      </w:pPr>
      <w:r w:rsidRPr="00DB74D0">
        <w:rPr>
          <w:rStyle w:val="FootnoteReference"/>
          <w:rFonts w:cs="Times New Roman"/>
        </w:rPr>
        <w:footnoteRef/>
      </w:r>
      <w:r>
        <w:t xml:space="preserve"> </w:t>
      </w:r>
      <w:r w:rsidRPr="00DB74D0">
        <w:t>Survey: Q 15, 3 national judicial authorities</w:t>
      </w:r>
      <w:r>
        <w:t>'</w:t>
      </w:r>
      <w:r w:rsidRPr="00DB74D0">
        <w:t xml:space="preserve"> representatives.</w:t>
      </w:r>
    </w:p>
  </w:footnote>
  <w:footnote w:id="34">
    <w:p w14:paraId="567278CB" w14:textId="77777777" w:rsidR="003F3C88" w:rsidRPr="00DB74D0" w:rsidRDefault="003F3C88" w:rsidP="005F07F0">
      <w:pPr>
        <w:pStyle w:val="FootnoteText"/>
        <w:ind w:left="142" w:hanging="142"/>
        <w:jc w:val="both"/>
      </w:pPr>
      <w:r w:rsidRPr="00DB74D0">
        <w:rPr>
          <w:rStyle w:val="FootnoteReference"/>
          <w:rFonts w:cs="Times New Roman"/>
        </w:rPr>
        <w:footnoteRef/>
      </w:r>
      <w:r>
        <w:t xml:space="preserve"> </w:t>
      </w:r>
      <w:r w:rsidRPr="00DB74D0">
        <w:t>Huybreghts, G. (2015)</w:t>
      </w:r>
      <w:r>
        <w:t>,</w:t>
      </w:r>
      <w:r w:rsidRPr="00DB74D0">
        <w:t xml:space="preserve"> </w:t>
      </w:r>
      <w:r w:rsidRPr="00704502">
        <w:rPr>
          <w:i/>
        </w:rPr>
        <w:t>The Schengen Convention and the Schengen acquis: 25 years of evolution</w:t>
      </w:r>
      <w:r w:rsidRPr="00DB74D0">
        <w:t>. ERA Forum.</w:t>
      </w:r>
    </w:p>
  </w:footnote>
  <w:footnote w:id="35">
    <w:p w14:paraId="0090F471" w14:textId="77777777" w:rsidR="003F3C88" w:rsidRPr="00046C19" w:rsidRDefault="003F3C88" w:rsidP="005F07F0">
      <w:pPr>
        <w:pStyle w:val="FootnoteText"/>
        <w:ind w:left="142" w:hanging="142"/>
        <w:jc w:val="both"/>
      </w:pPr>
      <w:r w:rsidRPr="00046C19">
        <w:rPr>
          <w:rStyle w:val="FootnoteReference"/>
          <w:rFonts w:cs="Times New Roman"/>
        </w:rPr>
        <w:footnoteRef/>
      </w:r>
      <w:r>
        <w:t xml:space="preserve"> </w:t>
      </w:r>
      <w:r w:rsidRPr="00046C19">
        <w:t xml:space="preserve">Council Document 9512/1/10, REV 1, 17.12.2010, </w:t>
      </w:r>
      <w:r w:rsidRPr="00046C19">
        <w:rPr>
          <w:i/>
        </w:rPr>
        <w:t>Guidelines on the implementation of Council Framework Decision 2006/960/JHA of 18 December 2006</w:t>
      </w:r>
      <w:r w:rsidRPr="00046C19">
        <w:t>.</w:t>
      </w:r>
    </w:p>
  </w:footnote>
  <w:footnote w:id="36">
    <w:p w14:paraId="53FE4DB8" w14:textId="439658F1" w:rsidR="003F3C88" w:rsidRPr="00DB74D0" w:rsidRDefault="003F3C88" w:rsidP="005F07F0">
      <w:pPr>
        <w:pStyle w:val="FootnoteText"/>
        <w:ind w:left="142" w:hanging="142"/>
        <w:jc w:val="both"/>
      </w:pPr>
      <w:r w:rsidRPr="00DB74D0">
        <w:rPr>
          <w:rStyle w:val="FootnoteReference"/>
          <w:rFonts w:cs="Times New Roman"/>
        </w:rPr>
        <w:footnoteRef/>
      </w:r>
      <w:r>
        <w:t xml:space="preserve">15 </w:t>
      </w:r>
      <w:r w:rsidRPr="00DB74D0">
        <w:t xml:space="preserve">Schengen evaluation reports. </w:t>
      </w:r>
      <w:r w:rsidRPr="00DB74D0">
        <w:rPr>
          <w:color w:val="000000" w:themeColor="text1"/>
        </w:rPr>
        <w:t>T</w:t>
      </w:r>
      <w:r w:rsidRPr="00DB74D0">
        <w:t>echnical workshop held on 24 March.</w:t>
      </w:r>
    </w:p>
  </w:footnote>
  <w:footnote w:id="37">
    <w:p w14:paraId="5DF86E4D" w14:textId="7D501322" w:rsidR="003F3C88" w:rsidRPr="00120A30" w:rsidRDefault="003F3C88" w:rsidP="005F07F0">
      <w:pPr>
        <w:pStyle w:val="FootnoteText"/>
        <w:ind w:left="142" w:hanging="142"/>
        <w:jc w:val="both"/>
      </w:pPr>
      <w:r w:rsidRPr="00120A30">
        <w:rPr>
          <w:rStyle w:val="FootnoteReference"/>
          <w:rFonts w:cs="Times New Roman"/>
        </w:rPr>
        <w:footnoteRef/>
      </w:r>
      <w:r>
        <w:t xml:space="preserve"> </w:t>
      </w:r>
      <w:r w:rsidRPr="00120A30">
        <w:t xml:space="preserve">Council Document 14755/1/12, </w:t>
      </w:r>
      <w:r w:rsidRPr="00C451D4">
        <w:rPr>
          <w:i/>
        </w:rPr>
        <w:t>Swedish Framework decision (SFD) implementation - Assessment of compliance pursuant to Article 11(2)</w:t>
      </w:r>
      <w:r w:rsidRPr="00120A30">
        <w:t xml:space="preserve">. Available at: </w:t>
      </w:r>
      <w:hyperlink r:id="rId5" w:history="1">
        <w:r w:rsidRPr="00120A30">
          <w:rPr>
            <w:rStyle w:val="Hyperlink"/>
            <w:rFonts w:cs="Times New Roman"/>
          </w:rPr>
          <w:t>link</w:t>
        </w:r>
      </w:hyperlink>
      <w:r w:rsidRPr="00120A30">
        <w:t xml:space="preserve">. </w:t>
      </w:r>
      <w:r w:rsidRPr="00120A30">
        <w:rPr>
          <w:color w:val="000000" w:themeColor="text1"/>
        </w:rPr>
        <w:t>T</w:t>
      </w:r>
      <w:r w:rsidRPr="00120A30">
        <w:t>echnical workshop held on 24 March</w:t>
      </w:r>
      <w:r>
        <w:t xml:space="preserve"> 2021</w:t>
      </w:r>
      <w:r w:rsidRPr="00120A30">
        <w:t xml:space="preserve">. </w:t>
      </w:r>
    </w:p>
  </w:footnote>
  <w:footnote w:id="38">
    <w:p w14:paraId="1EAC58D7" w14:textId="77777777" w:rsidR="003F3C88" w:rsidRPr="0075402E" w:rsidRDefault="003F3C88" w:rsidP="005F07F0">
      <w:pPr>
        <w:pStyle w:val="FootnoteText"/>
        <w:ind w:left="142" w:hanging="142"/>
        <w:jc w:val="both"/>
      </w:pPr>
      <w:r w:rsidRPr="0075402E">
        <w:rPr>
          <w:rStyle w:val="FootnoteReference"/>
          <w:rFonts w:cs="Times New Roman"/>
        </w:rPr>
        <w:footnoteRef/>
      </w:r>
      <w:r>
        <w:t xml:space="preserve"> </w:t>
      </w:r>
      <w:r w:rsidRPr="0075402E">
        <w:rPr>
          <w:shd w:val="clear" w:color="auto" w:fill="FFFFFF"/>
        </w:rP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and on the free movement of such data.</w:t>
      </w:r>
    </w:p>
  </w:footnote>
  <w:footnote w:id="39">
    <w:p w14:paraId="54D8F3EA" w14:textId="77777777" w:rsidR="003F3C88" w:rsidRPr="007B2A19" w:rsidRDefault="003F3C88" w:rsidP="005F07F0">
      <w:pPr>
        <w:pStyle w:val="FootnoteText"/>
        <w:ind w:left="142" w:hanging="142"/>
        <w:jc w:val="both"/>
      </w:pPr>
      <w:r w:rsidRPr="007B2A19">
        <w:rPr>
          <w:rStyle w:val="FootnoteReference"/>
          <w:rFonts w:cs="Times New Roman"/>
        </w:rPr>
        <w:footnoteRef/>
      </w:r>
      <w:r w:rsidRPr="007B2A19">
        <w:rPr>
          <w:rFonts w:cs="Times New Roman"/>
        </w:rPr>
        <w:t xml:space="preserve"> COM(2020)262, </w:t>
      </w:r>
      <w:r w:rsidRPr="00704502">
        <w:rPr>
          <w:rFonts w:cs="Times New Roman"/>
          <w:i/>
        </w:rPr>
        <w:t>Way forward on aligning the former third pillar acquis with data protection</w:t>
      </w:r>
      <w:r w:rsidRPr="00704502">
        <w:rPr>
          <w:i/>
        </w:rPr>
        <w:t xml:space="preserve"> rules</w:t>
      </w:r>
      <w:r>
        <w:rPr>
          <w:i/>
        </w:rPr>
        <w:t>.</w:t>
      </w:r>
    </w:p>
  </w:footnote>
  <w:footnote w:id="40">
    <w:p w14:paraId="2212409C" w14:textId="77777777" w:rsidR="003F3C88" w:rsidRPr="00237337" w:rsidRDefault="003F3C88" w:rsidP="005F07F0">
      <w:pPr>
        <w:pStyle w:val="FootnoteText"/>
        <w:ind w:left="142" w:hanging="142"/>
        <w:rPr>
          <w:lang w:val="en-GB"/>
        </w:rPr>
      </w:pPr>
      <w:r>
        <w:rPr>
          <w:rStyle w:val="FootnoteReference"/>
        </w:rPr>
        <w:footnoteRef/>
      </w:r>
      <w:r>
        <w:t xml:space="preserve"> </w:t>
      </w:r>
      <w:r w:rsidRPr="00237337">
        <w:rPr>
          <w:lang w:val="en-GB"/>
        </w:rPr>
        <w:t xml:space="preserve">Council document </w:t>
      </w:r>
      <w:r>
        <w:t>5825/20 ADD 1 REV 1, 2.12.2020,</w:t>
      </w:r>
      <w:r w:rsidRPr="00237337">
        <w:rPr>
          <w:lang w:val="en-GB"/>
        </w:rPr>
        <w:t xml:space="preserve"> </w:t>
      </w:r>
      <w:r w:rsidRPr="00237337">
        <w:rPr>
          <w:i/>
        </w:rPr>
        <w:t>Manual on Law Enforcement Information Exchange</w:t>
      </w:r>
      <w:r>
        <w:rPr>
          <w:i/>
        </w:rPr>
        <w:t>.</w:t>
      </w:r>
      <w:r w:rsidRPr="00237337">
        <w:rPr>
          <w:lang w:val="en-GB"/>
        </w:rPr>
        <w:t xml:space="preserve"> </w:t>
      </w:r>
    </w:p>
  </w:footnote>
  <w:footnote w:id="41">
    <w:p w14:paraId="31456A07" w14:textId="77777777" w:rsidR="003F3C88" w:rsidRPr="0037393F" w:rsidRDefault="003F3C88" w:rsidP="005F07F0">
      <w:pPr>
        <w:pStyle w:val="FootnoteText"/>
        <w:ind w:left="142" w:hanging="142"/>
        <w:jc w:val="both"/>
      </w:pPr>
      <w:r w:rsidRPr="0037393F">
        <w:rPr>
          <w:rStyle w:val="FootnoteReference"/>
          <w:rFonts w:cs="Times New Roman"/>
        </w:rPr>
        <w:footnoteRef/>
      </w:r>
      <w:r w:rsidRPr="0037393F">
        <w:t xml:space="preserve"> </w:t>
      </w:r>
      <w:r w:rsidRPr="00C16E55">
        <w:rPr>
          <w:spacing w:val="4"/>
          <w:szCs w:val="21"/>
          <w:shd w:val="clear" w:color="auto" w:fill="FFFFFF"/>
        </w:rPr>
        <w:t>Each state operating the Schengen Information System (SIS) has set up a national SIRENE Bureau, operational 24/7, that is responsible for any supplementary information exchange connected to SIS alerts.</w:t>
      </w:r>
    </w:p>
  </w:footnote>
  <w:footnote w:id="42">
    <w:p w14:paraId="4F0161B6" w14:textId="77777777" w:rsidR="003F3C88" w:rsidRPr="008F56CE" w:rsidRDefault="003F3C88" w:rsidP="005F07F0">
      <w:pPr>
        <w:pStyle w:val="FootnoteText"/>
        <w:ind w:left="142" w:hanging="142"/>
        <w:jc w:val="both"/>
      </w:pPr>
      <w:r w:rsidRPr="008F56CE">
        <w:rPr>
          <w:rStyle w:val="FootnoteReference"/>
          <w:rFonts w:cs="Times New Roman"/>
        </w:rPr>
        <w:footnoteRef/>
      </w:r>
      <w:r>
        <w:t xml:space="preserve"> </w:t>
      </w:r>
      <w:r w:rsidRPr="008F56CE">
        <w:t xml:space="preserve">Council document </w:t>
      </w:r>
      <w:r w:rsidRPr="008F56CE">
        <w:rPr>
          <w:bCs/>
        </w:rPr>
        <w:t xml:space="preserve">10492/14, </w:t>
      </w:r>
      <w:r w:rsidRPr="008F56CE">
        <w:rPr>
          <w:i/>
        </w:rPr>
        <w:t>Draft Guidelines for a SPOC for international law enforcement information exchange.</w:t>
      </w:r>
    </w:p>
  </w:footnote>
  <w:footnote w:id="43">
    <w:p w14:paraId="030E74CA" w14:textId="74F56A53" w:rsidR="003F3C88" w:rsidRPr="00120A30" w:rsidRDefault="003F3C88" w:rsidP="005F07F0">
      <w:pPr>
        <w:pStyle w:val="FootnoteText"/>
        <w:ind w:left="142" w:hanging="142"/>
        <w:jc w:val="both"/>
      </w:pPr>
      <w:r w:rsidRPr="00120A30">
        <w:rPr>
          <w:rStyle w:val="FootnoteReference"/>
          <w:rFonts w:cs="Times New Roman"/>
        </w:rPr>
        <w:footnoteRef/>
      </w:r>
      <w:r>
        <w:t xml:space="preserve">7 </w:t>
      </w:r>
      <w:r w:rsidRPr="00120A30">
        <w:t>Schengen evaluation reports. Technical workshop held on 24 March</w:t>
      </w:r>
      <w:r>
        <w:t xml:space="preserve"> 2021</w:t>
      </w:r>
      <w:r w:rsidRPr="00120A30">
        <w:t>.</w:t>
      </w:r>
    </w:p>
  </w:footnote>
  <w:footnote w:id="44">
    <w:p w14:paraId="5CA30B8C" w14:textId="77777777" w:rsidR="003F3C88" w:rsidRPr="00120A30" w:rsidRDefault="003F3C88" w:rsidP="005F07F0">
      <w:pPr>
        <w:pStyle w:val="FootnoteText"/>
        <w:ind w:left="142" w:hanging="142"/>
        <w:jc w:val="both"/>
      </w:pPr>
      <w:r w:rsidRPr="00120A30">
        <w:rPr>
          <w:rStyle w:val="FootnoteReference"/>
          <w:rFonts w:cs="Times New Roman"/>
        </w:rPr>
        <w:footnoteRef/>
      </w:r>
      <w:r w:rsidRPr="00120A30">
        <w:t xml:space="preserve"> </w:t>
      </w:r>
      <w:r>
        <w:t>Council Document 10492/14</w:t>
      </w:r>
      <w:r w:rsidRPr="00120A30">
        <w:t xml:space="preserve">; Council Document 12093/19, </w:t>
      </w:r>
      <w:r w:rsidRPr="000E3318">
        <w:rPr>
          <w:i/>
        </w:rPr>
        <w:t>Draft Council Conclusions on establishing a 'Heads of SPOC' network</w:t>
      </w:r>
      <w:r w:rsidRPr="00120A30">
        <w:t xml:space="preserve">; Council Document 5825/20 ADD 1 REV 1, </w:t>
      </w:r>
      <w:r w:rsidRPr="00BD2D60">
        <w:rPr>
          <w:i/>
        </w:rPr>
        <w:t>Manual on Law Enforcement Information Exchange</w:t>
      </w:r>
      <w:r w:rsidRPr="00120A30">
        <w:t>.</w:t>
      </w:r>
    </w:p>
  </w:footnote>
  <w:footnote w:id="45">
    <w:p w14:paraId="75FEF378" w14:textId="63C312AB" w:rsidR="003F3C88" w:rsidRPr="00120A30" w:rsidRDefault="003F3C88" w:rsidP="005F07F0">
      <w:pPr>
        <w:pStyle w:val="FootnoteText"/>
        <w:ind w:left="142" w:hanging="142"/>
        <w:jc w:val="both"/>
      </w:pPr>
      <w:r w:rsidRPr="00120A30">
        <w:rPr>
          <w:rStyle w:val="FootnoteReference"/>
          <w:rFonts w:cs="Times New Roman"/>
        </w:rPr>
        <w:footnoteRef/>
      </w:r>
      <w:r w:rsidRPr="00120A30">
        <w:t xml:space="preserve"> </w:t>
      </w:r>
      <w:r>
        <w:t xml:space="preserve">At the time of </w:t>
      </w:r>
      <w:r w:rsidRPr="00120A30">
        <w:t>their Schengen evaluation</w:t>
      </w:r>
      <w:r>
        <w:t>s</w:t>
      </w:r>
      <w:r w:rsidRPr="00120A30">
        <w:t xml:space="preserve"> </w:t>
      </w:r>
      <w:r>
        <w:t>(carried out between 2016 and 2019)</w:t>
      </w:r>
      <w:r w:rsidRPr="00120A30">
        <w:t xml:space="preserve">, </w:t>
      </w:r>
      <w:r>
        <w:t xml:space="preserve">3 countries were not considered </w:t>
      </w:r>
      <w:r w:rsidRPr="000B0FC1">
        <w:t xml:space="preserve">to have a SPOC in place, while, in </w:t>
      </w:r>
      <w:r>
        <w:t>one</w:t>
      </w:r>
      <w:r w:rsidRPr="000B0FC1">
        <w:t>, the SPOC was still not operational</w:t>
      </w:r>
      <w:r>
        <w:t xml:space="preserve">. </w:t>
      </w:r>
      <w:r w:rsidRPr="00017468">
        <w:t xml:space="preserve">Some of the </w:t>
      </w:r>
      <w:r>
        <w:t xml:space="preserve">countries </w:t>
      </w:r>
      <w:r w:rsidRPr="00017468">
        <w:t>consider the SPOC to be the front-office, others see it as the entire structure comprising the three main international police communication channels (INTERPOL, Europol and SIRENE). Such a structure may also contain other strategic or support services</w:t>
      </w:r>
      <w:r>
        <w:t>.</w:t>
      </w:r>
      <w:r w:rsidRPr="00017468">
        <w:rPr>
          <w:rFonts w:cs="Arial"/>
          <w:bCs/>
          <w:szCs w:val="16"/>
        </w:rPr>
        <w:t xml:space="preserve"> </w:t>
      </w:r>
      <w:r>
        <w:rPr>
          <w:rFonts w:cs="Arial"/>
          <w:bCs/>
          <w:szCs w:val="16"/>
        </w:rPr>
        <w:t>W</w:t>
      </w:r>
      <w:r w:rsidRPr="00017468">
        <w:rPr>
          <w:rFonts w:cs="Arial"/>
          <w:bCs/>
          <w:szCs w:val="16"/>
        </w:rPr>
        <w:t>hereas one country reported that its SPOC was run by a staff of 7, another country indicated that its SPOC was run by 287 persons (they are also acute differences between similar size countries showcasing the diversity of Member States approaches and the related efficiency of their IT architecture).</w:t>
      </w:r>
    </w:p>
  </w:footnote>
  <w:footnote w:id="46">
    <w:p w14:paraId="50CF2BDE" w14:textId="77777777" w:rsidR="003F3C88" w:rsidRPr="00120A30" w:rsidRDefault="003F3C88" w:rsidP="005F07F0">
      <w:pPr>
        <w:pStyle w:val="FootnoteText"/>
        <w:ind w:left="142" w:hanging="142"/>
        <w:jc w:val="both"/>
      </w:pPr>
      <w:r w:rsidRPr="00120A30">
        <w:rPr>
          <w:rStyle w:val="FootnoteReference"/>
          <w:rFonts w:cs="Times New Roman"/>
        </w:rPr>
        <w:footnoteRef/>
      </w:r>
      <w:r w:rsidRPr="00120A30">
        <w:t xml:space="preserve"> </w:t>
      </w:r>
      <w:r>
        <w:t xml:space="preserve">Fishing means </w:t>
      </w:r>
      <w:r w:rsidRPr="00BB4A51">
        <w:t xml:space="preserve">that </w:t>
      </w:r>
      <w:r>
        <w:t xml:space="preserve">one or several </w:t>
      </w:r>
      <w:r w:rsidRPr="00BB4A51">
        <w:t>Member State</w:t>
      </w:r>
      <w:r>
        <w:t xml:space="preserve">' law enforcement agencies </w:t>
      </w:r>
      <w:r w:rsidRPr="00BB4A51">
        <w:t xml:space="preserve">may receive the same information request </w:t>
      </w:r>
      <w:r>
        <w:t xml:space="preserve">via several channels </w:t>
      </w:r>
      <w:r w:rsidRPr="00BB4A51">
        <w:t>without any clear link to a specific case</w:t>
      </w:r>
      <w:r>
        <w:t xml:space="preserve"> (catch all fishing request)</w:t>
      </w:r>
      <w:r w:rsidRPr="00BB4A51">
        <w:t xml:space="preserve">, thus leading to duplication of work. Technical </w:t>
      </w:r>
      <w:r w:rsidRPr="00120A30">
        <w:t xml:space="preserve">workshop held on 24 March. </w:t>
      </w:r>
    </w:p>
  </w:footnote>
  <w:footnote w:id="47">
    <w:p w14:paraId="36D2C56E" w14:textId="77777777" w:rsidR="003F3C88" w:rsidRPr="00120A30" w:rsidRDefault="003F3C88" w:rsidP="005F07F0">
      <w:pPr>
        <w:pStyle w:val="FootnoteText"/>
        <w:ind w:left="142" w:hanging="142"/>
        <w:jc w:val="both"/>
      </w:pPr>
      <w:r w:rsidRPr="00120A30">
        <w:rPr>
          <w:rStyle w:val="FootnoteReference"/>
          <w:rFonts w:cs="Times New Roman"/>
        </w:rPr>
        <w:footnoteRef/>
      </w:r>
      <w:r w:rsidRPr="00120A30">
        <w:t xml:space="preserve"> Council document 14623/17, 27</w:t>
      </w:r>
      <w:r>
        <w:t>.11.</w:t>
      </w:r>
      <w:r w:rsidRPr="00120A30">
        <w:t xml:space="preserve">2017 - </w:t>
      </w:r>
      <w:r w:rsidRPr="00AC0345">
        <w:rPr>
          <w:i/>
        </w:rPr>
        <w:t>Information Management Strategy (IMS): action list No 5 and proposal for action list No 6 - State of play of "PCCC: European dimension" (Action No 7).</w:t>
      </w:r>
    </w:p>
  </w:footnote>
  <w:footnote w:id="48">
    <w:p w14:paraId="4EECE85F" w14:textId="67CA954D" w:rsidR="003F3C88" w:rsidRPr="00120A30" w:rsidRDefault="003F3C88" w:rsidP="005F07F0">
      <w:pPr>
        <w:pStyle w:val="FootnoteText"/>
        <w:ind w:left="142" w:hanging="142"/>
        <w:jc w:val="both"/>
      </w:pPr>
      <w:r w:rsidRPr="00120A30">
        <w:rPr>
          <w:rStyle w:val="FootnoteReference"/>
          <w:rFonts w:cs="Times New Roman"/>
        </w:rPr>
        <w:footnoteRef/>
      </w:r>
      <w:r>
        <w:t xml:space="preserve">5 </w:t>
      </w:r>
      <w:r w:rsidRPr="00120A30">
        <w:t xml:space="preserve">Schengen evaluation reports. ICMPD (2010) Study on the status of information exchange amongst LEAs in the context of existing EU instruments. Available at: </w:t>
      </w:r>
      <w:hyperlink r:id="rId6" w:history="1">
        <w:r w:rsidRPr="00120A30">
          <w:rPr>
            <w:rStyle w:val="Hyperlink"/>
            <w:rFonts w:cs="Times New Roman"/>
          </w:rPr>
          <w:t>link</w:t>
        </w:r>
      </w:hyperlink>
      <w:r w:rsidRPr="00120A30">
        <w:t>.</w:t>
      </w:r>
    </w:p>
  </w:footnote>
  <w:footnote w:id="49">
    <w:p w14:paraId="719B756D" w14:textId="77777777" w:rsidR="003F3C88" w:rsidRPr="00120A30" w:rsidRDefault="003F3C88" w:rsidP="005F07F0">
      <w:pPr>
        <w:pStyle w:val="FootnoteText"/>
        <w:ind w:left="142" w:hanging="142"/>
        <w:jc w:val="both"/>
      </w:pPr>
      <w:r w:rsidRPr="00120A30">
        <w:rPr>
          <w:rStyle w:val="FootnoteReference"/>
          <w:rFonts w:cs="Times New Roman"/>
        </w:rPr>
        <w:footnoteRef/>
      </w:r>
      <w:r w:rsidRPr="00120A30">
        <w:t xml:space="preserve"> Comparative analysis of the Schengen evaluation reports</w:t>
      </w:r>
      <w:r>
        <w:t>. See complementary information in annex 5</w:t>
      </w:r>
      <w:r w:rsidRPr="00120A30">
        <w:t>.</w:t>
      </w:r>
    </w:p>
  </w:footnote>
  <w:footnote w:id="50">
    <w:p w14:paraId="73F4CC88" w14:textId="77BC920A" w:rsidR="003F3C88" w:rsidRPr="00120A30" w:rsidRDefault="003F3C88" w:rsidP="005F07F0">
      <w:pPr>
        <w:pStyle w:val="FootnoteText"/>
        <w:ind w:left="142" w:hanging="142"/>
        <w:jc w:val="both"/>
      </w:pPr>
      <w:r w:rsidRPr="00120A30">
        <w:rPr>
          <w:rStyle w:val="FootnoteReference"/>
          <w:rFonts w:cs="Times New Roman"/>
        </w:rPr>
        <w:footnoteRef/>
      </w:r>
      <w:r w:rsidRPr="00AC0345">
        <w:rPr>
          <w:lang w:val="nl-NL"/>
        </w:rPr>
        <w:t xml:space="preserve"> </w:t>
      </w:r>
      <w:r>
        <w:rPr>
          <w:lang w:val="nl-NL"/>
        </w:rPr>
        <w:t xml:space="preserve">5 </w:t>
      </w:r>
      <w:r w:rsidRPr="00AC0345">
        <w:rPr>
          <w:lang w:val="nl-NL"/>
        </w:rPr>
        <w:t xml:space="preserve">Schengen evaluation reports. </w:t>
      </w:r>
      <w:r w:rsidRPr="00120A30">
        <w:t>Technical workshop held on 24 March</w:t>
      </w:r>
      <w:r>
        <w:t xml:space="preserve"> 2021</w:t>
      </w:r>
      <w:r w:rsidRPr="00120A30">
        <w:t>.</w:t>
      </w:r>
    </w:p>
  </w:footnote>
  <w:footnote w:id="51">
    <w:p w14:paraId="11577A04" w14:textId="1BE820C5" w:rsidR="003F3C88" w:rsidRPr="00120A30" w:rsidRDefault="003F3C88" w:rsidP="00C9288A">
      <w:pPr>
        <w:pStyle w:val="FootnoteText"/>
        <w:ind w:left="142" w:hanging="142"/>
        <w:jc w:val="both"/>
      </w:pPr>
      <w:r w:rsidRPr="00120A30">
        <w:rPr>
          <w:rStyle w:val="FootnoteReference"/>
          <w:rFonts w:cs="Times New Roman"/>
        </w:rPr>
        <w:footnoteRef/>
      </w:r>
      <w:r w:rsidRPr="00120A30">
        <w:t xml:space="preserve"> Survey: Q 41, 69% (n=99) of LEAs respondents reported that differences between countries in the capacity to regularly monitor the different communication channels (e.g. SIENA, SIS/SIRENE, EIS and I</w:t>
      </w:r>
      <w:r>
        <w:t>NTERPOL</w:t>
      </w:r>
      <w:r w:rsidRPr="00120A30">
        <w:t>) as well as in the response time to requests sent via these platforms hamper cross-border law enforcement cooperation.</w:t>
      </w:r>
    </w:p>
  </w:footnote>
  <w:footnote w:id="52">
    <w:p w14:paraId="63F0A1A0" w14:textId="08DB661D" w:rsidR="003F3C88" w:rsidRPr="00120A30" w:rsidRDefault="003F3C88" w:rsidP="00C9288A">
      <w:pPr>
        <w:pStyle w:val="FootnoteText"/>
        <w:ind w:left="142" w:hanging="142"/>
        <w:jc w:val="both"/>
      </w:pPr>
      <w:r w:rsidRPr="00120A30">
        <w:rPr>
          <w:rStyle w:val="FootnoteReference"/>
          <w:rFonts w:cs="Times New Roman"/>
        </w:rPr>
        <w:footnoteRef/>
      </w:r>
      <w:r w:rsidRPr="00120A30">
        <w:t xml:space="preserve"> </w:t>
      </w:r>
      <w:r>
        <w:t xml:space="preserve">9 </w:t>
      </w:r>
      <w:r w:rsidRPr="00120A30">
        <w:t>Schengen evaluation reports. Interviews: 11 representatives from four EU bodies. European Confederation of Police (EuroCOP) supporting Commission</w:t>
      </w:r>
      <w:r>
        <w:t>'</w:t>
      </w:r>
      <w:r w:rsidRPr="00120A30">
        <w:t>s initiative to streamline and consolidate existing instruments for cross-border police cooperation (2020). Survey: Q 29, 34% (n=38) of LEAs respondents pointed out that the lack of coordination between SPOCs and PCCCs hampers law enforcement cooperation.</w:t>
      </w:r>
    </w:p>
  </w:footnote>
  <w:footnote w:id="53">
    <w:p w14:paraId="21755D7B" w14:textId="25C18BAC" w:rsidR="003F3C88" w:rsidRPr="00120A30" w:rsidRDefault="003F3C88" w:rsidP="00C9288A">
      <w:pPr>
        <w:pStyle w:val="FootnoteText"/>
        <w:ind w:left="142" w:hanging="142"/>
        <w:jc w:val="both"/>
      </w:pPr>
      <w:r w:rsidRPr="00120A30">
        <w:rPr>
          <w:rStyle w:val="FootnoteReference"/>
          <w:rFonts w:cs="Times New Roman"/>
        </w:rPr>
        <w:footnoteRef/>
      </w:r>
      <w:r w:rsidRPr="00120A30">
        <w:t xml:space="preserve"> </w:t>
      </w:r>
      <w:r>
        <w:t xml:space="preserve">21 </w:t>
      </w:r>
      <w:r w:rsidRPr="00120A30">
        <w:t>Schengen evaluation reports. Survey: Q 44, 71% (n=101) of LEA respondents reported that access to SIENA, SIRENE, EIS, and I</w:t>
      </w:r>
      <w:r>
        <w:t>NTERPOL</w:t>
      </w:r>
      <w:r w:rsidRPr="00120A30">
        <w:t xml:space="preserve"> exchange channels and databases differs between countries to a moderate, high degree, or very high degree.</w:t>
      </w:r>
    </w:p>
  </w:footnote>
  <w:footnote w:id="54">
    <w:p w14:paraId="2E8FEFCE" w14:textId="77777777" w:rsidR="003F3C88" w:rsidRPr="00120A30" w:rsidRDefault="003F3C88" w:rsidP="00C9288A">
      <w:pPr>
        <w:pStyle w:val="FootnoteText"/>
        <w:ind w:left="142" w:hanging="142"/>
        <w:jc w:val="both"/>
      </w:pPr>
      <w:r w:rsidRPr="00120A30">
        <w:rPr>
          <w:rStyle w:val="FootnoteReference"/>
          <w:rFonts w:cs="Times New Roman"/>
        </w:rPr>
        <w:footnoteRef/>
      </w:r>
      <w:r w:rsidRPr="00120A30">
        <w:t xml:space="preserve"> Survey: Q 41, Survey: Q 41, 71% (n=101) of LEAs that responded to the online survey reported that the different tools for which the access to SIENA, SIS/SIRENE and I</w:t>
      </w:r>
      <w:r>
        <w:t>NTERPOL</w:t>
      </w:r>
      <w:r w:rsidRPr="00120A30">
        <w:t xml:space="preserve"> exchange channels and databases is regulated between countries hamper cross-border law enforcement cooperation through the platforms listed above from a moderate to a very high degree.</w:t>
      </w:r>
    </w:p>
  </w:footnote>
  <w:footnote w:id="55">
    <w:p w14:paraId="62EF8D8C" w14:textId="77777777" w:rsidR="003F3C88" w:rsidRPr="00120A30" w:rsidRDefault="003F3C88" w:rsidP="00C9288A">
      <w:pPr>
        <w:pStyle w:val="FootnoteText"/>
        <w:ind w:left="142" w:hanging="142"/>
        <w:jc w:val="both"/>
      </w:pPr>
      <w:r w:rsidRPr="00120A30">
        <w:rPr>
          <w:rStyle w:val="FootnoteReference"/>
          <w:rFonts w:cs="Times New Roman"/>
        </w:rPr>
        <w:footnoteRef/>
      </w:r>
      <w:r w:rsidRPr="00120A30">
        <w:t xml:space="preserve"> Council document 14629/17, </w:t>
      </w:r>
      <w:r w:rsidRPr="00AC0345">
        <w:rPr>
          <w:i/>
        </w:rPr>
        <w:t>State of play of the roll-out of SIENA regarding PCCCs - Outcome of questionnaire</w:t>
      </w:r>
      <w:r w:rsidRPr="00120A30">
        <w:t>.</w:t>
      </w:r>
    </w:p>
  </w:footnote>
  <w:footnote w:id="56">
    <w:p w14:paraId="1B161A4A" w14:textId="7058DD45" w:rsidR="003F3C88" w:rsidRPr="00120A30" w:rsidRDefault="003F3C88" w:rsidP="00C9288A">
      <w:pPr>
        <w:pStyle w:val="FootnoteText"/>
        <w:ind w:left="142" w:hanging="142"/>
        <w:jc w:val="both"/>
      </w:pPr>
      <w:r w:rsidRPr="00120A30">
        <w:rPr>
          <w:rStyle w:val="FootnoteReference"/>
          <w:rFonts w:cs="Times New Roman"/>
        </w:rPr>
        <w:footnoteRef/>
      </w:r>
      <w:r w:rsidRPr="00120A30">
        <w:t xml:space="preserve"> </w:t>
      </w:r>
      <w:r>
        <w:t xml:space="preserve">17 </w:t>
      </w:r>
      <w:r w:rsidRPr="00120A30">
        <w:t xml:space="preserve">Schengen evaluation reports. Interviews: 2 EU Agency representatives. </w:t>
      </w:r>
      <w:r>
        <w:t>4</w:t>
      </w:r>
      <w:r w:rsidRPr="00120A30">
        <w:t xml:space="preserve"> Member States</w:t>
      </w:r>
      <w:r>
        <w:t>'</w:t>
      </w:r>
      <w:r w:rsidRPr="00120A30">
        <w:t xml:space="preserve"> representatives at the Technical Workshop held on 24 March</w:t>
      </w:r>
      <w:r>
        <w:t xml:space="preserve"> 2021</w:t>
      </w:r>
      <w:r w:rsidRPr="00120A30">
        <w:t>.</w:t>
      </w:r>
    </w:p>
  </w:footnote>
  <w:footnote w:id="57">
    <w:p w14:paraId="39FB47F9" w14:textId="6B921F7F" w:rsidR="003F3C88" w:rsidRPr="00120A30" w:rsidRDefault="003F3C88" w:rsidP="00C9288A">
      <w:pPr>
        <w:pStyle w:val="FootnoteText"/>
        <w:ind w:left="142" w:hanging="142"/>
        <w:jc w:val="both"/>
      </w:pPr>
      <w:r w:rsidRPr="00120A30">
        <w:rPr>
          <w:rStyle w:val="FootnoteReference"/>
          <w:rFonts w:cs="Times New Roman"/>
        </w:rPr>
        <w:footnoteRef/>
      </w:r>
      <w:r w:rsidRPr="00120A30">
        <w:t xml:space="preserve"> </w:t>
      </w:r>
      <w:r>
        <w:t xml:space="preserve">24 </w:t>
      </w:r>
      <w:r w:rsidRPr="00120A30">
        <w:t xml:space="preserve">Schengen evaluation reports. </w:t>
      </w:r>
      <w:r w:rsidRPr="00120A30">
        <w:rPr>
          <w:color w:val="000000" w:themeColor="text1"/>
        </w:rPr>
        <w:t>T</w:t>
      </w:r>
      <w:r w:rsidRPr="00120A30">
        <w:t>echnical workshop held on 24 March</w:t>
      </w:r>
      <w:r>
        <w:t xml:space="preserve"> 2021</w:t>
      </w:r>
      <w:r w:rsidRPr="00120A30">
        <w:t>.</w:t>
      </w:r>
    </w:p>
  </w:footnote>
  <w:footnote w:id="58">
    <w:p w14:paraId="7804F30C" w14:textId="48F8F458" w:rsidR="003F3C88" w:rsidRPr="00C42841" w:rsidRDefault="003F3C88" w:rsidP="00C9288A">
      <w:pPr>
        <w:pStyle w:val="FootnoteText"/>
        <w:ind w:left="142" w:hanging="142"/>
        <w:jc w:val="both"/>
      </w:pPr>
      <w:r w:rsidRPr="00C42841">
        <w:rPr>
          <w:rStyle w:val="FootnoteReference"/>
          <w:rFonts w:cs="Times New Roman"/>
        </w:rPr>
        <w:footnoteRef/>
      </w:r>
      <w:r w:rsidRPr="00C42841">
        <w:t xml:space="preserve"> </w:t>
      </w:r>
      <w:r>
        <w:t xml:space="preserve">10 </w:t>
      </w:r>
      <w:r w:rsidRPr="00C42841">
        <w:t>Schengen evaluation reports.</w:t>
      </w:r>
    </w:p>
  </w:footnote>
  <w:footnote w:id="59">
    <w:p w14:paraId="70ECFA29" w14:textId="484F4C07" w:rsidR="003F3C88" w:rsidRPr="00C42841" w:rsidRDefault="003F3C88" w:rsidP="00C9288A">
      <w:pPr>
        <w:pStyle w:val="FootnoteText"/>
        <w:ind w:left="142" w:hanging="142"/>
        <w:jc w:val="both"/>
      </w:pPr>
      <w:r w:rsidRPr="00C42841">
        <w:rPr>
          <w:rStyle w:val="FootnoteReference"/>
          <w:rFonts w:cs="Times New Roman"/>
        </w:rPr>
        <w:footnoteRef/>
      </w:r>
      <w:r w:rsidRPr="00C42841">
        <w:t xml:space="preserve"> </w:t>
      </w:r>
      <w:r>
        <w:t xml:space="preserve">5 </w:t>
      </w:r>
      <w:r w:rsidRPr="00C42841">
        <w:t xml:space="preserve">Schengen evaluation reports. SWD/2020/327 final. Available at: </w:t>
      </w:r>
      <w:hyperlink r:id="rId7" w:history="1">
        <w:r w:rsidRPr="00C42841">
          <w:rPr>
            <w:rStyle w:val="Hyperlink"/>
            <w:rFonts w:cs="Times New Roman"/>
          </w:rPr>
          <w:t>link</w:t>
        </w:r>
      </w:hyperlink>
      <w:r w:rsidRPr="00C42841">
        <w:t>.</w:t>
      </w:r>
    </w:p>
  </w:footnote>
  <w:footnote w:id="60">
    <w:p w14:paraId="4E45D8D3" w14:textId="77777777" w:rsidR="003F3C88" w:rsidRPr="00C42841" w:rsidRDefault="003F3C88" w:rsidP="00C9288A">
      <w:pPr>
        <w:pStyle w:val="FootnoteText"/>
        <w:ind w:left="142" w:hanging="142"/>
        <w:jc w:val="both"/>
      </w:pPr>
      <w:r w:rsidRPr="00C42841">
        <w:rPr>
          <w:rStyle w:val="FootnoteReference"/>
          <w:rFonts w:cs="Times New Roman"/>
        </w:rPr>
        <w:footnoteRef/>
      </w:r>
      <w:r w:rsidRPr="00C42841">
        <w:t xml:space="preserve"> Council Document 14755/1/12.</w:t>
      </w:r>
    </w:p>
  </w:footnote>
  <w:footnote w:id="61">
    <w:p w14:paraId="689C0013" w14:textId="7994CEDF" w:rsidR="003F3C88" w:rsidRPr="00C42841" w:rsidDel="006454AD" w:rsidRDefault="003F3C88" w:rsidP="00C9288A">
      <w:pPr>
        <w:pStyle w:val="FootnoteText"/>
        <w:ind w:left="142" w:hanging="142"/>
        <w:jc w:val="both"/>
      </w:pPr>
      <w:r w:rsidRPr="00C42841" w:rsidDel="006454AD">
        <w:rPr>
          <w:rStyle w:val="FootnoteReference"/>
          <w:rFonts w:cs="Times New Roman"/>
        </w:rPr>
        <w:footnoteRef/>
      </w:r>
      <w:r w:rsidRPr="00C42841" w:rsidDel="006454AD">
        <w:t xml:space="preserve"> </w:t>
      </w:r>
      <w:r>
        <w:t xml:space="preserve">17 </w:t>
      </w:r>
      <w:r w:rsidRPr="00C42841" w:rsidDel="006454AD">
        <w:t>Schengen evaluation reports. Technical workshop held on 24 March</w:t>
      </w:r>
      <w:r>
        <w:t xml:space="preserve"> 2021</w:t>
      </w:r>
      <w:r w:rsidRPr="00C42841" w:rsidDel="006454AD">
        <w:t>.</w:t>
      </w:r>
      <w:r w:rsidRPr="00C42841">
        <w:t xml:space="preserve"> Commission Staff Working </w:t>
      </w:r>
      <w:r>
        <w:t>Document SWD/</w:t>
      </w:r>
      <w:r w:rsidRPr="00C42841">
        <w:t xml:space="preserve">2020/327 final. Available at: </w:t>
      </w:r>
      <w:hyperlink r:id="rId8" w:history="1">
        <w:r w:rsidRPr="00C42841">
          <w:rPr>
            <w:rStyle w:val="Hyperlink"/>
            <w:rFonts w:cs="Times New Roman"/>
          </w:rPr>
          <w:t>link</w:t>
        </w:r>
      </w:hyperlink>
      <w:r w:rsidRPr="00C42841">
        <w:t>.</w:t>
      </w:r>
    </w:p>
  </w:footnote>
  <w:footnote w:id="62">
    <w:p w14:paraId="43BBC88C" w14:textId="4BCA4853" w:rsidR="003F3C88" w:rsidRPr="007164F6" w:rsidRDefault="003F3C88" w:rsidP="00C9288A">
      <w:pPr>
        <w:pStyle w:val="FootnoteText"/>
        <w:ind w:left="142" w:hanging="142"/>
        <w:jc w:val="both"/>
        <w:rPr>
          <w:highlight w:val="yellow"/>
          <w:lang w:val="en-GB"/>
        </w:rPr>
      </w:pPr>
      <w:r w:rsidRPr="00C42841">
        <w:rPr>
          <w:rStyle w:val="FootnoteReference"/>
          <w:rFonts w:cs="Times New Roman"/>
        </w:rPr>
        <w:footnoteRef/>
      </w:r>
      <w:r w:rsidRPr="00C42841">
        <w:t xml:space="preserve"> </w:t>
      </w:r>
      <w:r w:rsidRPr="008E7889">
        <w:t>Transliteration is the process of representing words/names from one language using the alphabet or writing system of another language (multilingual name recognition).</w:t>
      </w:r>
      <w:r w:rsidRPr="00A033E3">
        <w:rPr>
          <w:color w:val="000000"/>
          <w:sz w:val="18"/>
          <w:szCs w:val="18"/>
        </w:rPr>
        <w:t xml:space="preserve"> </w:t>
      </w:r>
      <w:r w:rsidRPr="008818F3">
        <w:t xml:space="preserve">E.g. </w:t>
      </w:r>
      <w:r>
        <w:t>the letter "o" can be 'ò', 'ó', 'ô, 'õ', 'ö', 'ø' depending on the language/alphabet used</w:t>
      </w:r>
      <w:r>
        <w:rPr>
          <w:szCs w:val="18"/>
        </w:rPr>
        <w:t xml:space="preserve">. </w:t>
      </w:r>
      <w:r>
        <w:rPr>
          <w:lang w:val="en-GB"/>
        </w:rPr>
        <w:t xml:space="preserve">8 </w:t>
      </w:r>
      <w:r w:rsidRPr="00493B98">
        <w:rPr>
          <w:lang w:val="en-GB"/>
        </w:rPr>
        <w:t>Schengen evaluation reports.</w:t>
      </w:r>
    </w:p>
  </w:footnote>
  <w:footnote w:id="63">
    <w:p w14:paraId="16096F10" w14:textId="2E3231D8" w:rsidR="003F3C88" w:rsidRPr="00D7651F" w:rsidRDefault="003F3C88" w:rsidP="00C9288A">
      <w:pPr>
        <w:pStyle w:val="FootnoteText"/>
        <w:ind w:left="142" w:hanging="142"/>
        <w:jc w:val="both"/>
        <w:rPr>
          <w:lang w:val="en-GB"/>
        </w:rPr>
      </w:pPr>
      <w:r w:rsidRPr="0017220E">
        <w:rPr>
          <w:rStyle w:val="FootnoteReference"/>
          <w:rFonts w:cs="Times New Roman"/>
        </w:rPr>
        <w:footnoteRef/>
      </w:r>
      <w:r>
        <w:t xml:space="preserve"> </w:t>
      </w:r>
      <w:r w:rsidRPr="0017220E">
        <w:t xml:space="preserve">A fuzzy database is a database which is able to deal with uncertain or incomplete information using fuzzy logic. i.e. </w:t>
      </w:r>
      <w:r w:rsidRPr="0017220E">
        <w:rPr>
          <w:szCs w:val="18"/>
        </w:rPr>
        <w:t>the ability to find matches even when a person' name is misspelled</w:t>
      </w:r>
      <w:r w:rsidRPr="0017220E">
        <w:t>.</w:t>
      </w:r>
      <w:r w:rsidRPr="00C42841">
        <w:t xml:space="preserve"> </w:t>
      </w:r>
      <w:r>
        <w:t xml:space="preserve">10 </w:t>
      </w:r>
      <w:r w:rsidRPr="00AC0345">
        <w:rPr>
          <w:lang w:val="en-GB"/>
        </w:rPr>
        <w:t xml:space="preserve">Schengen </w:t>
      </w:r>
      <w:r w:rsidRPr="00D7651F">
        <w:rPr>
          <w:lang w:val="en-GB"/>
        </w:rPr>
        <w:t>evaluation reports.</w:t>
      </w:r>
    </w:p>
  </w:footnote>
  <w:footnote w:id="64">
    <w:p w14:paraId="46D55451" w14:textId="3AE2870E" w:rsidR="003F3C88" w:rsidRPr="00120A30" w:rsidRDefault="003F3C88" w:rsidP="00C9288A">
      <w:pPr>
        <w:pStyle w:val="FootnoteText"/>
        <w:ind w:left="142" w:hanging="142"/>
        <w:jc w:val="both"/>
      </w:pPr>
      <w:r w:rsidRPr="00120A30">
        <w:rPr>
          <w:rStyle w:val="FootnoteReference"/>
          <w:rFonts w:cs="Times New Roman"/>
        </w:rPr>
        <w:footnoteRef/>
      </w:r>
      <w:r w:rsidRPr="00120A30">
        <w:rPr>
          <w:lang w:val="de-DE"/>
        </w:rPr>
        <w:t xml:space="preserve"> </w:t>
      </w:r>
      <w:r>
        <w:rPr>
          <w:lang w:val="de-DE"/>
        </w:rPr>
        <w:t xml:space="preserve">9 </w:t>
      </w:r>
      <w:r w:rsidRPr="00120A30">
        <w:rPr>
          <w:lang w:val="de-DE"/>
        </w:rPr>
        <w:t xml:space="preserve">Schengen evaluation reports. </w:t>
      </w:r>
      <w:r w:rsidRPr="00120A30">
        <w:t>Survey: Q 59, 58% (n=67) of LEAs respondents confirmed that the lack of knowledge and training among law enforcement practitioners about how to apply for or implement investigative tools act as barrier for effective cross-border cooperation.</w:t>
      </w:r>
    </w:p>
  </w:footnote>
  <w:footnote w:id="65">
    <w:p w14:paraId="01107E33" w14:textId="77777777" w:rsidR="003F3C88" w:rsidRPr="00120A30" w:rsidRDefault="003F3C88" w:rsidP="00EC039A">
      <w:pPr>
        <w:pStyle w:val="FootnoteText"/>
        <w:ind w:left="142" w:hanging="142"/>
        <w:jc w:val="both"/>
      </w:pPr>
      <w:r w:rsidRPr="00120A30">
        <w:rPr>
          <w:rStyle w:val="FootnoteReference"/>
          <w:rFonts w:cs="Times New Roman"/>
        </w:rPr>
        <w:footnoteRef/>
      </w:r>
      <w:r w:rsidRPr="00120A30">
        <w:t xml:space="preserve"> COM/2020/779 final. Available at: </w:t>
      </w:r>
      <w:hyperlink r:id="rId9" w:history="1">
        <w:r w:rsidRPr="00120A30">
          <w:rPr>
            <w:rStyle w:val="Hyperlink"/>
            <w:rFonts w:cs="Times New Roman"/>
          </w:rPr>
          <w:t>link</w:t>
        </w:r>
      </w:hyperlink>
      <w:r w:rsidRPr="00120A30">
        <w:t>.</w:t>
      </w:r>
    </w:p>
  </w:footnote>
  <w:footnote w:id="66">
    <w:p w14:paraId="70C61BAD" w14:textId="5D0E7A40" w:rsidR="003F3C88" w:rsidRPr="00380EEA" w:rsidRDefault="003F3C88" w:rsidP="00EC039A">
      <w:pPr>
        <w:pStyle w:val="FootnoteText"/>
        <w:ind w:left="142" w:hanging="142"/>
        <w:jc w:val="both"/>
      </w:pPr>
      <w:r w:rsidRPr="00120A30">
        <w:rPr>
          <w:rStyle w:val="FootnoteReference"/>
          <w:rFonts w:cs="Times New Roman"/>
        </w:rPr>
        <w:footnoteRef/>
      </w:r>
      <w:r w:rsidRPr="00380EEA">
        <w:t xml:space="preserve"> 8 Schengen evaluation reports.</w:t>
      </w:r>
    </w:p>
  </w:footnote>
  <w:footnote w:id="67">
    <w:p w14:paraId="7B20C20B" w14:textId="6E4D2FF2" w:rsidR="003F3C88" w:rsidRPr="00DE4F9E" w:rsidRDefault="003F3C88" w:rsidP="00EC039A">
      <w:pPr>
        <w:pStyle w:val="FootnoteText"/>
        <w:ind w:left="142" w:hanging="142"/>
        <w:jc w:val="both"/>
      </w:pPr>
      <w:r w:rsidRPr="00120A30">
        <w:rPr>
          <w:rStyle w:val="FootnoteReference"/>
          <w:rFonts w:cs="Times New Roman"/>
        </w:rPr>
        <w:footnoteRef/>
      </w:r>
      <w:r w:rsidRPr="00120A30">
        <w:t xml:space="preserve"> </w:t>
      </w:r>
      <w:r>
        <w:t xml:space="preserve">12 </w:t>
      </w:r>
      <w:r w:rsidRPr="00120A30">
        <w:t>Schengen evaluation reports. Survey: Q 34, 35 LEAs</w:t>
      </w:r>
      <w:r>
        <w:t>'</w:t>
      </w:r>
      <w:r w:rsidRPr="00120A30">
        <w:t xml:space="preserve"> representatives reported that language barriers are among the main issues they face when sharing information.</w:t>
      </w:r>
    </w:p>
  </w:footnote>
  <w:footnote w:id="68">
    <w:p w14:paraId="32C111AA" w14:textId="77777777" w:rsidR="003F3C88" w:rsidRPr="00B5284F" w:rsidRDefault="003F3C88" w:rsidP="00EC039A">
      <w:pPr>
        <w:pStyle w:val="FootnoteText"/>
        <w:ind w:left="142" w:hanging="142"/>
        <w:jc w:val="both"/>
      </w:pPr>
      <w:r w:rsidRPr="00B5284F">
        <w:rPr>
          <w:rStyle w:val="FootnoteReference"/>
          <w:rFonts w:cs="Times New Roman"/>
        </w:rPr>
        <w:footnoteRef/>
      </w:r>
      <w:r>
        <w:t xml:space="preserve"> </w:t>
      </w:r>
      <w:r w:rsidRPr="00B5284F">
        <w:t xml:space="preserve">Some IT features </w:t>
      </w:r>
      <w:r>
        <w:t xml:space="preserve">allow for </w:t>
      </w:r>
      <w:r w:rsidRPr="00B5284F">
        <w:t xml:space="preserve">an automatic </w:t>
      </w:r>
      <w:r>
        <w:t xml:space="preserve">"rough" </w:t>
      </w:r>
      <w:r w:rsidRPr="00B5284F">
        <w:t xml:space="preserve">translation service. </w:t>
      </w:r>
    </w:p>
  </w:footnote>
  <w:footnote w:id="69">
    <w:p w14:paraId="33CF6F5D" w14:textId="4D448C63" w:rsidR="003F3C88" w:rsidRPr="00120A30" w:rsidRDefault="003F3C88" w:rsidP="00EC039A">
      <w:pPr>
        <w:pStyle w:val="FootnoteText"/>
        <w:ind w:left="142" w:hanging="142"/>
        <w:jc w:val="both"/>
      </w:pPr>
      <w:r w:rsidRPr="00120A30">
        <w:rPr>
          <w:rStyle w:val="FootnoteReference"/>
          <w:rFonts w:cs="Times New Roman"/>
        </w:rPr>
        <w:footnoteRef/>
      </w:r>
      <w:r w:rsidRPr="00120A30">
        <w:t xml:space="preserve"> </w:t>
      </w:r>
      <w:r>
        <w:t xml:space="preserve">1 </w:t>
      </w:r>
      <w:r w:rsidRPr="00120A30">
        <w:t xml:space="preserve">Schengen evaluation report. technical workshop held on 24 </w:t>
      </w:r>
      <w:r>
        <w:t xml:space="preserve">March 2021. </w:t>
      </w:r>
      <w:r w:rsidRPr="00120A30">
        <w:t>Q 41, 87% (n=57) of LEAs</w:t>
      </w:r>
      <w:r>
        <w:t>'</w:t>
      </w:r>
      <w:r w:rsidRPr="00120A30">
        <w:t xml:space="preserve"> respondents reported that the high number of communication channels for EU information exchange overburdens the officials involved in cross-border cooperation. </w:t>
      </w:r>
    </w:p>
  </w:footnote>
  <w:footnote w:id="70">
    <w:p w14:paraId="37F01D00" w14:textId="77777777" w:rsidR="003F3C88" w:rsidRPr="00AC0345" w:rsidRDefault="003F3C88" w:rsidP="00EC039A">
      <w:pPr>
        <w:pStyle w:val="FootnoteText"/>
        <w:ind w:left="142" w:hanging="142"/>
        <w:jc w:val="both"/>
        <w:rPr>
          <w:lang w:val="en-GB"/>
        </w:rPr>
      </w:pPr>
      <w:r w:rsidRPr="00C5236E">
        <w:rPr>
          <w:rStyle w:val="FootnoteReference"/>
          <w:rFonts w:cs="Times New Roman"/>
        </w:rPr>
        <w:footnoteRef/>
      </w:r>
      <w:r w:rsidRPr="00C5236E">
        <w:rPr>
          <w:rFonts w:cs="Times New Roman"/>
        </w:rPr>
        <w:t xml:space="preserve"> Secure Information Exchange Network Application</w:t>
      </w:r>
      <w:r>
        <w:rPr>
          <w:rFonts w:cs="Times New Roman"/>
        </w:rPr>
        <w:t>.</w:t>
      </w:r>
      <w:r w:rsidRPr="00AC0345">
        <w:rPr>
          <w:rFonts w:cs="Times New Roman"/>
        </w:rPr>
        <w:t xml:space="preserve"> </w:t>
      </w:r>
      <w:r w:rsidRPr="002B6345">
        <w:rPr>
          <w:rFonts w:cs="Times New Roman"/>
        </w:rPr>
        <w:t>SIENA is Europol's secure communication system, Europol</w:t>
      </w:r>
      <w:r>
        <w:rPr>
          <w:rFonts w:cs="Times New Roman"/>
        </w:rPr>
        <w:t xml:space="preserve"> and its cooperation partners</w:t>
      </w:r>
      <w:r w:rsidRPr="002B6345">
        <w:rPr>
          <w:rFonts w:cs="Times New Roman"/>
        </w:rPr>
        <w:t xml:space="preserve"> exchange operational and strategic crime-related information and intelligence, including operational data on persons</w:t>
      </w:r>
      <w:r>
        <w:rPr>
          <w:rFonts w:cs="Times New Roman"/>
        </w:rPr>
        <w:t xml:space="preserve">. </w:t>
      </w:r>
      <w:r w:rsidRPr="00AC0345">
        <w:rPr>
          <w:rFonts w:cs="Times New Roman"/>
        </w:rPr>
        <w:t>SIENA is a messaging system offering different message types for different purposes, including data exchange in accordance with the Swedish Framework Decision.</w:t>
      </w:r>
    </w:p>
  </w:footnote>
  <w:footnote w:id="71">
    <w:p w14:paraId="6FD7049B" w14:textId="77777777" w:rsidR="003F3C88" w:rsidRPr="00D90BC1" w:rsidRDefault="003F3C88" w:rsidP="00A21EA2">
      <w:pPr>
        <w:pStyle w:val="FootnoteText"/>
        <w:ind w:left="142" w:hanging="142"/>
        <w:jc w:val="both"/>
      </w:pPr>
      <w:r w:rsidRPr="00D90BC1">
        <w:rPr>
          <w:rStyle w:val="FootnoteReference"/>
          <w:rFonts w:cs="Times New Roman"/>
        </w:rPr>
        <w:footnoteRef/>
      </w:r>
      <w:r>
        <w:t xml:space="preserve"> 2</w:t>
      </w:r>
      <w:r w:rsidRPr="006F5F8A">
        <w:t xml:space="preserve"> Member States</w:t>
      </w:r>
      <w:r>
        <w:t>'</w:t>
      </w:r>
      <w:r w:rsidRPr="006F5F8A">
        <w:t xml:space="preserve"> representatives at the Technical workshop held on 24 March</w:t>
      </w:r>
      <w:r>
        <w:t xml:space="preserve"> 2021</w:t>
      </w:r>
      <w:r w:rsidRPr="006F5F8A">
        <w:t>. Interviews: 1 EMPACT Driver</w:t>
      </w:r>
      <w:r>
        <w:t>.</w:t>
      </w:r>
      <w:r w:rsidRPr="00D90BC1">
        <w:rPr>
          <w:szCs w:val="24"/>
        </w:rPr>
        <w:t xml:space="preserve"> Moreover, the information received often includes details and data, which are not necessary to address </w:t>
      </w:r>
      <w:r w:rsidRPr="00D90BC1">
        <w:t>the specific request. This results in unnecessary time to process all answers to the same request. Moreover, participants in the workshop confirmed that the information is not always exchanged using the appropriate channels and tools (e.g. a request from one Schengen country to another to locate a person is sent via I-24/7 and not through the SIRENE).</w:t>
      </w:r>
    </w:p>
  </w:footnote>
  <w:footnote w:id="72">
    <w:p w14:paraId="4D7F6504" w14:textId="77777777" w:rsidR="003F3C88" w:rsidRPr="004D744F" w:rsidRDefault="003F3C88" w:rsidP="008D16B5">
      <w:pPr>
        <w:pStyle w:val="FootnoteText"/>
        <w:ind w:left="142" w:hanging="142"/>
      </w:pPr>
      <w:r w:rsidRPr="004D744F">
        <w:rPr>
          <w:rStyle w:val="FootnoteReference"/>
          <w:rFonts w:cs="Times New Roman"/>
        </w:rPr>
        <w:footnoteRef/>
      </w:r>
      <w:r>
        <w:t xml:space="preserve"> </w:t>
      </w:r>
      <w:r w:rsidRPr="004D744F">
        <w:rPr>
          <w:lang w:eastAsia="en-GB"/>
        </w:rPr>
        <w:t xml:space="preserve">In some Member States, investigators can use SIENA directly, </w:t>
      </w:r>
      <w:r w:rsidRPr="004D744F">
        <w:t xml:space="preserve">shortening the </w:t>
      </w:r>
      <w:r>
        <w:t xml:space="preserve">information exchange </w:t>
      </w:r>
      <w:r w:rsidRPr="004D744F">
        <w:t>process</w:t>
      </w:r>
      <w:r w:rsidRPr="004D744F">
        <w:rPr>
          <w:lang w:eastAsia="en-GB"/>
        </w:rPr>
        <w:t>.</w:t>
      </w:r>
    </w:p>
  </w:footnote>
  <w:footnote w:id="73">
    <w:p w14:paraId="2B532C89" w14:textId="77777777" w:rsidR="003F3C88" w:rsidRPr="006F5F8A" w:rsidRDefault="003F3C88" w:rsidP="008D16B5">
      <w:pPr>
        <w:pStyle w:val="FootnoteText"/>
        <w:ind w:left="142" w:hanging="142"/>
      </w:pPr>
      <w:r w:rsidRPr="006F5F8A">
        <w:rPr>
          <w:rStyle w:val="FootnoteReference"/>
          <w:rFonts w:cs="Times New Roman"/>
        </w:rPr>
        <w:footnoteRef/>
      </w:r>
      <w:r w:rsidRPr="006F5F8A">
        <w:t xml:space="preserve"> EY, RAND (2020) Evaluation Study on the EU Policy Cycle/EMPACT 2018-2021. (Unpublished).</w:t>
      </w:r>
    </w:p>
  </w:footnote>
  <w:footnote w:id="74">
    <w:p w14:paraId="30E054B1" w14:textId="77777777" w:rsidR="003F3C88" w:rsidRPr="006F5F8A" w:rsidRDefault="003F3C88" w:rsidP="008D16B5">
      <w:pPr>
        <w:pStyle w:val="FootnoteText"/>
        <w:ind w:left="142" w:hanging="142"/>
      </w:pPr>
      <w:r w:rsidRPr="006F5F8A">
        <w:rPr>
          <w:rStyle w:val="FootnoteReference"/>
          <w:rFonts w:cs="Times New Roman"/>
        </w:rPr>
        <w:footnoteRef/>
      </w:r>
      <w:r w:rsidRPr="006F5F8A">
        <w:t xml:space="preserve"> Survey for the Evaluation study on the EU Policy Cycle 2018-2021: </w:t>
      </w:r>
      <w:r>
        <w:t>5</w:t>
      </w:r>
      <w:r w:rsidRPr="006F5F8A">
        <w:t xml:space="preserve"> EMPACT Drivers and </w:t>
      </w:r>
      <w:r>
        <w:t>11</w:t>
      </w:r>
      <w:r w:rsidRPr="006F5F8A">
        <w:t xml:space="preserve"> Action Participants.</w:t>
      </w:r>
    </w:p>
  </w:footnote>
  <w:footnote w:id="75">
    <w:p w14:paraId="291DEABC" w14:textId="77777777" w:rsidR="003F3C88" w:rsidRPr="00711544" w:rsidRDefault="003F3C88" w:rsidP="008D16B5">
      <w:pPr>
        <w:pStyle w:val="FootnoteText"/>
        <w:ind w:left="142" w:hanging="142"/>
      </w:pPr>
      <w:r w:rsidRPr="00711544">
        <w:rPr>
          <w:rStyle w:val="FootnoteReference"/>
          <w:rFonts w:cs="Times New Roman"/>
        </w:rPr>
        <w:footnoteRef/>
      </w:r>
      <w:r w:rsidRPr="00711544">
        <w:t xml:space="preserve"> Provided all channels are available to a SPOC and the SPOC is able and ready to use all channels appropriately.</w:t>
      </w:r>
    </w:p>
  </w:footnote>
  <w:footnote w:id="76">
    <w:p w14:paraId="7BC2FF5E" w14:textId="77777777" w:rsidR="003F3C88" w:rsidRPr="00E87344" w:rsidRDefault="003F3C88" w:rsidP="008D16B5">
      <w:pPr>
        <w:pStyle w:val="FootnoteText"/>
        <w:ind w:left="142" w:hanging="142"/>
      </w:pPr>
      <w:r w:rsidRPr="00E87344">
        <w:rPr>
          <w:rStyle w:val="FootnoteReference"/>
          <w:rFonts w:cs="Times New Roman"/>
        </w:rPr>
        <w:footnoteRef/>
      </w:r>
      <w:r>
        <w:t xml:space="preserve"> </w:t>
      </w:r>
      <w:r w:rsidRPr="00E87344">
        <w:t>Council</w:t>
      </w:r>
      <w:r>
        <w:t xml:space="preserve"> document</w:t>
      </w:r>
      <w:r w:rsidRPr="00E87344">
        <w:t xml:space="preserve"> 5825/20, 2.12.2020, </w:t>
      </w:r>
      <w:r w:rsidRPr="00AC0345">
        <w:rPr>
          <w:i/>
        </w:rPr>
        <w:t>Manual on Law Enforcement Information Exchange</w:t>
      </w:r>
      <w:r w:rsidRPr="00E87344">
        <w:t>.</w:t>
      </w:r>
    </w:p>
  </w:footnote>
  <w:footnote w:id="77">
    <w:p w14:paraId="4F5A0411" w14:textId="77777777" w:rsidR="003F3C88" w:rsidRPr="00476FB3" w:rsidRDefault="003F3C88" w:rsidP="00A21EA2">
      <w:pPr>
        <w:pStyle w:val="FootnoteText"/>
        <w:ind w:left="142" w:hanging="142"/>
        <w:jc w:val="both"/>
      </w:pPr>
      <w:r w:rsidRPr="00476FB3">
        <w:rPr>
          <w:rStyle w:val="FootnoteReference"/>
          <w:rFonts w:cs="Times New Roman"/>
        </w:rPr>
        <w:footnoteRef/>
      </w:r>
      <w:r w:rsidRPr="00476FB3">
        <w:t xml:space="preserve"> SIS requests for post-hit supplementary information must be </w:t>
      </w:r>
      <w:r>
        <w:t xml:space="preserve">done </w:t>
      </w:r>
      <w:r w:rsidRPr="00476FB3">
        <w:t>via SIRENE Bureaux.</w:t>
      </w:r>
    </w:p>
  </w:footnote>
  <w:footnote w:id="78">
    <w:p w14:paraId="1A64E633" w14:textId="77777777" w:rsidR="003F3C88" w:rsidRPr="00711544" w:rsidRDefault="003F3C88" w:rsidP="00A21EA2">
      <w:pPr>
        <w:pStyle w:val="FootnoteText"/>
        <w:ind w:left="142" w:hanging="142"/>
        <w:jc w:val="both"/>
      </w:pPr>
      <w:r w:rsidRPr="00476FB3">
        <w:rPr>
          <w:rStyle w:val="FootnoteReference"/>
          <w:rFonts w:cs="Times New Roman"/>
        </w:rPr>
        <w:footnoteRef/>
      </w:r>
      <w:r w:rsidRPr="00476FB3">
        <w:t xml:space="preserve"> Europol National Unit.</w:t>
      </w:r>
      <w:r>
        <w:t xml:space="preserve"> I</w:t>
      </w:r>
      <w:r w:rsidRPr="00476FB3">
        <w:t>nformation exchange with Europol must be done via ENUs.</w:t>
      </w:r>
    </w:p>
  </w:footnote>
  <w:footnote w:id="79">
    <w:p w14:paraId="293D37F4" w14:textId="65264E41" w:rsidR="003F3C88" w:rsidRPr="00546D2D" w:rsidRDefault="003F3C88" w:rsidP="00EC039A">
      <w:pPr>
        <w:pStyle w:val="FootnoteText"/>
        <w:ind w:left="142" w:hanging="142"/>
        <w:jc w:val="both"/>
      </w:pPr>
      <w:r w:rsidRPr="00FD2F1F">
        <w:rPr>
          <w:rStyle w:val="FootnoteReference"/>
        </w:rPr>
        <w:footnoteRef/>
      </w:r>
      <w:r w:rsidRPr="00FD2F1F">
        <w:t xml:space="preserve"> Comparative analysis of the Schengen Evaluation Reports. </w:t>
      </w:r>
      <w:r>
        <w:t xml:space="preserve">Survey: Q 40, </w:t>
      </w:r>
      <w:r w:rsidRPr="00FD2F1F">
        <w:t xml:space="preserve">LEAs </w:t>
      </w:r>
      <w:r>
        <w:t>respondents</w:t>
      </w:r>
      <w:r w:rsidRPr="00FD2F1F">
        <w:t xml:space="preserve"> agreed that although SIENA is the most frequently used tool (77%, n=128), all used I</w:t>
      </w:r>
      <w:r>
        <w:t>NTERPOL I24/7</w:t>
      </w:r>
      <w:r w:rsidRPr="00FD2F1F">
        <w:t xml:space="preserve"> to a high o</w:t>
      </w:r>
      <w:r>
        <w:t>r</w:t>
      </w:r>
      <w:r w:rsidRPr="00FD2F1F">
        <w:t xml:space="preserve"> very high extent (I</w:t>
      </w:r>
      <w:r>
        <w:t>NTERPOL</w:t>
      </w:r>
      <w:r w:rsidRPr="00FD2F1F">
        <w:t xml:space="preserve">: 52%, n=87). </w:t>
      </w:r>
    </w:p>
  </w:footnote>
  <w:footnote w:id="80">
    <w:p w14:paraId="70C92717" w14:textId="77777777" w:rsidR="003F3C88" w:rsidRPr="00120A30" w:rsidRDefault="003F3C88" w:rsidP="00EC039A">
      <w:pPr>
        <w:pStyle w:val="FootnoteText"/>
        <w:ind w:left="142" w:hanging="142"/>
        <w:jc w:val="both"/>
      </w:pPr>
      <w:r w:rsidRPr="00120A30">
        <w:rPr>
          <w:rStyle w:val="FootnoteReference"/>
          <w:rFonts w:cs="Times New Roman"/>
        </w:rPr>
        <w:footnoteRef/>
      </w:r>
      <w:r w:rsidRPr="00120A30">
        <w:t xml:space="preserve"> Comparative analysis of the Schengen Evaluation Reports.</w:t>
      </w:r>
    </w:p>
  </w:footnote>
  <w:footnote w:id="81">
    <w:p w14:paraId="6FED8BCC" w14:textId="73959D55" w:rsidR="003F3C88" w:rsidRPr="00896103" w:rsidRDefault="003F3C88" w:rsidP="00EC039A">
      <w:pPr>
        <w:pStyle w:val="FootnoteText"/>
        <w:ind w:left="142" w:hanging="142"/>
        <w:jc w:val="both"/>
      </w:pPr>
      <w:r w:rsidRPr="00896103">
        <w:rPr>
          <w:rStyle w:val="FootnoteReference"/>
          <w:rFonts w:cs="Times New Roman"/>
        </w:rPr>
        <w:footnoteRef/>
      </w:r>
      <w:r>
        <w:t xml:space="preserve"> </w:t>
      </w:r>
      <w:r w:rsidRPr="00896103">
        <w:t xml:space="preserve">Survey: Q 2 SPOC's representatives, 1 PCCC representative. </w:t>
      </w:r>
      <w:r>
        <w:t xml:space="preserve">1 </w:t>
      </w:r>
      <w:r w:rsidRPr="00896103">
        <w:t>Schengen evaluation report.</w:t>
      </w:r>
    </w:p>
  </w:footnote>
  <w:footnote w:id="82">
    <w:p w14:paraId="174484A2" w14:textId="77777777" w:rsidR="003F3C88" w:rsidRPr="006F5F8A" w:rsidRDefault="003F3C88" w:rsidP="00472211">
      <w:pPr>
        <w:pStyle w:val="FootnoteText"/>
        <w:ind w:left="142" w:hanging="142"/>
        <w:jc w:val="both"/>
      </w:pPr>
      <w:r w:rsidRPr="006F5F8A">
        <w:rPr>
          <w:rStyle w:val="FootnoteReference"/>
          <w:rFonts w:cs="Times New Roman"/>
        </w:rPr>
        <w:footnoteRef/>
      </w:r>
      <w:r w:rsidRPr="006F5F8A">
        <w:t xml:space="preserve"> Council document 14629/17, </w:t>
      </w:r>
      <w:r w:rsidRPr="00AC0345">
        <w:rPr>
          <w:i/>
        </w:rPr>
        <w:t>State of play of the roll-out of SIENA regarding PCCCs</w:t>
      </w:r>
      <w:r w:rsidRPr="006F5F8A">
        <w:t>.</w:t>
      </w:r>
    </w:p>
  </w:footnote>
  <w:footnote w:id="83">
    <w:p w14:paraId="3AA0ED94" w14:textId="77777777" w:rsidR="003F3C88" w:rsidRPr="006B7FAF" w:rsidRDefault="003F3C88" w:rsidP="00472211">
      <w:pPr>
        <w:pStyle w:val="FootnoteText"/>
        <w:ind w:left="142" w:hanging="142"/>
        <w:jc w:val="both"/>
      </w:pPr>
      <w:r w:rsidRPr="006B7FAF">
        <w:rPr>
          <w:rStyle w:val="FootnoteReference"/>
          <w:rFonts w:cs="Times New Roman"/>
        </w:rPr>
        <w:footnoteRef/>
      </w:r>
      <w:r>
        <w:t xml:space="preserve"> </w:t>
      </w:r>
      <w:r w:rsidRPr="006B7FAF">
        <w:t>Article 67(1) TFEU.</w:t>
      </w:r>
    </w:p>
  </w:footnote>
  <w:footnote w:id="84">
    <w:p w14:paraId="4AC71F7B" w14:textId="77777777" w:rsidR="003F3C88" w:rsidRPr="009F67CD" w:rsidRDefault="003F3C88" w:rsidP="00472211">
      <w:pPr>
        <w:pStyle w:val="FootnoteText"/>
        <w:ind w:left="142" w:hanging="142"/>
        <w:jc w:val="both"/>
        <w:rPr>
          <w:lang w:val="de-DE"/>
        </w:rPr>
      </w:pPr>
      <w:r w:rsidRPr="009F67CD">
        <w:rPr>
          <w:rStyle w:val="FootnoteReference"/>
          <w:rFonts w:cs="Times New Roman"/>
        </w:rPr>
        <w:footnoteRef/>
      </w:r>
      <w:r w:rsidRPr="009F67CD">
        <w:t xml:space="preserve"> </w:t>
      </w:r>
      <w:r w:rsidRPr="009F67CD">
        <w:rPr>
          <w:lang w:val="de-DE"/>
        </w:rPr>
        <w:t xml:space="preserve">This will also require that the </w:t>
      </w:r>
      <w:r>
        <w:rPr>
          <w:lang w:val="de-DE"/>
        </w:rPr>
        <w:t>PCCCs</w:t>
      </w:r>
      <w:r w:rsidRPr="009F67CD">
        <w:rPr>
          <w:lang w:val="de-DE"/>
        </w:rPr>
        <w:t xml:space="preserve"> have the ne</w:t>
      </w:r>
      <w:r>
        <w:rPr>
          <w:lang w:val="de-DE"/>
        </w:rPr>
        <w:t>c</w:t>
      </w:r>
      <w:r w:rsidRPr="009F67CD">
        <w:rPr>
          <w:lang w:val="de-DE"/>
        </w:rPr>
        <w:t>es</w:t>
      </w:r>
      <w:r>
        <w:rPr>
          <w:lang w:val="de-DE"/>
        </w:rPr>
        <w:t>s</w:t>
      </w:r>
      <w:r w:rsidRPr="009F67CD">
        <w:rPr>
          <w:lang w:val="de-DE"/>
        </w:rPr>
        <w:t>ary structures, staffing and IT systems.</w:t>
      </w:r>
    </w:p>
  </w:footnote>
  <w:footnote w:id="85">
    <w:p w14:paraId="5DD43568" w14:textId="77777777" w:rsidR="003F3C88" w:rsidRDefault="003F3C88" w:rsidP="00705DDB">
      <w:pPr>
        <w:pStyle w:val="FootnoteText"/>
        <w:ind w:left="142" w:hanging="142"/>
        <w:jc w:val="both"/>
      </w:pPr>
      <w:r w:rsidRPr="00EF4A77">
        <w:rPr>
          <w:rStyle w:val="FootnoteReference"/>
          <w:rFonts w:cs="Times New Roman"/>
        </w:rPr>
        <w:footnoteRef/>
      </w:r>
      <w:r>
        <w:t xml:space="preserve"> </w:t>
      </w:r>
      <w:r w:rsidRPr="00EF4A77">
        <w:t>Directive (EU) 2016/680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w:t>
      </w:r>
    </w:p>
  </w:footnote>
  <w:footnote w:id="86">
    <w:p w14:paraId="540F8DEB" w14:textId="77777777" w:rsidR="003F3C88" w:rsidRPr="00883333" w:rsidRDefault="003F3C88" w:rsidP="00472211">
      <w:pPr>
        <w:pStyle w:val="FootnoteText"/>
        <w:ind w:left="142" w:hanging="142"/>
        <w:jc w:val="both"/>
      </w:pPr>
      <w:r w:rsidRPr="00883333">
        <w:rPr>
          <w:rStyle w:val="FootnoteReference"/>
          <w:rFonts w:cs="Times New Roman"/>
        </w:rPr>
        <w:footnoteRef/>
      </w:r>
      <w:r>
        <w:t xml:space="preserve"> See Europol'</w:t>
      </w:r>
      <w:r w:rsidRPr="00883333">
        <w:t xml:space="preserve">s </w:t>
      </w:r>
      <w:r>
        <w:t>plan</w:t>
      </w:r>
      <w:r w:rsidRPr="00883333">
        <w:t xml:space="preserve"> concerning the extension of </w:t>
      </w:r>
      <w:r>
        <w:t>SIENA access</w:t>
      </w:r>
      <w:r w:rsidRPr="00883333">
        <w:t xml:space="preserve">: </w:t>
      </w:r>
      <w:hyperlink r:id="rId10" w:history="1">
        <w:r w:rsidRPr="00883333">
          <w:rPr>
            <w:rStyle w:val="Hyperlink"/>
            <w:rFonts w:cs="Times New Roman"/>
          </w:rPr>
          <w:t>https://www.europol.europa.eu/activities-services/services-support/information-exchange/secure-information-exchange-network-application-siena</w:t>
        </w:r>
      </w:hyperlink>
      <w:r w:rsidRPr="00883333">
        <w:t xml:space="preserve"> </w:t>
      </w:r>
    </w:p>
  </w:footnote>
  <w:footnote w:id="87">
    <w:p w14:paraId="73C46136" w14:textId="77777777" w:rsidR="003F3C88" w:rsidRPr="00F91583" w:rsidRDefault="003F3C88" w:rsidP="00472211">
      <w:pPr>
        <w:pStyle w:val="FootnoteText"/>
        <w:ind w:left="142" w:hanging="142"/>
        <w:jc w:val="both"/>
      </w:pPr>
      <w:r w:rsidRPr="00F91583">
        <w:rPr>
          <w:rStyle w:val="FootnoteReference"/>
          <w:rFonts w:cs="Times New Roman"/>
        </w:rPr>
        <w:footnoteRef/>
      </w:r>
      <w:r w:rsidRPr="00F91583">
        <w:t xml:space="preserve"> i.e.</w:t>
      </w:r>
      <w:r>
        <w:t>,</w:t>
      </w:r>
      <w:r w:rsidRPr="00F91583">
        <w:t xml:space="preserve"> </w:t>
      </w:r>
      <w:r w:rsidRPr="00F91583">
        <w:rPr>
          <w:szCs w:val="24"/>
        </w:rPr>
        <w:t>the explicit coverage of the prevention</w:t>
      </w:r>
      <w:r w:rsidRPr="00F91583">
        <w:rPr>
          <w:sz w:val="18"/>
          <w:szCs w:val="24"/>
        </w:rPr>
        <w:t xml:space="preserve"> </w:t>
      </w:r>
      <w:r w:rsidRPr="00F91583">
        <w:rPr>
          <w:szCs w:val="24"/>
        </w:rPr>
        <w:t>and detection of criminal offences (as in CISA).</w:t>
      </w:r>
    </w:p>
  </w:footnote>
  <w:footnote w:id="88">
    <w:p w14:paraId="4FD24396" w14:textId="77777777" w:rsidR="003F3C88" w:rsidRPr="002C4AF6" w:rsidRDefault="003F3C88" w:rsidP="00472211">
      <w:pPr>
        <w:pStyle w:val="FootnoteText"/>
        <w:ind w:left="142" w:hanging="142"/>
        <w:jc w:val="both"/>
      </w:pPr>
      <w:r w:rsidRPr="002C4AF6">
        <w:rPr>
          <w:rStyle w:val="FootnoteReference"/>
          <w:rFonts w:cs="Times New Roman"/>
        </w:rPr>
        <w:footnoteRef/>
      </w:r>
      <w:r>
        <w:t xml:space="preserve"> </w:t>
      </w:r>
      <w:r w:rsidRPr="002C4AF6">
        <w:rPr>
          <w:shd w:val="clear" w:color="auto" w:fill="FFFFFF"/>
        </w:rPr>
        <w:t>The UMF defines standards for cross-border information exchange between information systems, authorities or organisations. Th</w:t>
      </w:r>
      <w:r>
        <w:rPr>
          <w:shd w:val="clear" w:color="auto" w:fill="FFFFFF"/>
        </w:rPr>
        <w:t xml:space="preserve">is </w:t>
      </w:r>
      <w:r w:rsidRPr="002C4AF6">
        <w:rPr>
          <w:shd w:val="clear" w:color="auto" w:fill="FFFFFF"/>
        </w:rPr>
        <w:t xml:space="preserve">ensures </w:t>
      </w:r>
      <w:r>
        <w:rPr>
          <w:shd w:val="clear" w:color="auto" w:fill="FFFFFF"/>
        </w:rPr>
        <w:t xml:space="preserve">an </w:t>
      </w:r>
      <w:r w:rsidRPr="002C4AF6">
        <w:rPr>
          <w:shd w:val="clear" w:color="auto" w:fill="FFFFFF"/>
        </w:rPr>
        <w:t xml:space="preserve">effective </w:t>
      </w:r>
      <w:r>
        <w:rPr>
          <w:shd w:val="clear" w:color="auto" w:fill="FFFFFF"/>
        </w:rPr>
        <w:t xml:space="preserve">data </w:t>
      </w:r>
      <w:r w:rsidRPr="002C4AF6">
        <w:rPr>
          <w:shd w:val="clear" w:color="auto" w:fill="FFFFFF"/>
        </w:rPr>
        <w:t>process</w:t>
      </w:r>
      <w:r>
        <w:rPr>
          <w:shd w:val="clear" w:color="auto" w:fill="FFFFFF"/>
        </w:rPr>
        <w:t>ing</w:t>
      </w:r>
      <w:r w:rsidRPr="002C4AF6">
        <w:rPr>
          <w:shd w:val="clear" w:color="auto" w:fill="FFFFFF"/>
        </w:rPr>
        <w:t xml:space="preserve"> across information systems</w:t>
      </w:r>
      <w:r w:rsidRPr="002C4AF6">
        <w:rPr>
          <w:rStyle w:val="show-more-description"/>
          <w:shd w:val="clear" w:color="auto" w:fill="FFFFFF"/>
        </w:rPr>
        <w:t>.</w:t>
      </w:r>
    </w:p>
  </w:footnote>
  <w:footnote w:id="89">
    <w:p w14:paraId="5077ABC8" w14:textId="77777777" w:rsidR="003F3C88" w:rsidRPr="009F67CD" w:rsidRDefault="003F3C88" w:rsidP="00472211">
      <w:pPr>
        <w:pStyle w:val="FootnoteText"/>
        <w:ind w:left="142" w:hanging="142"/>
        <w:jc w:val="both"/>
        <w:rPr>
          <w:lang w:val="de-DE"/>
        </w:rPr>
      </w:pPr>
      <w:r w:rsidRPr="009F67CD">
        <w:rPr>
          <w:rStyle w:val="FootnoteReference"/>
          <w:rFonts w:cs="Times New Roman"/>
        </w:rPr>
        <w:footnoteRef/>
      </w:r>
      <w:r>
        <w:t xml:space="preserve"> Europol's "</w:t>
      </w:r>
      <w:r w:rsidRPr="009F67CD">
        <w:t>Secure Information Exchange Network Application</w:t>
      </w:r>
      <w:r>
        <w:t>"</w:t>
      </w:r>
      <w:r w:rsidRPr="009F67CD">
        <w:t>.</w:t>
      </w:r>
    </w:p>
  </w:footnote>
  <w:footnote w:id="90">
    <w:p w14:paraId="60586D0B" w14:textId="795FFDD4" w:rsidR="003F3C88" w:rsidRPr="00380EEA" w:rsidRDefault="003F3C88" w:rsidP="00472211">
      <w:pPr>
        <w:pStyle w:val="FootnoteText"/>
        <w:ind w:left="142" w:hanging="142"/>
        <w:rPr>
          <w:lang w:val="en-GB"/>
        </w:rPr>
      </w:pPr>
      <w:r w:rsidRPr="00380EEA">
        <w:rPr>
          <w:rStyle w:val="FootnoteReference"/>
          <w:lang w:val="en-GB"/>
        </w:rPr>
        <w:footnoteRef/>
      </w:r>
      <w:r w:rsidRPr="00380EEA">
        <w:rPr>
          <w:lang w:val="en-GB"/>
        </w:rPr>
        <w:t xml:space="preserve"> This would not affect the work and cooperation of intelligence services.</w:t>
      </w:r>
    </w:p>
  </w:footnote>
  <w:footnote w:id="91">
    <w:p w14:paraId="70594EF4" w14:textId="77777777" w:rsidR="003F3C88" w:rsidRPr="00002027" w:rsidRDefault="003F3C88" w:rsidP="00472211">
      <w:pPr>
        <w:pStyle w:val="FootnoteText"/>
        <w:ind w:left="142" w:hanging="142"/>
        <w:jc w:val="both"/>
      </w:pPr>
      <w:r w:rsidRPr="00002027">
        <w:rPr>
          <w:rStyle w:val="FootnoteReference"/>
          <w:rFonts w:cs="Times New Roman"/>
        </w:rPr>
        <w:footnoteRef/>
      </w:r>
      <w:r>
        <w:t xml:space="preserve"> </w:t>
      </w:r>
      <w:r w:rsidRPr="00002027">
        <w:t xml:space="preserve">Member States </w:t>
      </w:r>
      <w:r w:rsidRPr="008C0EEF">
        <w:t>will no longer be able to choose another communication channel</w:t>
      </w:r>
      <w:r>
        <w:t>. Exceptions would be considered under clearly defined circumstances.</w:t>
      </w:r>
    </w:p>
  </w:footnote>
  <w:footnote w:id="92">
    <w:p w14:paraId="2D36DD7A" w14:textId="33FC3C15" w:rsidR="003F3C88" w:rsidRPr="00AE0512" w:rsidRDefault="003F3C88" w:rsidP="00472211">
      <w:pPr>
        <w:pStyle w:val="FootnoteText"/>
        <w:ind w:left="142" w:hanging="142"/>
        <w:jc w:val="both"/>
        <w:rPr>
          <w:rFonts w:cs="Times New Roman"/>
        </w:rPr>
      </w:pPr>
      <w:r w:rsidRPr="00AE0512">
        <w:rPr>
          <w:rStyle w:val="FootnoteReference"/>
          <w:rFonts w:cs="Times New Roman"/>
        </w:rPr>
        <w:footnoteRef/>
      </w:r>
      <w:r w:rsidRPr="00AE0512">
        <w:rPr>
          <w:rFonts w:cs="Times New Roman"/>
        </w:rPr>
        <w:t xml:space="preserve"> SIENA is used by </w:t>
      </w:r>
      <w:r w:rsidRPr="00704502">
        <w:rPr>
          <w:rFonts w:eastAsia="Times New Roman" w:cs="Times New Roman"/>
        </w:rPr>
        <w:t xml:space="preserve">20.000 SIENA end-users (originating from 2.300 law enforcement authorities). 1.3 million SIENA messages were exchanged in 2020. The number of SIENA messages only continues to increase. In the first six months of this year, </w:t>
      </w:r>
      <w:r>
        <w:rPr>
          <w:rFonts w:eastAsia="Times New Roman" w:cs="Times New Roman"/>
        </w:rPr>
        <w:t xml:space="preserve">SIENA has </w:t>
      </w:r>
      <w:r w:rsidRPr="00704502">
        <w:rPr>
          <w:rFonts w:eastAsia="Times New Roman" w:cs="Times New Roman"/>
        </w:rPr>
        <w:t>experienced a strong increase of 26% when compared to the same period last year (note that COVID has not slowed down the exchanges).</w:t>
      </w:r>
    </w:p>
  </w:footnote>
  <w:footnote w:id="93">
    <w:p w14:paraId="2CDB6E75" w14:textId="32C5E220" w:rsidR="003F3C88" w:rsidRPr="00236C44" w:rsidRDefault="003F3C88" w:rsidP="00472211">
      <w:pPr>
        <w:pStyle w:val="FootnoteText"/>
        <w:ind w:left="142" w:hanging="142"/>
      </w:pPr>
      <w:r>
        <w:rPr>
          <w:rStyle w:val="FootnoteReference"/>
        </w:rPr>
        <w:footnoteRef/>
      </w:r>
      <w:r>
        <w:t xml:space="preserve"> </w:t>
      </w:r>
      <w:r w:rsidRPr="00874599">
        <w:rPr>
          <w:noProof/>
        </w:rPr>
        <w:t xml:space="preserve">Additional </w:t>
      </w:r>
      <w:r w:rsidRPr="004E78B2">
        <w:rPr>
          <w:noProof/>
        </w:rPr>
        <w:t>d</w:t>
      </w:r>
      <w:r>
        <w:rPr>
          <w:noProof/>
        </w:rPr>
        <w:t>i</w:t>
      </w:r>
      <w:r w:rsidRPr="00874599">
        <w:rPr>
          <w:noProof/>
        </w:rPr>
        <w:t xml:space="preserve">scarded options can be found in </w:t>
      </w:r>
      <w:r>
        <w:rPr>
          <w:noProof/>
        </w:rPr>
        <w:t>a</w:t>
      </w:r>
      <w:r w:rsidRPr="00874599">
        <w:rPr>
          <w:noProof/>
        </w:rPr>
        <w:t xml:space="preserve">nnex </w:t>
      </w:r>
      <w:r>
        <w:rPr>
          <w:noProof/>
        </w:rPr>
        <w:t>7.</w:t>
      </w:r>
    </w:p>
  </w:footnote>
  <w:footnote w:id="94">
    <w:p w14:paraId="79294FDF" w14:textId="77777777" w:rsidR="003F3C88" w:rsidRPr="004D439E" w:rsidRDefault="003F3C88" w:rsidP="00472211">
      <w:pPr>
        <w:pStyle w:val="FootnoteText"/>
        <w:ind w:left="142" w:hanging="142"/>
        <w:jc w:val="both"/>
      </w:pPr>
      <w:r w:rsidRPr="00B16024">
        <w:rPr>
          <w:rStyle w:val="FootnoteReference"/>
          <w:rFonts w:cs="Times New Roman"/>
        </w:rPr>
        <w:footnoteRef/>
      </w:r>
      <w:r>
        <w:rPr>
          <w:szCs w:val="16"/>
        </w:rPr>
        <w:t xml:space="preserve"> </w:t>
      </w:r>
      <w:r w:rsidRPr="004D439E">
        <w:rPr>
          <w:szCs w:val="16"/>
        </w:rPr>
        <w:t xml:space="preserve">The baseline scenario is expected to, one the one hand, have a small positive impact </w:t>
      </w:r>
      <w:r>
        <w:rPr>
          <w:szCs w:val="16"/>
        </w:rPr>
        <w:t xml:space="preserve">as regards the achievement of the horizontal </w:t>
      </w:r>
      <w:r w:rsidRPr="004D439E">
        <w:rPr>
          <w:szCs w:val="16"/>
        </w:rPr>
        <w:t>objective</w:t>
      </w:r>
      <w:r>
        <w:rPr>
          <w:szCs w:val="16"/>
        </w:rPr>
        <w:t>. It will have no identified impact on objective I (alignment with the LED excluded). Regarding objective II, t</w:t>
      </w:r>
      <w:r w:rsidRPr="004D439E">
        <w:rPr>
          <w:szCs w:val="16"/>
        </w:rPr>
        <w:t>he current differences between the national set-ups are expected to continue to exist and hamper the level playing field between Member States</w:t>
      </w:r>
      <w:r>
        <w:rPr>
          <w:szCs w:val="16"/>
        </w:rPr>
        <w:t xml:space="preserve">. Regarding objective III, </w:t>
      </w:r>
      <w:r w:rsidRPr="004D439E">
        <w:rPr>
          <w:szCs w:val="16"/>
        </w:rPr>
        <w:t xml:space="preserve">Europol is expected to make further improvements to SIENA, potentially doubling the number of users. However, this </w:t>
      </w:r>
      <w:r>
        <w:rPr>
          <w:szCs w:val="16"/>
        </w:rPr>
        <w:t xml:space="preserve">will </w:t>
      </w:r>
      <w:r w:rsidRPr="004D439E">
        <w:rPr>
          <w:szCs w:val="16"/>
        </w:rPr>
        <w:t xml:space="preserve">not </w:t>
      </w:r>
      <w:r>
        <w:rPr>
          <w:szCs w:val="16"/>
        </w:rPr>
        <w:t xml:space="preserve">adequately </w:t>
      </w:r>
      <w:r w:rsidRPr="004D439E">
        <w:rPr>
          <w:szCs w:val="16"/>
        </w:rPr>
        <w:t xml:space="preserve">address the current and expected future </w:t>
      </w:r>
      <w:r>
        <w:rPr>
          <w:szCs w:val="16"/>
        </w:rPr>
        <w:t>challenges.</w:t>
      </w:r>
    </w:p>
  </w:footnote>
  <w:footnote w:id="95">
    <w:p w14:paraId="40EA2841" w14:textId="77777777" w:rsidR="003F3C88" w:rsidRPr="007C4A83" w:rsidRDefault="003F3C88" w:rsidP="00472211">
      <w:pPr>
        <w:pStyle w:val="NormalWeb"/>
        <w:shd w:val="clear" w:color="auto" w:fill="FFFFFF"/>
        <w:spacing w:before="0" w:beforeAutospacing="0" w:after="0" w:afterAutospacing="0"/>
        <w:ind w:left="142" w:hanging="142"/>
        <w:jc w:val="both"/>
      </w:pPr>
      <w:r w:rsidRPr="00874599">
        <w:rPr>
          <w:rStyle w:val="FootnoteReference"/>
          <w:sz w:val="20"/>
          <w:szCs w:val="20"/>
        </w:rPr>
        <w:footnoteRef/>
      </w:r>
      <w:r w:rsidRPr="00874599">
        <w:rPr>
          <w:sz w:val="20"/>
          <w:szCs w:val="20"/>
        </w:rPr>
        <w:t xml:space="preserve"> Internal Security Fund </w:t>
      </w:r>
      <w:r w:rsidRPr="00874599">
        <w:rPr>
          <w:color w:val="333333"/>
          <w:sz w:val="20"/>
          <w:szCs w:val="20"/>
        </w:rPr>
        <w:t>2021-27</w:t>
      </w:r>
      <w:r>
        <w:rPr>
          <w:color w:val="333333"/>
          <w:sz w:val="20"/>
          <w:szCs w:val="20"/>
        </w:rPr>
        <w:t>.</w:t>
      </w:r>
      <w:r w:rsidRPr="00874599">
        <w:rPr>
          <w:color w:val="333333"/>
          <w:sz w:val="20"/>
          <w:szCs w:val="20"/>
        </w:rPr>
        <w:t xml:space="preserve"> With an overall budget of EUR 1.9 billion, the Internal Security Fund, will finance actions in the field of fight against terrorism and rad</w:t>
      </w:r>
      <w:r w:rsidRPr="00A7181E">
        <w:rPr>
          <w:color w:val="333333"/>
          <w:sz w:val="20"/>
          <w:szCs w:val="20"/>
        </w:rPr>
        <w:t>icali</w:t>
      </w:r>
      <w:r>
        <w:rPr>
          <w:color w:val="333333"/>
          <w:sz w:val="20"/>
          <w:szCs w:val="20"/>
        </w:rPr>
        <w:t>s</w:t>
      </w:r>
      <w:r w:rsidRPr="00A7181E">
        <w:rPr>
          <w:color w:val="333333"/>
          <w:sz w:val="20"/>
          <w:szCs w:val="20"/>
        </w:rPr>
        <w:t>ation, serious and organis</w:t>
      </w:r>
      <w:r w:rsidRPr="00874599">
        <w:rPr>
          <w:color w:val="333333"/>
          <w:sz w:val="20"/>
          <w:szCs w:val="20"/>
        </w:rPr>
        <w:t>ed crime, cybercrime and the protection of victims. Member States will implement the largest share of the allocation through multiannual national programmes. In addition to this, the Commission will also implement actions of particular EU</w:t>
      </w:r>
      <w:r>
        <w:rPr>
          <w:color w:val="333333"/>
          <w:sz w:val="20"/>
          <w:szCs w:val="20"/>
        </w:rPr>
        <w:t xml:space="preserve"> value; </w:t>
      </w:r>
      <w:r w:rsidRPr="00874599">
        <w:rPr>
          <w:color w:val="333333"/>
          <w:sz w:val="20"/>
          <w:szCs w:val="20"/>
        </w:rPr>
        <w:t>the Union actions.</w:t>
      </w:r>
    </w:p>
  </w:footnote>
  <w:footnote w:id="96">
    <w:p w14:paraId="4902BA80" w14:textId="19C2DC64" w:rsidR="003F3C88" w:rsidRPr="007D5998" w:rsidRDefault="003F3C88" w:rsidP="007D5998">
      <w:pPr>
        <w:pStyle w:val="ListNumber"/>
        <w:numPr>
          <w:ilvl w:val="0"/>
          <w:numId w:val="0"/>
        </w:numPr>
        <w:spacing w:after="0"/>
        <w:rPr>
          <w:sz w:val="20"/>
          <w:lang w:val="en-GB"/>
        </w:rPr>
      </w:pPr>
      <w:r w:rsidRPr="007D5998">
        <w:rPr>
          <w:rStyle w:val="FootnoteReference"/>
          <w:sz w:val="20"/>
        </w:rPr>
        <w:footnoteRef/>
      </w:r>
      <w:r w:rsidRPr="007D5998">
        <w:rPr>
          <w:sz w:val="20"/>
          <w:lang w:val="en-GB"/>
        </w:rPr>
        <w:t xml:space="preserve"> COM(2020)262, </w:t>
      </w:r>
      <w:r w:rsidRPr="007D5998">
        <w:rPr>
          <w:i/>
          <w:sz w:val="20"/>
          <w:lang w:val="en-GB"/>
        </w:rPr>
        <w:t xml:space="preserve">Way forward on aligning the former third pillar acquis with data protection rules. </w:t>
      </w:r>
      <w:r>
        <w:rPr>
          <w:sz w:val="20"/>
          <w:lang w:val="en-GB"/>
        </w:rPr>
        <w:t>As per this Communication, t</w:t>
      </w:r>
      <w:r w:rsidRPr="007D5998">
        <w:rPr>
          <w:sz w:val="20"/>
          <w:lang w:val="en-GB"/>
        </w:rPr>
        <w:t xml:space="preserve">he alignment of the SFD with the 2016 Law Enforcement Data Protection Directive will: </w:t>
      </w:r>
    </w:p>
    <w:p w14:paraId="08B9A55B" w14:textId="6B8DB794" w:rsidR="003F3C88" w:rsidRDefault="003F3C88" w:rsidP="007D5998">
      <w:pPr>
        <w:pStyle w:val="ListNumber"/>
        <w:numPr>
          <w:ilvl w:val="0"/>
          <w:numId w:val="160"/>
        </w:numPr>
        <w:spacing w:after="0"/>
        <w:rPr>
          <w:sz w:val="20"/>
          <w:lang w:val="en-GB"/>
        </w:rPr>
      </w:pPr>
      <w:r w:rsidRPr="007D5998">
        <w:rPr>
          <w:sz w:val="20"/>
          <w:lang w:val="en-GB"/>
        </w:rPr>
        <w:t>specify the types of personal data that can be exchanged;</w:t>
      </w:r>
    </w:p>
    <w:p w14:paraId="55095A44" w14:textId="6D0D7B81" w:rsidR="003F3C88" w:rsidRDefault="003F3C88" w:rsidP="007D5998">
      <w:pPr>
        <w:pStyle w:val="ListNumber"/>
        <w:numPr>
          <w:ilvl w:val="0"/>
          <w:numId w:val="160"/>
        </w:numPr>
        <w:spacing w:after="0"/>
        <w:rPr>
          <w:sz w:val="20"/>
          <w:lang w:val="en-GB"/>
        </w:rPr>
      </w:pPr>
      <w:r w:rsidRPr="007D5998">
        <w:rPr>
          <w:sz w:val="20"/>
          <w:lang w:val="en-GB"/>
        </w:rPr>
        <w:t>further clarify the safeguards: in particular the requirement of a necessity and proportionality assessment of each information exchange;</w:t>
      </w:r>
    </w:p>
    <w:p w14:paraId="72172465" w14:textId="035D9DB3" w:rsidR="003F3C88" w:rsidRPr="007D5998" w:rsidRDefault="003F3C88" w:rsidP="007D5998">
      <w:pPr>
        <w:pStyle w:val="ListNumber"/>
        <w:numPr>
          <w:ilvl w:val="0"/>
          <w:numId w:val="160"/>
        </w:numPr>
        <w:spacing w:after="0"/>
        <w:rPr>
          <w:sz w:val="20"/>
          <w:lang w:val="en-GB"/>
        </w:rPr>
      </w:pPr>
      <w:r w:rsidRPr="007D5998">
        <w:rPr>
          <w:sz w:val="20"/>
          <w:lang w:val="en-GB"/>
        </w:rPr>
        <w:t>make reference to the applicability of the Law Enforcement Data Protection Directive and the high level of protection that is provides.</w:t>
      </w:r>
    </w:p>
  </w:footnote>
  <w:footnote w:id="97">
    <w:p w14:paraId="7CDC2E46" w14:textId="77777777" w:rsidR="003F3C88" w:rsidRPr="00EF4A77" w:rsidRDefault="003F3C88" w:rsidP="00472211">
      <w:pPr>
        <w:pStyle w:val="FootnoteText"/>
        <w:ind w:left="142" w:hanging="142"/>
        <w:jc w:val="both"/>
      </w:pPr>
      <w:r w:rsidRPr="00EF4A77">
        <w:rPr>
          <w:rStyle w:val="FootnoteReference"/>
          <w:rFonts w:cs="Times New Roman"/>
        </w:rPr>
        <w:footnoteRef/>
      </w:r>
      <w:r>
        <w:t xml:space="preserve"> </w:t>
      </w:r>
      <w:r w:rsidRPr="00EF4A77">
        <w:rPr>
          <w:lang w:eastAsia="en-GB"/>
        </w:rPr>
        <w:t xml:space="preserve">Court of Justice of the EU, Joined Cases C-92/09 and C-93/09 Volker und Markus Schecke and Eifert </w:t>
      </w:r>
      <w:r>
        <w:rPr>
          <w:lang w:eastAsia="en-GB"/>
        </w:rPr>
        <w:t>(</w:t>
      </w:r>
      <w:r w:rsidRPr="00EF4A77">
        <w:rPr>
          <w:lang w:eastAsia="en-GB"/>
        </w:rPr>
        <w:t>2010</w:t>
      </w:r>
      <w:r>
        <w:rPr>
          <w:lang w:eastAsia="en-GB"/>
        </w:rPr>
        <w:t>)</w:t>
      </w:r>
      <w:r w:rsidRPr="00EF4A77">
        <w:rPr>
          <w:lang w:eastAsia="en-GB"/>
        </w:rPr>
        <w:t>.</w:t>
      </w:r>
    </w:p>
  </w:footnote>
  <w:footnote w:id="98">
    <w:p w14:paraId="25E82FBD" w14:textId="5476CA7F" w:rsidR="003F3C88" w:rsidRDefault="003F3C88" w:rsidP="00472211">
      <w:pPr>
        <w:pStyle w:val="FootnoteText"/>
        <w:ind w:left="142" w:hanging="142"/>
        <w:jc w:val="both"/>
      </w:pPr>
      <w:r w:rsidRPr="00EF4A77">
        <w:rPr>
          <w:rStyle w:val="FootnoteReference"/>
          <w:rFonts w:cs="Times New Roman"/>
        </w:rPr>
        <w:footnoteRef/>
      </w:r>
      <w:r>
        <w:t xml:space="preserve"> </w:t>
      </w:r>
      <w:r w:rsidRPr="00EF4A77">
        <w:t>Directive (EU) 2016/680</w:t>
      </w:r>
      <w:r w:rsidRPr="00A04EF4">
        <w:t xml:space="preserve">, </w:t>
      </w:r>
      <w:r w:rsidRPr="002F6386">
        <w:rPr>
          <w:rStyle w:val="Emphasis"/>
          <w:rFonts w:cs="Times New Roman"/>
          <w:i w:val="0"/>
          <w:szCs w:val="21"/>
          <w:shd w:val="clear" w:color="auto" w:fill="FFFFFF"/>
        </w:rPr>
        <w:t>OJ L 119, 4.5.2016.</w:t>
      </w:r>
    </w:p>
  </w:footnote>
  <w:footnote w:id="99">
    <w:p w14:paraId="6558ED1C" w14:textId="77777777" w:rsidR="003F3C88" w:rsidRPr="009F67CD" w:rsidRDefault="003F3C88" w:rsidP="00472211">
      <w:pPr>
        <w:pStyle w:val="FootnoteText"/>
        <w:ind w:left="142" w:hanging="142"/>
        <w:jc w:val="both"/>
        <w:rPr>
          <w:lang w:val="de-DE"/>
        </w:rPr>
      </w:pPr>
      <w:r w:rsidRPr="009F67CD">
        <w:rPr>
          <w:rStyle w:val="FootnoteReference"/>
          <w:rFonts w:cs="Times New Roman"/>
        </w:rPr>
        <w:footnoteRef/>
      </w:r>
      <w:r>
        <w:t xml:space="preserve"> Europol's "</w:t>
      </w:r>
      <w:r w:rsidRPr="009F67CD">
        <w:t>Secure Information Exchange Network Application</w:t>
      </w:r>
      <w:r>
        <w:t>"</w:t>
      </w:r>
      <w:r w:rsidRPr="009F67CD">
        <w:t>.</w:t>
      </w:r>
    </w:p>
  </w:footnote>
  <w:footnote w:id="100">
    <w:p w14:paraId="0735FA38" w14:textId="46067FB1" w:rsidR="003F3C88" w:rsidRPr="00E06101" w:rsidRDefault="003F3C88" w:rsidP="00472211">
      <w:pPr>
        <w:pStyle w:val="FootnoteText"/>
        <w:ind w:left="142" w:hanging="142"/>
      </w:pPr>
      <w:r>
        <w:rPr>
          <w:rStyle w:val="FootnoteReference"/>
        </w:rPr>
        <w:footnoteRef/>
      </w:r>
      <w:r>
        <w:t xml:space="preserve"> Additional information on the impacts of policy options on Member States can be found in annex 9.</w:t>
      </w:r>
    </w:p>
  </w:footnote>
  <w:footnote w:id="101">
    <w:p w14:paraId="1CD107DA" w14:textId="44A4CBB2" w:rsidR="003F3C88" w:rsidRPr="00535FAF" w:rsidRDefault="003F3C88" w:rsidP="00DE499E">
      <w:pPr>
        <w:pStyle w:val="FootnoteText"/>
        <w:ind w:left="142" w:hanging="142"/>
      </w:pPr>
      <w:r>
        <w:rPr>
          <w:rStyle w:val="FootnoteReference"/>
        </w:rPr>
        <w:footnoteRef/>
      </w:r>
      <w:r>
        <w:t xml:space="preserve"> Additional information on the impacts of policy options on Member States can be found in annex 9.</w:t>
      </w:r>
    </w:p>
  </w:footnote>
  <w:footnote w:id="102">
    <w:p w14:paraId="1A26ECBF" w14:textId="77777777" w:rsidR="003F3C88" w:rsidRPr="009F2E31" w:rsidRDefault="003F3C88" w:rsidP="00DE499E">
      <w:pPr>
        <w:pStyle w:val="FootnoteText"/>
        <w:ind w:left="142" w:hanging="142"/>
        <w:rPr>
          <w:lang w:val="en-GB"/>
        </w:rPr>
      </w:pPr>
      <w:r>
        <w:rPr>
          <w:rStyle w:val="FootnoteReference"/>
        </w:rPr>
        <w:footnoteRef/>
      </w:r>
      <w:r>
        <w:t xml:space="preserve"> </w:t>
      </w:r>
      <w:r w:rsidRPr="009F2E31">
        <w:rPr>
          <w:lang w:val="en-GB"/>
        </w:rPr>
        <w:t>See complementary information in annex 1</w:t>
      </w:r>
      <w:r>
        <w:rPr>
          <w:lang w:val="en-GB"/>
        </w:rPr>
        <w:t>0</w:t>
      </w:r>
      <w:r w:rsidRPr="009F2E31">
        <w:rPr>
          <w:lang w:val="en-GB"/>
        </w:rPr>
        <w:t>.</w:t>
      </w:r>
    </w:p>
  </w:footnote>
  <w:footnote w:id="103">
    <w:p w14:paraId="7580F66F" w14:textId="77777777" w:rsidR="003F3C88" w:rsidRPr="00514320" w:rsidRDefault="003F3C88" w:rsidP="00DE499E">
      <w:pPr>
        <w:pStyle w:val="FootnoteText"/>
        <w:ind w:left="142" w:hanging="142"/>
        <w:jc w:val="both"/>
      </w:pPr>
      <w:r w:rsidRPr="00514320">
        <w:rPr>
          <w:rStyle w:val="FootnoteReference"/>
          <w:rFonts w:cs="Times New Roman"/>
        </w:rPr>
        <w:footnoteRef/>
      </w:r>
      <w:r w:rsidRPr="00514320">
        <w:t xml:space="preserve"> Council Conclusions 12825/19, 8.10.2019</w:t>
      </w:r>
      <w:r>
        <w:t xml:space="preserve"> </w:t>
      </w:r>
      <w:r w:rsidRPr="00514320">
        <w:t xml:space="preserve">on </w:t>
      </w:r>
      <w:r w:rsidRPr="00514320">
        <w:rPr>
          <w:i/>
        </w:rPr>
        <w:t>establishing European network of Heads of SPOC for international law enforcement information exchange</w:t>
      </w:r>
      <w:r>
        <w:t>.</w:t>
      </w:r>
    </w:p>
  </w:footnote>
  <w:footnote w:id="104">
    <w:p w14:paraId="6F7B0445" w14:textId="74E90721" w:rsidR="003F3C88" w:rsidRPr="00E75BA6" w:rsidRDefault="003F3C88" w:rsidP="00DE499E">
      <w:pPr>
        <w:pStyle w:val="FootnoteText"/>
        <w:ind w:left="142" w:hanging="142"/>
      </w:pPr>
      <w:r>
        <w:rPr>
          <w:rStyle w:val="FootnoteReference"/>
        </w:rPr>
        <w:footnoteRef/>
      </w:r>
      <w:r>
        <w:t xml:space="preserve"> Additional information on the impacts of policy options on Member States can be found in annex 9.</w:t>
      </w:r>
    </w:p>
  </w:footnote>
  <w:footnote w:id="105">
    <w:p w14:paraId="5D5FC652" w14:textId="77777777" w:rsidR="003F3C88" w:rsidRPr="00935663" w:rsidRDefault="003F3C88" w:rsidP="00DE499E">
      <w:pPr>
        <w:pStyle w:val="Body"/>
        <w:spacing w:after="0"/>
        <w:ind w:left="142" w:hanging="142"/>
        <w:jc w:val="both"/>
      </w:pPr>
      <w:r w:rsidRPr="007217B2">
        <w:rPr>
          <w:rStyle w:val="FootnoteReference"/>
          <w:rFonts w:ascii="Times New Roman" w:hAnsi="Times New Roman"/>
        </w:rPr>
        <w:footnoteRef/>
      </w:r>
      <w:r w:rsidRPr="007217B2">
        <w:rPr>
          <w:rFonts w:ascii="Times New Roman" w:hAnsi="Times New Roman"/>
        </w:rPr>
        <w:t xml:space="preserve"> </w:t>
      </w:r>
      <w:r>
        <w:rPr>
          <w:rFonts w:ascii="Times New Roman" w:hAnsi="Times New Roman"/>
        </w:rPr>
        <w:t>B</w:t>
      </w:r>
      <w:r w:rsidRPr="007217B2">
        <w:rPr>
          <w:rFonts w:ascii="Times New Roman" w:hAnsi="Times New Roman"/>
        </w:rPr>
        <w:t xml:space="preserve">ased on the Study' findings: </w:t>
      </w:r>
      <w:r w:rsidRPr="007217B2">
        <w:rPr>
          <w:rFonts w:ascii="Times New Roman" w:hAnsi="Times New Roman"/>
          <w:color w:val="000000" w:themeColor="text1"/>
        </w:rPr>
        <w:t xml:space="preserve">If SIENA was established as the preferred/default channel for information exchange, this would imply changes for </w:t>
      </w:r>
      <w:r w:rsidRPr="007217B2">
        <w:rPr>
          <w:rFonts w:ascii="Times New Roman" w:hAnsi="Times New Roman"/>
          <w:b/>
          <w:color w:val="000000" w:themeColor="text1"/>
        </w:rPr>
        <w:t>4 countries who currently prefer the I-24/7 channel</w:t>
      </w:r>
      <w:r w:rsidRPr="007217B2">
        <w:rPr>
          <w:rFonts w:ascii="Times New Roman" w:hAnsi="Times New Roman"/>
          <w:color w:val="000000" w:themeColor="text1"/>
        </w:rPr>
        <w:t>.</w:t>
      </w:r>
      <w:r>
        <w:rPr>
          <w:rFonts w:ascii="Times New Roman" w:hAnsi="Times New Roman"/>
          <w:color w:val="000000" w:themeColor="text1"/>
        </w:rPr>
        <w:t xml:space="preserve"> </w:t>
      </w:r>
      <w:r w:rsidRPr="007217B2">
        <w:rPr>
          <w:rFonts w:ascii="Times New Roman" w:hAnsi="Times New Roman"/>
          <w:color w:val="000000" w:themeColor="text1"/>
        </w:rPr>
        <w:t>For those 17 countries which are indifferent between communication channels establishing SIENA as the preferred/default channel would imply smaller changes as for those who clearly prefer the I-24/7.</w:t>
      </w:r>
      <w:r>
        <w:rPr>
          <w:rFonts w:ascii="Times New Roman" w:hAnsi="Times New Roman"/>
          <w:color w:val="000000" w:themeColor="text1"/>
        </w:rPr>
        <w:t xml:space="preserve"> </w:t>
      </w:r>
      <w:r w:rsidRPr="00935663">
        <w:rPr>
          <w:rFonts w:ascii="Times New Roman" w:hAnsi="Times New Roman"/>
          <w:color w:val="000000" w:themeColor="text1"/>
        </w:rPr>
        <w:t>For 5 countries which use SIENA as the preferred communication channel, no change is expected</w:t>
      </w:r>
      <w:r>
        <w:rPr>
          <w:rFonts w:ascii="Times New Roman" w:hAnsi="Times New Roman"/>
          <w:color w:val="000000" w:themeColor="text1"/>
        </w:rPr>
        <w:t>.</w:t>
      </w:r>
    </w:p>
  </w:footnote>
  <w:footnote w:id="106">
    <w:p w14:paraId="3E483059" w14:textId="77777777" w:rsidR="003F3C88" w:rsidRPr="00F0638B" w:rsidRDefault="003F3C88" w:rsidP="00DE499E">
      <w:pPr>
        <w:pStyle w:val="FootnoteText"/>
        <w:ind w:left="142" w:hanging="142"/>
        <w:jc w:val="both"/>
        <w:rPr>
          <w:i/>
        </w:rPr>
      </w:pPr>
      <w:r w:rsidRPr="0068597C">
        <w:rPr>
          <w:rStyle w:val="FootnoteReference"/>
          <w:rFonts w:cs="Times New Roman"/>
        </w:rPr>
        <w:footnoteRef/>
      </w:r>
      <w:r w:rsidRPr="0068597C">
        <w:t xml:space="preserve"> Council Document 5503/21, </w:t>
      </w:r>
      <w:r w:rsidRPr="00F0638B">
        <w:rPr>
          <w:i/>
        </w:rPr>
        <w:t>Secure communication channel in law enforcement cooperation – SIENA.</w:t>
      </w:r>
    </w:p>
  </w:footnote>
  <w:footnote w:id="107">
    <w:p w14:paraId="7273AA22" w14:textId="77777777" w:rsidR="003F3C88" w:rsidRPr="00DF562D" w:rsidRDefault="003F3C88" w:rsidP="00DE499E">
      <w:pPr>
        <w:pStyle w:val="FootnoteText"/>
        <w:ind w:left="142" w:hanging="142"/>
        <w:jc w:val="both"/>
      </w:pPr>
      <w:r w:rsidRPr="00DF562D">
        <w:rPr>
          <w:rStyle w:val="FootnoteReference"/>
          <w:rFonts w:cs="Times New Roman"/>
        </w:rPr>
        <w:footnoteRef/>
      </w:r>
      <w:r w:rsidRPr="00DF562D">
        <w:t xml:space="preserve"> </w:t>
      </w:r>
      <w:r>
        <w:t>European Council, "</w:t>
      </w:r>
      <w:r w:rsidRPr="00DF562D">
        <w:t>The Stockholm Programme</w:t>
      </w:r>
      <w:r>
        <w:t>"</w:t>
      </w:r>
      <w:r w:rsidRPr="00DF562D">
        <w:t>, OJ C 115, 4.5.2010, p. 1–38. The European Council also invited the Commission to "</w:t>
      </w:r>
      <w:r w:rsidRPr="00DF562D">
        <w:rPr>
          <w:i/>
        </w:rPr>
        <w:t>examine how it could be ensured that Europol receives information from Member States law enforcement authorities so that the Member States can make full use of Europol capacities</w:t>
      </w:r>
      <w:r w:rsidRPr="00DF562D">
        <w:t>"</w:t>
      </w:r>
      <w:r>
        <w:t>.</w:t>
      </w:r>
    </w:p>
  </w:footnote>
  <w:footnote w:id="108">
    <w:p w14:paraId="5A52D874" w14:textId="77777777" w:rsidR="003F3C88" w:rsidRPr="006D6FC7" w:rsidRDefault="003F3C88" w:rsidP="00DE499E">
      <w:pPr>
        <w:pStyle w:val="FootnoteText"/>
        <w:ind w:left="142" w:hanging="142"/>
        <w:jc w:val="both"/>
        <w:rPr>
          <w:i/>
        </w:rPr>
      </w:pPr>
      <w:r w:rsidRPr="006D6FC7">
        <w:rPr>
          <w:rStyle w:val="FootnoteReference"/>
          <w:rFonts w:cs="Times New Roman"/>
        </w:rPr>
        <w:footnoteRef/>
      </w:r>
      <w:r w:rsidRPr="006D6FC7">
        <w:t xml:space="preserve"> Council Document 5503/21, 28.1.2021, </w:t>
      </w:r>
      <w:r w:rsidRPr="006D6FC7">
        <w:rPr>
          <w:i/>
        </w:rPr>
        <w:t>Secure communication channel in law enforcement cooperation – SIENA.</w:t>
      </w:r>
    </w:p>
  </w:footnote>
  <w:footnote w:id="109">
    <w:p w14:paraId="3746CEF4" w14:textId="4C3BC7EB" w:rsidR="003F3C88" w:rsidRPr="00EC61F3" w:rsidRDefault="003F3C88" w:rsidP="00DE499E">
      <w:pPr>
        <w:pStyle w:val="FootnoteText"/>
        <w:ind w:left="142" w:hanging="142"/>
      </w:pPr>
      <w:r>
        <w:rPr>
          <w:rStyle w:val="FootnoteReference"/>
        </w:rPr>
        <w:footnoteRef/>
      </w:r>
      <w:r>
        <w:t xml:space="preserve"> See Complementary information on political feasibility in annex 10.</w:t>
      </w:r>
    </w:p>
  </w:footnote>
  <w:footnote w:id="110">
    <w:p w14:paraId="327E474D" w14:textId="77777777" w:rsidR="003F3C88" w:rsidRPr="006938E6" w:rsidRDefault="003F3C88" w:rsidP="00050B3D">
      <w:pPr>
        <w:pStyle w:val="FootnoteText"/>
        <w:ind w:left="142" w:hanging="142"/>
      </w:pPr>
      <w:r>
        <w:rPr>
          <w:rStyle w:val="FootnoteReference"/>
        </w:rPr>
        <w:footnoteRef/>
      </w:r>
      <w:r>
        <w:t xml:space="preserve"> Council Document</w:t>
      </w:r>
      <w:r w:rsidRPr="00B920BB">
        <w:t xml:space="preserve"> 13083/1/20, </w:t>
      </w:r>
      <w:r w:rsidRPr="00B920BB">
        <w:rPr>
          <w:i/>
        </w:rPr>
        <w:t>Council Conclusions on Internal Security and European Police Partnership</w:t>
      </w:r>
      <w:r>
        <w:rPr>
          <w:i/>
        </w:rPr>
        <w:t>,</w:t>
      </w:r>
      <w:r w:rsidRPr="00B920BB">
        <w:t xml:space="preserve"> </w:t>
      </w:r>
      <w:hyperlink r:id="rId11" w:history="1">
        <w:r w:rsidRPr="00B920BB">
          <w:rPr>
            <w:rStyle w:val="Hyperlink"/>
            <w:rFonts w:cs="Times New Roman"/>
          </w:rPr>
          <w:t>link</w:t>
        </w:r>
      </w:hyperlink>
    </w:p>
  </w:footnote>
  <w:footnote w:id="111">
    <w:p w14:paraId="31821497" w14:textId="77777777" w:rsidR="003F3C88" w:rsidRPr="002A7A17" w:rsidRDefault="003F3C88" w:rsidP="00D7101D">
      <w:pPr>
        <w:pStyle w:val="FootnoteText"/>
        <w:ind w:left="142" w:hanging="142"/>
      </w:pPr>
      <w:r>
        <w:rPr>
          <w:rStyle w:val="FootnoteReference"/>
        </w:rPr>
        <w:footnoteRef/>
      </w:r>
      <w:r>
        <w:t xml:space="preserve"> Informal Council COSI meeting of 7-8 July 2021.</w:t>
      </w:r>
    </w:p>
  </w:footnote>
  <w:footnote w:id="112">
    <w:p w14:paraId="665CA07F" w14:textId="77777777" w:rsidR="003F3C88" w:rsidRPr="00B920BB" w:rsidRDefault="003F3C88" w:rsidP="00F43AD9">
      <w:pPr>
        <w:pStyle w:val="FootnoteText"/>
        <w:jc w:val="both"/>
      </w:pPr>
      <w:r w:rsidRPr="00B920BB">
        <w:rPr>
          <w:rStyle w:val="FootnoteReference"/>
          <w:rFonts w:cs="Times New Roman"/>
        </w:rPr>
        <w:footnoteRef/>
      </w:r>
      <w:r w:rsidRPr="00B920BB">
        <w:t xml:space="preserve"> </w:t>
      </w:r>
      <w:r>
        <w:t xml:space="preserve">Commission (2020), </w:t>
      </w:r>
      <w:r w:rsidRPr="00B920BB">
        <w:rPr>
          <w:i/>
        </w:rPr>
        <w:t>EU security union strategy</w:t>
      </w:r>
      <w:r w:rsidRPr="00B920BB">
        <w:t xml:space="preserve"> - COM/2020/605 final</w:t>
      </w:r>
      <w:r>
        <w:t>,</w:t>
      </w:r>
      <w:r w:rsidRPr="00B920BB">
        <w:t xml:space="preserve"> </w:t>
      </w:r>
      <w:hyperlink r:id="rId12" w:history="1">
        <w:r w:rsidRPr="00B920BB">
          <w:rPr>
            <w:rStyle w:val="Hyperlink"/>
            <w:rFonts w:cs="Times New Roman"/>
          </w:rPr>
          <w:t>link</w:t>
        </w:r>
      </w:hyperlink>
      <w:r w:rsidRPr="00B920BB">
        <w:t>.</w:t>
      </w:r>
    </w:p>
  </w:footnote>
  <w:footnote w:id="113">
    <w:p w14:paraId="0A861875" w14:textId="77777777" w:rsidR="003F3C88" w:rsidRPr="00B920BB" w:rsidRDefault="003F3C88" w:rsidP="00F43AD9">
      <w:pPr>
        <w:pStyle w:val="FootnoteText"/>
        <w:jc w:val="both"/>
      </w:pPr>
      <w:r w:rsidRPr="00B920BB">
        <w:rPr>
          <w:rStyle w:val="FootnoteReference"/>
          <w:rFonts w:cs="Times New Roman"/>
        </w:rPr>
        <w:footnoteRef/>
      </w:r>
      <w:r w:rsidRPr="00B920BB">
        <w:t xml:space="preserve"> Commission (2020) </w:t>
      </w:r>
      <w:r w:rsidRPr="00B920BB">
        <w:rPr>
          <w:i/>
          <w:iCs/>
        </w:rPr>
        <w:t>A Counter-Terrorism Agenda for the EU: Anticipate, Prevent, Protect, Respond</w:t>
      </w:r>
      <w:r>
        <w:rPr>
          <w:i/>
          <w:iCs/>
        </w:rPr>
        <w:t>,</w:t>
      </w:r>
      <w:r w:rsidRPr="00B920BB">
        <w:t xml:space="preserve"> </w:t>
      </w:r>
      <w:hyperlink r:id="rId13" w:history="1">
        <w:r w:rsidRPr="00B920BB">
          <w:rPr>
            <w:rStyle w:val="Hyperlink"/>
            <w:rFonts w:cs="Times New Roman"/>
          </w:rPr>
          <w:t>link</w:t>
        </w:r>
      </w:hyperlink>
      <w:r w:rsidRPr="00B920BB">
        <w:t>.</w:t>
      </w:r>
    </w:p>
  </w:footnote>
  <w:footnote w:id="114">
    <w:p w14:paraId="5564FEB2" w14:textId="77777777" w:rsidR="003F3C88" w:rsidRPr="00B920BB" w:rsidRDefault="003F3C88" w:rsidP="00F43AD9">
      <w:pPr>
        <w:pStyle w:val="FootnoteText"/>
        <w:jc w:val="both"/>
      </w:pPr>
      <w:r w:rsidRPr="00B920BB">
        <w:rPr>
          <w:rStyle w:val="FootnoteReference"/>
          <w:rFonts w:cs="Times New Roman"/>
        </w:rPr>
        <w:footnoteRef/>
      </w:r>
      <w:r w:rsidRPr="00B920BB">
        <w:t xml:space="preserve"> Commission (2020) </w:t>
      </w:r>
      <w:r w:rsidRPr="00B920BB">
        <w:rPr>
          <w:i/>
          <w:iCs/>
        </w:rPr>
        <w:t>A EU Strategy to tackle organised Crime 2021-2025</w:t>
      </w:r>
      <w:r>
        <w:rPr>
          <w:i/>
          <w:iCs/>
        </w:rPr>
        <w:t>,</w:t>
      </w:r>
      <w:r w:rsidRPr="00B920BB">
        <w:t xml:space="preserve"> </w:t>
      </w:r>
      <w:hyperlink r:id="rId14" w:history="1">
        <w:r w:rsidRPr="00B920BB">
          <w:rPr>
            <w:rStyle w:val="Hyperlink"/>
            <w:rFonts w:cs="Times New Roman"/>
          </w:rPr>
          <w:t>link</w:t>
        </w:r>
      </w:hyperlink>
      <w:r w:rsidRPr="00B920BB">
        <w:t>.</w:t>
      </w:r>
    </w:p>
  </w:footnote>
  <w:footnote w:id="115">
    <w:p w14:paraId="1E8BC35D" w14:textId="77777777" w:rsidR="003F3C88" w:rsidRPr="00B920BB" w:rsidRDefault="003F3C88" w:rsidP="00F43AD9">
      <w:pPr>
        <w:pStyle w:val="FootnoteText"/>
        <w:jc w:val="both"/>
      </w:pPr>
      <w:r w:rsidRPr="00B920BB">
        <w:rPr>
          <w:rStyle w:val="FootnoteReference"/>
          <w:rFonts w:cs="Times New Roman"/>
        </w:rPr>
        <w:footnoteRef/>
      </w:r>
      <w:r w:rsidRPr="00B920BB">
        <w:t xml:space="preserve"> </w:t>
      </w:r>
      <w:r>
        <w:t xml:space="preserve">Commission (2021), </w:t>
      </w:r>
      <w:r w:rsidRPr="00B920BB">
        <w:t xml:space="preserve">COM(2021) 277 final, </w:t>
      </w:r>
      <w:r w:rsidRPr="00B920BB">
        <w:rPr>
          <w:i/>
        </w:rPr>
        <w:t>A strategy towards a fully functioning and resilient Schengen area</w:t>
      </w:r>
      <w:r>
        <w:rPr>
          <w:i/>
        </w:rPr>
        <w:t>.</w:t>
      </w:r>
    </w:p>
  </w:footnote>
  <w:footnote w:id="116">
    <w:p w14:paraId="72D2924F" w14:textId="77777777" w:rsidR="003F3C88" w:rsidRPr="00B920BB" w:rsidRDefault="003F3C88" w:rsidP="00F43AD9">
      <w:pPr>
        <w:pStyle w:val="FootnoteText"/>
        <w:jc w:val="both"/>
      </w:pPr>
      <w:r w:rsidRPr="00B920BB">
        <w:rPr>
          <w:rStyle w:val="FootnoteReference"/>
          <w:rFonts w:cs="Times New Roman"/>
        </w:rPr>
        <w:footnoteRef/>
      </w:r>
      <w:r w:rsidRPr="00B920BB">
        <w:t xml:space="preserve"> Council Document 13083/1/20, </w:t>
      </w:r>
      <w:r w:rsidRPr="00B920BB">
        <w:rPr>
          <w:i/>
        </w:rPr>
        <w:t>Council Conclusions on Internal Security and European Police Partnership</w:t>
      </w:r>
      <w:r>
        <w:rPr>
          <w:i/>
        </w:rPr>
        <w:t>,</w:t>
      </w:r>
      <w:r w:rsidRPr="00B920BB">
        <w:t xml:space="preserve"> </w:t>
      </w:r>
      <w:hyperlink r:id="rId15" w:history="1">
        <w:r w:rsidRPr="00B920BB">
          <w:rPr>
            <w:rStyle w:val="Hyperlink"/>
            <w:rFonts w:cs="Times New Roman"/>
          </w:rPr>
          <w:t>link</w:t>
        </w:r>
      </w:hyperlink>
      <w:r w:rsidRPr="00B920BB">
        <w:t>.</w:t>
      </w:r>
    </w:p>
  </w:footnote>
  <w:footnote w:id="117">
    <w:p w14:paraId="1343E480" w14:textId="77777777" w:rsidR="003F3C88" w:rsidRPr="00B920BB" w:rsidRDefault="003F3C88" w:rsidP="00F43AD9">
      <w:pPr>
        <w:pStyle w:val="FootnoteText"/>
        <w:jc w:val="both"/>
      </w:pPr>
      <w:r w:rsidRPr="00B920BB">
        <w:rPr>
          <w:rStyle w:val="FootnoteReference"/>
          <w:rFonts w:cs="Times New Roman"/>
        </w:rPr>
        <w:footnoteRef/>
      </w:r>
      <w:r w:rsidRPr="00B920BB">
        <w:t xml:space="preserve"> Commission Recommendation (EU) 2017/820 of 12 May 2017 on proportionate police checks and police cooperation in the Schengen area. Available at: </w:t>
      </w:r>
      <w:hyperlink r:id="rId16" w:history="1">
        <w:r w:rsidRPr="00B920BB">
          <w:rPr>
            <w:rStyle w:val="Hyperlink"/>
            <w:rFonts w:cs="Times New Roman"/>
          </w:rPr>
          <w:t>link</w:t>
        </w:r>
      </w:hyperlink>
      <w:r w:rsidRPr="00B920BB">
        <w:t>.</w:t>
      </w:r>
    </w:p>
  </w:footnote>
  <w:footnote w:id="118">
    <w:p w14:paraId="2EA1C975" w14:textId="77777777" w:rsidR="003F3C88" w:rsidRPr="00B920BB" w:rsidRDefault="003F3C88" w:rsidP="00F43AD9">
      <w:pPr>
        <w:pStyle w:val="FootnoteText"/>
        <w:jc w:val="both"/>
        <w:rPr>
          <w:lang w:val="en-GB"/>
        </w:rPr>
      </w:pPr>
      <w:r w:rsidRPr="00B920BB">
        <w:rPr>
          <w:rStyle w:val="FootnoteReference"/>
        </w:rPr>
        <w:footnoteRef/>
      </w:r>
      <w:r w:rsidRPr="00B920BB">
        <w:rPr>
          <w:lang w:val="en-GB"/>
        </w:rPr>
        <w:t xml:space="preserve"> </w:t>
      </w:r>
      <w:r>
        <w:rPr>
          <w:lang w:val="en-GB"/>
        </w:rPr>
        <w:t xml:space="preserve"> </w:t>
      </w:r>
      <w:r w:rsidRPr="00B920BB">
        <w:rPr>
          <w:lang w:val="en-GB"/>
        </w:rPr>
        <w:t xml:space="preserve">Commission Staff Working Document on the Functioning of the Schengen Evaluation and Monitoring Mechanism SWD/2020/327 final. Available at: </w:t>
      </w:r>
      <w:hyperlink r:id="rId17" w:history="1">
        <w:r w:rsidRPr="00B920BB">
          <w:rPr>
            <w:rStyle w:val="Hyperlink"/>
            <w:lang w:val="en-GB"/>
          </w:rPr>
          <w:t>link</w:t>
        </w:r>
      </w:hyperlink>
      <w:r w:rsidRPr="00B920BB">
        <w:rPr>
          <w:lang w:val="en-GB"/>
        </w:rPr>
        <w:t xml:space="preserve">. </w:t>
      </w:r>
    </w:p>
  </w:footnote>
  <w:footnote w:id="119">
    <w:p w14:paraId="0FBA67DF" w14:textId="77777777" w:rsidR="003F3C88" w:rsidRPr="00B920BB" w:rsidRDefault="003F3C88" w:rsidP="00F43AD9">
      <w:pPr>
        <w:pStyle w:val="FootnoteText"/>
        <w:jc w:val="both"/>
      </w:pPr>
      <w:r w:rsidRPr="00B920BB">
        <w:rPr>
          <w:rStyle w:val="FootnoteReference"/>
          <w:rFonts w:cs="Times New Roman"/>
        </w:rPr>
        <w:footnoteRef/>
      </w:r>
      <w:r w:rsidRPr="00B920BB">
        <w:t xml:space="preserve"> </w:t>
      </w:r>
      <w:r>
        <w:t>Council Document 5503/21, 28.1.</w:t>
      </w:r>
      <w:r w:rsidRPr="00B920BB">
        <w:t xml:space="preserve">2021, </w:t>
      </w:r>
      <w:r w:rsidRPr="00B920BB">
        <w:rPr>
          <w:i/>
        </w:rPr>
        <w:t>Secure communication channel in law enforcement cooperation – SIENA</w:t>
      </w:r>
      <w:r w:rsidRPr="00B920BB">
        <w:t>.</w:t>
      </w:r>
    </w:p>
  </w:footnote>
  <w:footnote w:id="120">
    <w:p w14:paraId="7D2F8BBB" w14:textId="287E7C36" w:rsidR="003F3C88" w:rsidRPr="00993919" w:rsidRDefault="003F3C88" w:rsidP="00A5548D">
      <w:pPr>
        <w:pStyle w:val="FootnoteText"/>
        <w:ind w:left="142" w:hanging="142"/>
      </w:pPr>
      <w:r>
        <w:rPr>
          <w:rStyle w:val="FootnoteReference"/>
        </w:rPr>
        <w:footnoteRef/>
      </w:r>
      <w:r>
        <w:t xml:space="preserve"> Complementary information can be found in Annex 3. </w:t>
      </w:r>
    </w:p>
  </w:footnote>
  <w:footnote w:id="121">
    <w:p w14:paraId="24108E34" w14:textId="77777777" w:rsidR="003F3C88" w:rsidRPr="001B37D1" w:rsidRDefault="003F3C88" w:rsidP="00A5548D">
      <w:pPr>
        <w:pStyle w:val="FootnoteText"/>
        <w:ind w:left="142" w:hanging="142"/>
        <w:jc w:val="both"/>
      </w:pPr>
      <w:r>
        <w:rPr>
          <w:rStyle w:val="FootnoteReference"/>
        </w:rPr>
        <w:footnoteRef/>
      </w:r>
      <w:r>
        <w:t xml:space="preserve"> Respectively only 10 and 20 Member States would be considered here (other Member States being adequately equipped).  </w:t>
      </w:r>
    </w:p>
  </w:footnote>
  <w:footnote w:id="122">
    <w:p w14:paraId="2A2C31BD" w14:textId="1D7A26E2" w:rsidR="003F3C88" w:rsidRPr="00953165" w:rsidRDefault="003F3C88" w:rsidP="00A5548D">
      <w:pPr>
        <w:pStyle w:val="FootnoteText"/>
        <w:ind w:left="142" w:hanging="142"/>
        <w:jc w:val="both"/>
      </w:pPr>
      <w:r>
        <w:rPr>
          <w:rStyle w:val="FootnoteReference"/>
        </w:rPr>
        <w:footnoteRef/>
      </w:r>
      <w:r>
        <w:t xml:space="preserve"> The information provided should be used carefully. It should be understood as "in case a CMS is needed for 10 Member States, then costs would be…" and "in case SIENA would need to be integrated into the CMS in 20 Member States, the costs would be…" etc. Thus, the table does not provide actual costs but rather refers to actual costs under specific circumstances.</w:t>
      </w:r>
    </w:p>
  </w:footnote>
  <w:footnote w:id="123">
    <w:p w14:paraId="2ABF9743" w14:textId="515DCB66" w:rsidR="003F3C88" w:rsidRPr="00380EEA" w:rsidRDefault="003F3C88" w:rsidP="00A5548D">
      <w:pPr>
        <w:pStyle w:val="FootnoteText"/>
        <w:ind w:left="142" w:hanging="142"/>
        <w:rPr>
          <w:lang w:val="de-DE"/>
        </w:rPr>
      </w:pPr>
      <w:r>
        <w:rPr>
          <w:rStyle w:val="FootnoteReference"/>
        </w:rPr>
        <w:footnoteRef/>
      </w:r>
      <w:r>
        <w:t xml:space="preserve"> </w:t>
      </w:r>
      <w:r>
        <w:rPr>
          <w:lang w:val="de-DE"/>
        </w:rPr>
        <w:t>Regulation (EU) 2021/1149.</w:t>
      </w:r>
    </w:p>
  </w:footnote>
  <w:footnote w:id="124">
    <w:p w14:paraId="279BA2AE" w14:textId="3AEC3474" w:rsidR="003F3C88" w:rsidRPr="00380EEA" w:rsidRDefault="003F3C88" w:rsidP="00A5548D">
      <w:pPr>
        <w:pStyle w:val="FootnoteText"/>
        <w:ind w:left="142" w:hanging="142"/>
        <w:rPr>
          <w:lang w:val="en-GB"/>
        </w:rPr>
      </w:pPr>
      <w:r w:rsidRPr="00380EEA">
        <w:rPr>
          <w:rStyle w:val="FootnoteReference"/>
          <w:lang w:val="en-GB"/>
        </w:rPr>
        <w:footnoteRef/>
      </w:r>
      <w:r w:rsidRPr="00380EEA">
        <w:rPr>
          <w:lang w:val="en-GB"/>
        </w:rPr>
        <w:t xml:space="preserve"> See Articles 3(2)(a) and (b) of Regulation (EU) 2021/1149.</w:t>
      </w:r>
    </w:p>
  </w:footnote>
  <w:footnote w:id="125">
    <w:p w14:paraId="7C7CF91F" w14:textId="77777777" w:rsidR="003F3C88" w:rsidRPr="003E1D75" w:rsidRDefault="003F3C88" w:rsidP="00A5548D">
      <w:pPr>
        <w:pStyle w:val="FootnoteText"/>
        <w:ind w:left="142" w:hanging="142"/>
        <w:jc w:val="both"/>
      </w:pPr>
      <w:r w:rsidRPr="003E1D75">
        <w:rPr>
          <w:rStyle w:val="FootnoteReference"/>
          <w:rFonts w:cs="Times New Roman"/>
        </w:rPr>
        <w:footnoteRef/>
      </w:r>
      <w:r w:rsidRPr="003E1D75">
        <w:t xml:space="preserve"> Depending on the type of case, this could mean e.g. apprehensions and arrests.</w:t>
      </w:r>
    </w:p>
  </w:footnote>
  <w:footnote w:id="126">
    <w:p w14:paraId="616E15D1" w14:textId="77777777" w:rsidR="003F3C88" w:rsidRDefault="003F3C88" w:rsidP="00A5548D">
      <w:pPr>
        <w:pStyle w:val="FootnoteText"/>
        <w:ind w:left="142" w:hanging="142"/>
        <w:jc w:val="both"/>
        <w:rPr>
          <w:lang w:val="de-DE"/>
        </w:rPr>
      </w:pPr>
      <w:r>
        <w:rPr>
          <w:rStyle w:val="FootnoteReference"/>
        </w:rPr>
        <w:footnoteRef/>
      </w:r>
      <w:r w:rsidRPr="00D019CA">
        <w:rPr>
          <w:lang w:val="pt-BR"/>
        </w:rPr>
        <w:t xml:space="preserve"> COM(2020) 690 final, (19.10.2020), </w:t>
      </w:r>
      <w:hyperlink r:id="rId18" w:history="1">
        <w:r w:rsidRPr="00D019CA">
          <w:rPr>
            <w:rStyle w:val="Hyperlink"/>
            <w:rFonts w:cs="Times New Roman"/>
            <w:lang w:val="pt-BR"/>
          </w:rPr>
          <w:t>https://ec.europa.eu/info/publications/2021-commission-work-programme-key-documents_en</w:t>
        </w:r>
      </w:hyperlink>
    </w:p>
  </w:footnote>
  <w:footnote w:id="127">
    <w:p w14:paraId="5747E0FF" w14:textId="77777777" w:rsidR="003F3C88" w:rsidRPr="00B61B4F" w:rsidRDefault="003F3C88" w:rsidP="00A5548D">
      <w:pPr>
        <w:pStyle w:val="FootnoteText"/>
        <w:ind w:left="142" w:hanging="142"/>
        <w:jc w:val="both"/>
        <w:rPr>
          <w:lang w:val="de-DE"/>
        </w:rPr>
      </w:pPr>
      <w:r w:rsidRPr="00B61B4F">
        <w:rPr>
          <w:rStyle w:val="FootnoteReference"/>
          <w:rFonts w:cs="Times New Roman"/>
        </w:rPr>
        <w:footnoteRef/>
      </w:r>
      <w:r>
        <w:rPr>
          <w:lang w:val="de-DE"/>
        </w:rPr>
        <w:t xml:space="preserve"> </w:t>
      </w:r>
      <w:hyperlink r:id="rId19" w:history="1">
        <w:r w:rsidRPr="00B61B4F">
          <w:rPr>
            <w:rStyle w:val="Hyperlink"/>
            <w:rFonts w:cs="Times New Roman"/>
            <w:lang w:val="de-DE"/>
          </w:rPr>
          <w:t>https://ec.europa.eu/info/law/better-regulation/have-your-say/initiatives/12614-EU-police-cooperation</w:t>
        </w:r>
      </w:hyperlink>
    </w:p>
  </w:footnote>
  <w:footnote w:id="128">
    <w:p w14:paraId="7B8F69F4" w14:textId="77777777" w:rsidR="003F3C88" w:rsidRPr="002A1EFB" w:rsidRDefault="003F3C88" w:rsidP="00A5548D">
      <w:pPr>
        <w:pStyle w:val="FootnoteText"/>
        <w:ind w:left="142" w:hanging="142"/>
        <w:jc w:val="both"/>
        <w:rPr>
          <w:lang w:val="de-DE"/>
        </w:rPr>
      </w:pPr>
      <w:r w:rsidRPr="005F2C64">
        <w:rPr>
          <w:rStyle w:val="FootnoteReference"/>
          <w:rFonts w:cs="Times New Roman"/>
        </w:rPr>
        <w:footnoteRef/>
      </w:r>
      <w:r>
        <w:rPr>
          <w:lang w:val="de-DE"/>
        </w:rPr>
        <w:t xml:space="preserve"> </w:t>
      </w:r>
      <w:hyperlink r:id="rId20" w:history="1">
        <w:r w:rsidRPr="002A1EFB">
          <w:rPr>
            <w:rStyle w:val="Hyperlink"/>
            <w:rFonts w:cs="Times New Roman"/>
            <w:lang w:val="de-DE"/>
          </w:rPr>
          <w:t>EU police cooperation code – tackling cross-border serious &amp; organised crime (europa.eu)</w:t>
        </w:r>
      </w:hyperlink>
    </w:p>
  </w:footnote>
  <w:footnote w:id="129">
    <w:p w14:paraId="29F6E36B" w14:textId="77777777" w:rsidR="003F3C88" w:rsidRPr="00335971" w:rsidRDefault="003F3C88" w:rsidP="006E4959">
      <w:pPr>
        <w:pStyle w:val="FootnoteText"/>
        <w:rPr>
          <w:lang w:val="de-DE"/>
        </w:rPr>
      </w:pPr>
      <w:r w:rsidRPr="004B4FB4">
        <w:rPr>
          <w:rStyle w:val="FootnoteReference"/>
        </w:rPr>
        <w:footnoteRef/>
      </w:r>
      <w:r w:rsidRPr="00335971">
        <w:rPr>
          <w:lang w:val="de-DE"/>
        </w:rPr>
        <w:t xml:space="preserve"> Ref. Ares(2021)58622323 – 27/09/2021.</w:t>
      </w:r>
    </w:p>
  </w:footnote>
  <w:footnote w:id="130">
    <w:p w14:paraId="47E0B53E" w14:textId="77777777" w:rsidR="003F3C88" w:rsidRPr="002A1EFB" w:rsidRDefault="003F3C88" w:rsidP="00A5548D">
      <w:pPr>
        <w:pStyle w:val="FootnoteText"/>
        <w:ind w:left="142" w:hanging="142"/>
        <w:jc w:val="both"/>
        <w:rPr>
          <w:lang w:val="de-DE"/>
        </w:rPr>
      </w:pPr>
      <w:r w:rsidRPr="0002133C">
        <w:rPr>
          <w:rStyle w:val="FootnoteReference"/>
          <w:rFonts w:cs="Times New Roman"/>
        </w:rPr>
        <w:footnoteRef/>
      </w:r>
      <w:r>
        <w:rPr>
          <w:lang w:val="de-DE"/>
        </w:rPr>
        <w:t xml:space="preserve"> </w:t>
      </w:r>
      <w:hyperlink r:id="rId21" w:history="1">
        <w:r w:rsidRPr="002A1EFB">
          <w:rPr>
            <w:rStyle w:val="Hyperlink"/>
            <w:rFonts w:cs="Times New Roman"/>
            <w:lang w:val="de-DE"/>
          </w:rPr>
          <w:t>EU police cooperation code – tackling cross-border serious &amp; organised crime (europa.eu)</w:t>
        </w:r>
      </w:hyperlink>
    </w:p>
  </w:footnote>
  <w:footnote w:id="131">
    <w:p w14:paraId="1295F241" w14:textId="6BEEEE61" w:rsidR="003F3C88" w:rsidRPr="001521FB" w:rsidRDefault="003F3C88" w:rsidP="00A5548D">
      <w:pPr>
        <w:pStyle w:val="FootnoteText"/>
        <w:ind w:left="142" w:hanging="142"/>
        <w:jc w:val="both"/>
        <w:rPr>
          <w:lang w:val="de-DE"/>
        </w:rPr>
      </w:pPr>
      <w:r w:rsidRPr="0002133C">
        <w:rPr>
          <w:rStyle w:val="FootnoteReference"/>
          <w:rFonts w:cs="Times New Roman"/>
        </w:rPr>
        <w:footnoteRef/>
      </w:r>
      <w:r w:rsidRPr="001521FB">
        <w:rPr>
          <w:lang w:val="de-DE"/>
        </w:rPr>
        <w:t xml:space="preserve"> </w:t>
      </w:r>
      <w:r>
        <w:rPr>
          <w:lang w:val="de-DE"/>
        </w:rPr>
        <w:t xml:space="preserve">See the results' analysis in </w:t>
      </w:r>
      <w:r w:rsidRPr="004B4FB4">
        <w:rPr>
          <w:lang w:val="de-DE"/>
        </w:rPr>
        <w:t xml:space="preserve">Annex </w:t>
      </w:r>
      <w:r w:rsidRPr="006241B7">
        <w:rPr>
          <w:lang w:val="de-DE"/>
        </w:rPr>
        <w:t>2</w:t>
      </w:r>
      <w:r w:rsidRPr="004B4FB4">
        <w:rPr>
          <w:lang w:val="de-DE"/>
        </w:rPr>
        <w:t>.</w:t>
      </w:r>
    </w:p>
  </w:footnote>
  <w:footnote w:id="132">
    <w:p w14:paraId="1D7B5C37" w14:textId="549CB58C" w:rsidR="003F3C88" w:rsidRPr="001521FB" w:rsidRDefault="003F3C88" w:rsidP="00A5548D">
      <w:pPr>
        <w:pStyle w:val="FootnoteText"/>
        <w:ind w:left="142" w:hanging="142"/>
        <w:jc w:val="both"/>
        <w:rPr>
          <w:lang w:val="de-DE"/>
        </w:rPr>
      </w:pPr>
      <w:r w:rsidRPr="0052119A">
        <w:rPr>
          <w:rStyle w:val="FootnoteReference"/>
          <w:rFonts w:cs="Times New Roman"/>
        </w:rPr>
        <w:footnoteRef/>
      </w:r>
      <w:r w:rsidRPr="001521FB">
        <w:rPr>
          <w:lang w:val="de-DE"/>
        </w:rPr>
        <w:t xml:space="preserve"> </w:t>
      </w:r>
      <w:r w:rsidR="00820639">
        <w:rPr>
          <w:rFonts w:cs="Times New Roman"/>
          <w:lang w:val="de-DE"/>
        </w:rPr>
        <w:fldChar w:fldCharType="begin"/>
      </w:r>
      <w:r w:rsidR="00820639" w:rsidRPr="00820639">
        <w:rPr>
          <w:rFonts w:cs="Times New Roman"/>
          <w:lang w:val="de-DE"/>
        </w:rPr>
        <w:instrText>https://ec.europa.eu/eusurvey/home/welcome</w:instrText>
      </w:r>
      <w:r w:rsidR="00820639">
        <w:rPr>
          <w:rFonts w:cs="Times New Roman"/>
          <w:lang w:val="de-DE"/>
        </w:rPr>
        <w:fldChar w:fldCharType="separate"/>
      </w:r>
      <w:r w:rsidR="00820639" w:rsidRPr="00820639">
        <w:rPr>
          <w:rStyle w:val="Hyperlink"/>
          <w:rFonts w:cs="Times New Roman"/>
          <w:lang w:val="de-DE"/>
        </w:rPr>
        <w:t>https://ec.europa.eu/eusurvey/home/welcome</w:t>
      </w:r>
      <w:r w:rsidR="00820639">
        <w:rPr>
          <w:rFonts w:cs="Times New Roman"/>
          <w:lang w:val="de-DE"/>
        </w:rPr>
        <w:fldChar w:fldCharType="end"/>
      </w:r>
    </w:p>
  </w:footnote>
  <w:footnote w:id="133">
    <w:p w14:paraId="208D7117" w14:textId="4239D61B" w:rsidR="003F3C88" w:rsidRPr="00C83EDA" w:rsidRDefault="003F3C88" w:rsidP="00A5548D">
      <w:pPr>
        <w:pStyle w:val="FootnoteText"/>
        <w:ind w:left="142" w:hanging="142"/>
      </w:pPr>
      <w:r>
        <w:rPr>
          <w:rStyle w:val="FootnoteReference"/>
        </w:rPr>
        <w:footnoteRef/>
      </w:r>
      <w:r>
        <w:t xml:space="preserve"> See summaries of the meetings in A</w:t>
      </w:r>
      <w:r w:rsidRPr="004B4FB4">
        <w:t xml:space="preserve">nnex </w:t>
      </w:r>
      <w:r w:rsidRPr="006241B7">
        <w:t>8</w:t>
      </w:r>
      <w:r w:rsidRPr="004B4FB4">
        <w:t>.</w:t>
      </w:r>
    </w:p>
  </w:footnote>
  <w:footnote w:id="134">
    <w:p w14:paraId="6D38414A" w14:textId="77777777" w:rsidR="003F3C88" w:rsidRPr="00294EED" w:rsidRDefault="003F3C88" w:rsidP="00A5548D">
      <w:pPr>
        <w:pStyle w:val="FootnoteText"/>
        <w:ind w:left="142" w:hanging="142"/>
        <w:jc w:val="both"/>
      </w:pPr>
      <w:r w:rsidRPr="00294EED">
        <w:rPr>
          <w:rStyle w:val="FootnoteReference"/>
          <w:rFonts w:cs="Times New Roman"/>
        </w:rPr>
        <w:footnoteRef/>
      </w:r>
      <w:r>
        <w:t xml:space="preserve"> </w:t>
      </w:r>
      <w:r w:rsidRPr="00294EED">
        <w:t xml:space="preserve">Law Enforcement Working Party (LEWP) is a Council preparatory body, which handles work relating to legislative activities as well as cross-border policing </w:t>
      </w:r>
      <w:r>
        <w:t>and related operational issues.</w:t>
      </w:r>
    </w:p>
  </w:footnote>
  <w:footnote w:id="135">
    <w:p w14:paraId="222DAE18" w14:textId="77777777" w:rsidR="003F3C88" w:rsidRPr="00294EED" w:rsidRDefault="003F3C88" w:rsidP="00A5548D">
      <w:pPr>
        <w:pStyle w:val="FootnoteText"/>
        <w:ind w:left="142" w:hanging="142"/>
        <w:jc w:val="both"/>
      </w:pPr>
      <w:r w:rsidRPr="00294EED">
        <w:rPr>
          <w:rStyle w:val="FootnoteReference"/>
          <w:rFonts w:cs="Times New Roman"/>
        </w:rPr>
        <w:footnoteRef/>
      </w:r>
      <w:r w:rsidRPr="00294EED">
        <w:t xml:space="preserve"> T</w:t>
      </w:r>
      <w:r w:rsidRPr="00294EED">
        <w:rPr>
          <w:color w:val="3F4A52"/>
          <w:shd w:val="clear" w:color="auto" w:fill="FFFFFF"/>
        </w:rPr>
        <w:t>he Customs Cooperation Working Party handles work regarding operational cooperation among national customs administrations and with a view to increasing their enforcement capabilities.</w:t>
      </w:r>
    </w:p>
  </w:footnote>
  <w:footnote w:id="136">
    <w:p w14:paraId="4D7C8C16" w14:textId="4A878888" w:rsidR="003F3C88" w:rsidRPr="00456EEE" w:rsidRDefault="003F3C88" w:rsidP="00A5548D">
      <w:pPr>
        <w:pStyle w:val="FootnoteText"/>
        <w:ind w:left="142" w:hanging="142"/>
        <w:rPr>
          <w:lang w:val="en-GB"/>
        </w:rPr>
      </w:pPr>
      <w:r>
        <w:rPr>
          <w:rStyle w:val="FootnoteReference"/>
        </w:rPr>
        <w:footnoteRef/>
      </w:r>
      <w:r>
        <w:t xml:space="preserve"> </w:t>
      </w:r>
      <w:r w:rsidRPr="00456EEE">
        <w:rPr>
          <w:lang w:val="en-GB"/>
        </w:rPr>
        <w:t xml:space="preserve">See the list of stakeholders consulted in </w:t>
      </w:r>
      <w:r>
        <w:rPr>
          <w:lang w:val="en-GB"/>
        </w:rPr>
        <w:t>A</w:t>
      </w:r>
      <w:r w:rsidRPr="00456EEE">
        <w:rPr>
          <w:lang w:val="en-GB"/>
        </w:rPr>
        <w:t xml:space="preserve">nnex </w:t>
      </w:r>
      <w:r>
        <w:rPr>
          <w:lang w:val="en-GB"/>
        </w:rPr>
        <w:t>2</w:t>
      </w:r>
      <w:r w:rsidRPr="00456EEE">
        <w:rPr>
          <w:lang w:val="en-GB"/>
        </w:rPr>
        <w:t xml:space="preserve">. </w:t>
      </w:r>
    </w:p>
  </w:footnote>
  <w:footnote w:id="137">
    <w:p w14:paraId="3E16F8C4" w14:textId="77777777" w:rsidR="003F3C88" w:rsidRPr="002A1EFB" w:rsidRDefault="003F3C88" w:rsidP="00A5548D">
      <w:pPr>
        <w:pStyle w:val="FootnoteText"/>
        <w:ind w:left="142" w:hanging="142"/>
        <w:jc w:val="both"/>
      </w:pPr>
      <w:r w:rsidRPr="00C62A2B">
        <w:rPr>
          <w:rStyle w:val="FootnoteReference"/>
          <w:rFonts w:cs="Times New Roman"/>
        </w:rPr>
        <w:footnoteRef/>
      </w:r>
      <w:r>
        <w:t xml:space="preserve"> </w:t>
      </w:r>
      <w:hyperlink r:id="rId22" w:history="1">
        <w:r w:rsidRPr="002A1EFB">
          <w:rPr>
            <w:rStyle w:val="Hyperlink"/>
            <w:rFonts w:cs="Times New Roman"/>
          </w:rPr>
          <w:t>EU police cooperation code – tackling cross-border serious &amp; organised crime (europa.eu)</w:t>
        </w:r>
      </w:hyperlink>
    </w:p>
  </w:footnote>
  <w:footnote w:id="138">
    <w:p w14:paraId="125249B4" w14:textId="77777777" w:rsidR="003F3C88" w:rsidRPr="005E7683" w:rsidRDefault="003F3C88" w:rsidP="00A5548D">
      <w:pPr>
        <w:pStyle w:val="FootnoteText"/>
        <w:ind w:left="142" w:hanging="142"/>
        <w:jc w:val="both"/>
        <w:rPr>
          <w:lang w:val="de-DE"/>
        </w:rPr>
      </w:pPr>
      <w:r>
        <w:rPr>
          <w:rStyle w:val="FootnoteReference"/>
        </w:rPr>
        <w:footnoteRef/>
      </w:r>
      <w:r>
        <w:t xml:space="preserve"> The number of responses (“N”) denotes the number of valid answers for a specific question, not the number of replies to the survey overall. Therefore, 62 responses can e.g. refer to a share of 98% of respondents whereas, at the same time, 131 responses can also correspond to a share of 82%. The “N”, thus, also always needs to be understood in view of the specific questions and number of answers given to a particular question – not the overall number of respondents to the survey.</w:t>
      </w:r>
    </w:p>
  </w:footnote>
  <w:footnote w:id="139">
    <w:p w14:paraId="79E23157" w14:textId="77777777" w:rsidR="003F3C88" w:rsidRPr="00B236FF" w:rsidRDefault="003F3C88" w:rsidP="00A5548D">
      <w:pPr>
        <w:pStyle w:val="FootnoteText"/>
        <w:ind w:left="142" w:hanging="142"/>
      </w:pPr>
      <w:r>
        <w:rPr>
          <w:rStyle w:val="FootnoteReference"/>
        </w:rPr>
        <w:footnoteRef/>
      </w:r>
      <w:r>
        <w:t xml:space="preserve"> Eurostat (2021) Population on 1 January. Available at: </w:t>
      </w:r>
      <w:hyperlink r:id="rId23" w:history="1">
        <w:r w:rsidRPr="00926A9C">
          <w:rPr>
            <w:rStyle w:val="Hyperlink"/>
          </w:rPr>
          <w:t>link</w:t>
        </w:r>
      </w:hyperlink>
      <w:r>
        <w:t>.</w:t>
      </w:r>
    </w:p>
  </w:footnote>
  <w:footnote w:id="140">
    <w:p w14:paraId="758BC439" w14:textId="77777777" w:rsidR="003F3C88" w:rsidRPr="007B1445" w:rsidRDefault="003F3C88" w:rsidP="001246D3">
      <w:pPr>
        <w:pStyle w:val="FootnoteText"/>
        <w:jc w:val="both"/>
      </w:pPr>
      <w:r w:rsidRPr="007B1445">
        <w:rPr>
          <w:rStyle w:val="FootnoteReference"/>
        </w:rPr>
        <w:footnoteRef/>
      </w:r>
      <w:r w:rsidRPr="007B1445">
        <w:t xml:space="preserve"> Treaty between the Kingdom of the Netherlands, Kingdom of Belgium and the Grand Duchy of Luxembourg on police cooperation (2018)</w:t>
      </w:r>
      <w:r>
        <w:t>.</w:t>
      </w:r>
      <w:r w:rsidRPr="007B1445">
        <w:t xml:space="preserve"> </w:t>
      </w:r>
    </w:p>
  </w:footnote>
  <w:footnote w:id="141">
    <w:p w14:paraId="0DF3B506" w14:textId="77777777" w:rsidR="003F3C88" w:rsidRPr="007B1445" w:rsidRDefault="003F3C88" w:rsidP="001246D3">
      <w:pPr>
        <w:pStyle w:val="FootnoteText"/>
        <w:jc w:val="both"/>
      </w:pPr>
      <w:r w:rsidRPr="007B1445">
        <w:rPr>
          <w:rStyle w:val="FootnoteReference"/>
        </w:rPr>
        <w:footnoteRef/>
      </w:r>
      <w:r w:rsidRPr="007B1445">
        <w:t xml:space="preserve"> Treaty between the Czech Republic and the Federal Republic of Germany on Police Cooperation and on amendments to the Treaty between the Czech Republic and the Federal Republic of Germany on amendments to the European Convention on Mutual Assistance in Criminal Matters from 20 April 1959 and the facilitation of its application from 2 February 2000</w:t>
      </w:r>
      <w:r>
        <w:t>.</w:t>
      </w:r>
      <w:r w:rsidRPr="007B1445">
        <w:t xml:space="preserve"> </w:t>
      </w:r>
    </w:p>
  </w:footnote>
  <w:footnote w:id="142">
    <w:p w14:paraId="59745376" w14:textId="77777777" w:rsidR="003F3C88" w:rsidRPr="00653FA2" w:rsidRDefault="003F3C88" w:rsidP="001246D3">
      <w:pPr>
        <w:pStyle w:val="FootnoteText"/>
        <w:jc w:val="both"/>
      </w:pPr>
      <w:r w:rsidRPr="00653FA2">
        <w:rPr>
          <w:rStyle w:val="FootnoteReference"/>
        </w:rPr>
        <w:footnoteRef/>
      </w:r>
      <w:r w:rsidRPr="00653FA2">
        <w:t xml:space="preserve"> Agreement between the Swiss Federal Council and the government of the Republic of France on Cross-border Cooperation in judicial, police and custom matters (2007)</w:t>
      </w:r>
      <w:r>
        <w:t>.</w:t>
      </w:r>
    </w:p>
  </w:footnote>
  <w:footnote w:id="143">
    <w:p w14:paraId="5EB2BD1E" w14:textId="77777777" w:rsidR="003F3C88" w:rsidRPr="0055737A" w:rsidRDefault="003F3C88" w:rsidP="001246D3">
      <w:pPr>
        <w:pStyle w:val="FootnoteText"/>
        <w:jc w:val="both"/>
      </w:pPr>
      <w:r w:rsidRPr="00653FA2">
        <w:rPr>
          <w:rStyle w:val="FootnoteReference"/>
        </w:rPr>
        <w:footnoteRef/>
      </w:r>
      <w:r w:rsidRPr="00653FA2">
        <w:t xml:space="preserve"> </w:t>
      </w:r>
      <w:r w:rsidRPr="00A97C9B">
        <w:t>Nordic Administrative Agreement on Cooperation between Police Authorities in the Nordic countries</w:t>
      </w:r>
      <w:r>
        <w:t xml:space="preserve"> (2016).</w:t>
      </w:r>
    </w:p>
  </w:footnote>
  <w:footnote w:id="144">
    <w:p w14:paraId="0A0E0D48" w14:textId="77777777" w:rsidR="003F3C88" w:rsidRPr="00F27AC1" w:rsidRDefault="003F3C88" w:rsidP="001246D3">
      <w:pPr>
        <w:pStyle w:val="FootnoteText"/>
        <w:jc w:val="both"/>
      </w:pPr>
      <w:r>
        <w:rPr>
          <w:rStyle w:val="FootnoteReference"/>
        </w:rPr>
        <w:footnoteRef/>
      </w:r>
      <w:r>
        <w:t xml:space="preserve"> </w:t>
      </w:r>
      <w:r w:rsidRPr="00192CFB">
        <w:t>The Schengen acquis - Convention implementing the Schengen Agreement of 14 June 1985 between the Governments of the States of the Benelux Economic Union, the Federal Republic of Germany and the French Republic on the gradual abolition of checks at their common borders (1990)</w:t>
      </w:r>
      <w:r>
        <w:t>. Available</w:t>
      </w:r>
      <w:r w:rsidRPr="00192CFB">
        <w:t xml:space="preserve"> at: </w:t>
      </w:r>
      <w:hyperlink r:id="rId24" w:history="1">
        <w:r w:rsidRPr="00595683">
          <w:rPr>
            <w:rStyle w:val="Hyperlink"/>
          </w:rPr>
          <w:t>link</w:t>
        </w:r>
      </w:hyperlink>
      <w:r>
        <w:t>.</w:t>
      </w:r>
    </w:p>
  </w:footnote>
  <w:footnote w:id="145">
    <w:p w14:paraId="58202D6A" w14:textId="77777777" w:rsidR="003F3C88" w:rsidRPr="00653FA2" w:rsidRDefault="003F3C88" w:rsidP="001246D3">
      <w:pPr>
        <w:pStyle w:val="FootnoteText"/>
        <w:jc w:val="both"/>
      </w:pPr>
      <w:r>
        <w:rPr>
          <w:rStyle w:val="FootnoteReference"/>
        </w:rPr>
        <w:footnoteRef/>
      </w:r>
      <w:r>
        <w:t xml:space="preserve"> </w:t>
      </w:r>
      <w:r w:rsidRPr="00653FA2">
        <w:t xml:space="preserve">Prüm Treaty (on the stepping up of cross-border cooperation, particularly in combating terrorism, cross-border crime and illegal migration). Available at: </w:t>
      </w:r>
      <w:hyperlink r:id="rId25" w:history="1">
        <w:r w:rsidRPr="00653FA2">
          <w:t>link</w:t>
        </w:r>
      </w:hyperlink>
      <w:r>
        <w:t xml:space="preserve"> </w:t>
      </w:r>
    </w:p>
  </w:footnote>
  <w:footnote w:id="146">
    <w:p w14:paraId="5A3A3AF6" w14:textId="77777777" w:rsidR="003F3C88" w:rsidRPr="00296836" w:rsidRDefault="003F3C88" w:rsidP="00170573">
      <w:pPr>
        <w:pStyle w:val="FootnoteText"/>
        <w:jc w:val="both"/>
      </w:pPr>
      <w:r w:rsidRPr="00296836">
        <w:rPr>
          <w:rStyle w:val="FootnoteReference"/>
        </w:rPr>
        <w:footnoteRef/>
      </w:r>
      <w:r w:rsidRPr="00296836">
        <w:t xml:space="preserve"> The transparency register has been set up to answer core questions</w:t>
      </w:r>
      <w:r>
        <w:t>,</w:t>
      </w:r>
      <w:r w:rsidRPr="00296836">
        <w:t xml:space="preserve"> such as what interests are being pursued, by whom and with what budgets. The system is operated jointly by the European Parliament and the European Commission. Available at: </w:t>
      </w:r>
      <w:hyperlink r:id="rId26" w:history="1">
        <w:r w:rsidRPr="00296836">
          <w:rPr>
            <w:rStyle w:val="Hyperlink"/>
          </w:rPr>
          <w:t>link.</w:t>
        </w:r>
      </w:hyperlink>
      <w:r w:rsidRPr="00296836">
        <w:t xml:space="preserve"> </w:t>
      </w:r>
    </w:p>
  </w:footnote>
  <w:footnote w:id="147">
    <w:p w14:paraId="06F4DF64" w14:textId="77777777" w:rsidR="003F3C88" w:rsidRPr="00296836" w:rsidRDefault="003F3C88" w:rsidP="00170573">
      <w:pPr>
        <w:pStyle w:val="FootnoteText"/>
        <w:jc w:val="both"/>
      </w:pPr>
      <w:r w:rsidRPr="00296836">
        <w:rPr>
          <w:rStyle w:val="FootnoteReference"/>
        </w:rPr>
        <w:footnoteRef/>
      </w:r>
      <w:r w:rsidRPr="00296836">
        <w:t xml:space="preserve"> Percentage of respondents </w:t>
      </w:r>
      <w:r>
        <w:t>stating</w:t>
      </w:r>
      <w:r w:rsidRPr="00296836">
        <w:t xml:space="preserve"> that the number of crimes has slightly or significantly increased: cybercrime 93% (n=1</w:t>
      </w:r>
      <w:r>
        <w:t>3</w:t>
      </w:r>
      <w:r w:rsidRPr="00296836">
        <w:t>), drugs 93% (n=1</w:t>
      </w:r>
      <w:r>
        <w:t>3</w:t>
      </w:r>
      <w:r w:rsidRPr="00296836">
        <w:t>),</w:t>
      </w:r>
      <w:r w:rsidRPr="00ED0DE3">
        <w:t xml:space="preserve"> </w:t>
      </w:r>
      <w:r w:rsidRPr="00296836">
        <w:t>trafficking in human beings 85% (n=1</w:t>
      </w:r>
      <w:r>
        <w:t>1</w:t>
      </w:r>
      <w:r w:rsidRPr="00296836">
        <w:t>)</w:t>
      </w:r>
      <w:r>
        <w:t>,</w:t>
      </w:r>
      <w:r w:rsidRPr="00ED0DE3">
        <w:t xml:space="preserve"> </w:t>
      </w:r>
      <w:r w:rsidRPr="00296836">
        <w:t>organised property crime 75% (n=</w:t>
      </w:r>
      <w:r>
        <w:t>9</w:t>
      </w:r>
      <w:r w:rsidRPr="00296836">
        <w:t>), environmental crimes 62% (n=8),</w:t>
      </w:r>
      <w:r w:rsidRPr="00ED0DE3">
        <w:t xml:space="preserve"> </w:t>
      </w:r>
      <w:r w:rsidRPr="00296836">
        <w:t>trafficking of firearms 62% (n=</w:t>
      </w:r>
      <w:r>
        <w:t>8</w:t>
      </w:r>
      <w:r w:rsidRPr="00296836">
        <w:t>)</w:t>
      </w:r>
      <w:r>
        <w:t>,</w:t>
      </w:r>
      <w:r w:rsidRPr="00ED0DE3">
        <w:t xml:space="preserve"> </w:t>
      </w:r>
      <w:r w:rsidRPr="00296836">
        <w:t>illicit tobacco trade 58% (n=7), financial crimes 54% (n=7)</w:t>
      </w:r>
      <w:r>
        <w:t xml:space="preserve"> and</w:t>
      </w:r>
      <w:r w:rsidRPr="00296836">
        <w:t xml:space="preserve"> terrorism 54% (n=</w:t>
      </w:r>
      <w:r>
        <w:t>7</w:t>
      </w:r>
      <w:r w:rsidRPr="00296836">
        <w:t>)</w:t>
      </w:r>
      <w:r>
        <w:t>.</w:t>
      </w:r>
    </w:p>
  </w:footnote>
  <w:footnote w:id="148">
    <w:p w14:paraId="7B2AA1A4" w14:textId="77777777" w:rsidR="003F3C88" w:rsidRPr="00296836" w:rsidRDefault="003F3C88" w:rsidP="00170573">
      <w:pPr>
        <w:pStyle w:val="FootnoteText"/>
        <w:jc w:val="both"/>
      </w:pPr>
      <w:r w:rsidRPr="00296836">
        <w:rPr>
          <w:rStyle w:val="FootnoteReference"/>
        </w:rPr>
        <w:footnoteRef/>
      </w:r>
      <w:r w:rsidRPr="00296836">
        <w:t xml:space="preserve"> Percentage of respondents </w:t>
      </w:r>
      <w:r>
        <w:t>stating</w:t>
      </w:r>
      <w:r w:rsidRPr="00296836">
        <w:t xml:space="preserve"> that the number of crimes will slightly or significantly increase: cybercrime 93% (n=1</w:t>
      </w:r>
      <w:r>
        <w:t>4</w:t>
      </w:r>
      <w:r w:rsidRPr="00296836">
        <w:t>),</w:t>
      </w:r>
      <w:r w:rsidRPr="00ED0DE3">
        <w:t xml:space="preserve"> </w:t>
      </w:r>
      <w:r w:rsidRPr="00296836">
        <w:t>financial crimes 71% (n=10),</w:t>
      </w:r>
      <w:r w:rsidRPr="00ED0DE3">
        <w:t xml:space="preserve"> </w:t>
      </w:r>
      <w:r w:rsidRPr="00296836">
        <w:t>trafficking of firearms 71% (n=</w:t>
      </w:r>
      <w:r>
        <w:t>10</w:t>
      </w:r>
      <w:r w:rsidRPr="00296836">
        <w:t>)</w:t>
      </w:r>
      <w:r>
        <w:t>,</w:t>
      </w:r>
      <w:r w:rsidRPr="00296836">
        <w:t xml:space="preserve"> drugs 67% (n=</w:t>
      </w:r>
      <w:r>
        <w:t>10</w:t>
      </w:r>
      <w:r w:rsidRPr="00296836">
        <w:t>),</w:t>
      </w:r>
      <w:r w:rsidRPr="00ED0DE3">
        <w:t xml:space="preserve"> </w:t>
      </w:r>
      <w:r w:rsidRPr="00296836">
        <w:t>terrorism 67% (n=</w:t>
      </w:r>
      <w:r>
        <w:t>10</w:t>
      </w:r>
      <w:r w:rsidRPr="00296836">
        <w:t>),</w:t>
      </w:r>
      <w:r>
        <w:t xml:space="preserve"> </w:t>
      </w:r>
      <w:r w:rsidRPr="00296836">
        <w:t>organised property crime 65% (n=</w:t>
      </w:r>
      <w:r>
        <w:t>9</w:t>
      </w:r>
      <w:r w:rsidRPr="00296836">
        <w:t>),</w:t>
      </w:r>
      <w:r w:rsidRPr="00ED0DE3">
        <w:t xml:space="preserve"> </w:t>
      </w:r>
      <w:r w:rsidRPr="00296836">
        <w:t>trafficking in human beings 6</w:t>
      </w:r>
      <w:r>
        <w:t>4</w:t>
      </w:r>
      <w:r w:rsidRPr="00296836">
        <w:t>% (n=</w:t>
      </w:r>
      <w:r>
        <w:t>9</w:t>
      </w:r>
      <w:r w:rsidRPr="00296836">
        <w:t>)</w:t>
      </w:r>
      <w:r>
        <w:t xml:space="preserve">, </w:t>
      </w:r>
      <w:r w:rsidRPr="00296836">
        <w:t>environmental crimes 57% (n=8)</w:t>
      </w:r>
      <w:r>
        <w:t xml:space="preserve"> and</w:t>
      </w:r>
      <w:r w:rsidRPr="00296836">
        <w:t xml:space="preserve"> illicit tobacco trade 43% (n=6).</w:t>
      </w:r>
    </w:p>
  </w:footnote>
  <w:footnote w:id="149">
    <w:p w14:paraId="2D881820" w14:textId="77777777" w:rsidR="003F3C88" w:rsidRPr="00296836" w:rsidRDefault="003F3C88" w:rsidP="00170573">
      <w:pPr>
        <w:pStyle w:val="FootnoteText"/>
        <w:jc w:val="both"/>
      </w:pPr>
      <w:r w:rsidRPr="00296836">
        <w:rPr>
          <w:rStyle w:val="FootnoteReference"/>
        </w:rPr>
        <w:footnoteRef/>
      </w:r>
      <w:r w:rsidRPr="00296836">
        <w:t xml:space="preserve"> Percentage of respondents </w:t>
      </w:r>
      <w:r>
        <w:t>stating</w:t>
      </w:r>
      <w:r w:rsidRPr="00296836">
        <w:t xml:space="preserve"> that the following crime areas have a cross-border dimension to a high or very high extent: cybercrime 100% (n=1</w:t>
      </w:r>
      <w:r>
        <w:t>5</w:t>
      </w:r>
      <w:r w:rsidRPr="00296836">
        <w:t>), drugs 100% (n=</w:t>
      </w:r>
      <w:r>
        <w:t>15</w:t>
      </w:r>
      <w:r w:rsidRPr="00296836">
        <w:t>),</w:t>
      </w:r>
      <w:r w:rsidRPr="00ED0DE3">
        <w:t xml:space="preserve"> </w:t>
      </w:r>
      <w:r w:rsidRPr="00296836">
        <w:t>terrorism 100% (n=</w:t>
      </w:r>
      <w:r>
        <w:t>15</w:t>
      </w:r>
      <w:r w:rsidRPr="00296836">
        <w:t>), financial crimes 93% (n=1</w:t>
      </w:r>
      <w:r>
        <w:t>4</w:t>
      </w:r>
      <w:r w:rsidRPr="00296836">
        <w:t>),</w:t>
      </w:r>
      <w:r w:rsidRPr="00ED0DE3">
        <w:t xml:space="preserve"> </w:t>
      </w:r>
      <w:r w:rsidRPr="00296836">
        <w:t>trafficking in human beings 93% (n=</w:t>
      </w:r>
      <w:r>
        <w:t>14</w:t>
      </w:r>
      <w:r w:rsidRPr="00296836">
        <w:t>)</w:t>
      </w:r>
      <w:r>
        <w:t>,</w:t>
      </w:r>
      <w:r w:rsidRPr="00ED0DE3">
        <w:t xml:space="preserve"> </w:t>
      </w:r>
      <w:r w:rsidRPr="00296836">
        <w:t>trafficking of firearms 79% (n=</w:t>
      </w:r>
      <w:r>
        <w:t>11</w:t>
      </w:r>
      <w:r w:rsidRPr="00296836">
        <w:t>)</w:t>
      </w:r>
      <w:r w:rsidRPr="00ED0DE3">
        <w:t xml:space="preserve"> </w:t>
      </w:r>
      <w:r w:rsidRPr="00296836">
        <w:t>organised property crime 77% (n=</w:t>
      </w:r>
      <w:r>
        <w:t>10</w:t>
      </w:r>
      <w:r w:rsidRPr="00296836">
        <w:t>), illicit tobacco trade 67% (n=</w:t>
      </w:r>
      <w:r>
        <w:t>10</w:t>
      </w:r>
      <w:r w:rsidRPr="00296836">
        <w:t>)</w:t>
      </w:r>
      <w:r>
        <w:t xml:space="preserve"> and</w:t>
      </w:r>
      <w:r w:rsidRPr="00296836">
        <w:t xml:space="preserve"> environmental crimes 53% (n=8).</w:t>
      </w:r>
    </w:p>
  </w:footnote>
  <w:footnote w:id="150">
    <w:p w14:paraId="59124DBA" w14:textId="77777777" w:rsidR="003F3C88" w:rsidRPr="00296836" w:rsidRDefault="003F3C88" w:rsidP="00170573">
      <w:pPr>
        <w:pStyle w:val="FootnoteText"/>
        <w:jc w:val="both"/>
      </w:pPr>
      <w:r w:rsidRPr="00296836">
        <w:rPr>
          <w:rStyle w:val="FootnoteReference"/>
        </w:rPr>
        <w:footnoteRef/>
      </w:r>
      <w:r w:rsidRPr="00296836">
        <w:t xml:space="preserve"> Percentage of respondents </w:t>
      </w:r>
      <w:r>
        <w:t>stating</w:t>
      </w:r>
      <w:r w:rsidRPr="00296836">
        <w:t xml:space="preserve"> that the security situation in the following areas did not deteriorate or did it to a small or to a moderate extent: cross-border commuting 85% (n=</w:t>
      </w:r>
      <w:r>
        <w:t>11</w:t>
      </w:r>
      <w:r w:rsidRPr="00296836">
        <w:t>), international sport/music/cultural events 69% (n=</w:t>
      </w:r>
      <w:r>
        <w:t>9</w:t>
      </w:r>
      <w:r w:rsidRPr="00296836">
        <w:t>), and tourism 57% (n=</w:t>
      </w:r>
      <w:r>
        <w:t>8</w:t>
      </w:r>
      <w:r w:rsidRPr="00296836">
        <w:t>).</w:t>
      </w:r>
    </w:p>
  </w:footnote>
  <w:footnote w:id="151">
    <w:p w14:paraId="2E3CCB10" w14:textId="77777777" w:rsidR="003F3C88" w:rsidRPr="00296836" w:rsidRDefault="003F3C88" w:rsidP="00170573">
      <w:pPr>
        <w:pStyle w:val="FootnoteText"/>
        <w:jc w:val="both"/>
      </w:pPr>
      <w:r w:rsidRPr="00296836">
        <w:rPr>
          <w:rStyle w:val="FootnoteReference"/>
        </w:rPr>
        <w:footnoteRef/>
      </w:r>
      <w:r w:rsidRPr="00296836">
        <w:t xml:space="preserve"> Percentage of respondents </w:t>
      </w:r>
      <w:r>
        <w:t>stating</w:t>
      </w:r>
      <w:r w:rsidRPr="00296836">
        <w:t xml:space="preserve"> that the following areas require cross-border law enforcement cooperation to a high or very high extent: pandemics 87% (n=1</w:t>
      </w:r>
      <w:r>
        <w:t>3</w:t>
      </w:r>
      <w:r w:rsidRPr="00296836">
        <w:t>), natural disasters 80% (n=1</w:t>
      </w:r>
      <w:r>
        <w:t>2</w:t>
      </w:r>
      <w:r w:rsidRPr="00296836">
        <w:t>),</w:t>
      </w:r>
      <w:r>
        <w:t xml:space="preserve"> </w:t>
      </w:r>
      <w:r w:rsidRPr="00296836">
        <w:t>cross-border commuting 67% (n=</w:t>
      </w:r>
      <w:r>
        <w:t>10</w:t>
      </w:r>
      <w:r w:rsidRPr="00296836">
        <w:t>),</w:t>
      </w:r>
      <w:r w:rsidRPr="00ED0DE3">
        <w:t xml:space="preserve"> </w:t>
      </w:r>
      <w:r w:rsidRPr="00296836">
        <w:t>tourism 67% (n=</w:t>
      </w:r>
      <w:r>
        <w:t>10</w:t>
      </w:r>
      <w:r w:rsidRPr="00296836">
        <w:t>)</w:t>
      </w:r>
      <w:r>
        <w:t>,</w:t>
      </w:r>
      <w:r w:rsidRPr="00ED0DE3">
        <w:t xml:space="preserve"> </w:t>
      </w:r>
      <w:r w:rsidRPr="00296836">
        <w:t>safeguard of national public order and safety 53% (n=</w:t>
      </w:r>
      <w:r>
        <w:t>8</w:t>
      </w:r>
      <w:r w:rsidRPr="00296836">
        <w:t>)</w:t>
      </w:r>
      <w:r>
        <w:t xml:space="preserve"> and</w:t>
      </w:r>
      <w:r w:rsidRPr="00296836">
        <w:t xml:space="preserve"> international sport/music/cultural events 47% (n=</w:t>
      </w:r>
      <w:r>
        <w:t>7</w:t>
      </w:r>
      <w:r w:rsidRPr="00296836">
        <w:t>)</w:t>
      </w:r>
      <w:r>
        <w:t>.</w:t>
      </w:r>
    </w:p>
  </w:footnote>
  <w:footnote w:id="152">
    <w:p w14:paraId="6D46ED44" w14:textId="77777777" w:rsidR="003F3C88" w:rsidRPr="00296836" w:rsidRDefault="003F3C88" w:rsidP="00170573">
      <w:pPr>
        <w:pStyle w:val="FootnoteText"/>
        <w:jc w:val="both"/>
      </w:pPr>
      <w:r w:rsidRPr="00296836">
        <w:rPr>
          <w:rStyle w:val="FootnoteReference"/>
        </w:rPr>
        <w:footnoteRef/>
      </w:r>
      <w:r w:rsidRPr="00296836">
        <w:t xml:space="preserve"> Percentage of respondents </w:t>
      </w:r>
      <w:r>
        <w:t>stating</w:t>
      </w:r>
      <w:r w:rsidRPr="00296836">
        <w:t xml:space="preserve"> that cooperation mechanisms are effective to a moderate extent: financial crimes 64% (n=</w:t>
      </w:r>
      <w:r>
        <w:t>9</w:t>
      </w:r>
      <w:r w:rsidRPr="00296836">
        <w:t>),</w:t>
      </w:r>
      <w:r w:rsidRPr="00CA1132">
        <w:t xml:space="preserve"> </w:t>
      </w:r>
      <w:r w:rsidRPr="00296836">
        <w:t>trafficking of firearms 57% (n=</w:t>
      </w:r>
      <w:r>
        <w:t>8</w:t>
      </w:r>
      <w:r w:rsidRPr="00296836">
        <w:t>)</w:t>
      </w:r>
      <w:r>
        <w:t>,</w:t>
      </w:r>
      <w:r w:rsidRPr="00CA1132">
        <w:t xml:space="preserve"> </w:t>
      </w:r>
      <w:r w:rsidRPr="00296836">
        <w:t>organised property crime 50% (n=</w:t>
      </w:r>
      <w:r>
        <w:t>7</w:t>
      </w:r>
      <w:r w:rsidRPr="00296836">
        <w:t>), environmental crimes 46% (n=</w:t>
      </w:r>
      <w:r>
        <w:t>6</w:t>
      </w:r>
      <w:r w:rsidRPr="00296836">
        <w:t>), illicit tobacco trade 46% (n=</w:t>
      </w:r>
      <w:r>
        <w:t>6</w:t>
      </w:r>
      <w:r w:rsidRPr="00296836">
        <w:t>), terrorism 46% (n=</w:t>
      </w:r>
      <w:r>
        <w:t>6</w:t>
      </w:r>
      <w:r w:rsidRPr="00296836">
        <w:t>)</w:t>
      </w:r>
      <w:r>
        <w:t xml:space="preserve"> and</w:t>
      </w:r>
      <w:r w:rsidRPr="00296836">
        <w:t xml:space="preserve"> trafficking in human beings 42% (n=</w:t>
      </w:r>
      <w:r>
        <w:t>6</w:t>
      </w:r>
      <w:r w:rsidRPr="00296836">
        <w:t>).</w:t>
      </w:r>
    </w:p>
  </w:footnote>
  <w:footnote w:id="153">
    <w:p w14:paraId="55093C58" w14:textId="77777777" w:rsidR="003F3C88" w:rsidRPr="00296836" w:rsidRDefault="003F3C88" w:rsidP="00170573">
      <w:pPr>
        <w:pStyle w:val="FootnoteText"/>
        <w:jc w:val="both"/>
      </w:pPr>
      <w:r w:rsidRPr="00296836">
        <w:rPr>
          <w:rStyle w:val="FootnoteReference"/>
        </w:rPr>
        <w:footnoteRef/>
      </w:r>
      <w:r w:rsidRPr="00296836">
        <w:t xml:space="preserve"> Natural disasters: 8% (n=</w:t>
      </w:r>
      <w:r>
        <w:t>1</w:t>
      </w:r>
      <w:r w:rsidRPr="00296836">
        <w:t>) not at all, 31% (n=</w:t>
      </w:r>
      <w:r>
        <w:t>4</w:t>
      </w:r>
      <w:r w:rsidRPr="00296836">
        <w:t>) small extent, 31% (n=</w:t>
      </w:r>
      <w:r>
        <w:t>4</w:t>
      </w:r>
      <w:r w:rsidRPr="00296836">
        <w:t>) moderate extent and 31% (n=</w:t>
      </w:r>
      <w:r>
        <w:t>4</w:t>
      </w:r>
      <w:r w:rsidRPr="00296836">
        <w:t>) high extent; pandemics: 8% (n=</w:t>
      </w:r>
      <w:r>
        <w:t>1</w:t>
      </w:r>
      <w:r w:rsidRPr="00296836">
        <w:t>) not at all, 27% (n=</w:t>
      </w:r>
      <w:r>
        <w:t>4</w:t>
      </w:r>
      <w:r w:rsidRPr="00296836">
        <w:t>) small extent, 38% (n=</w:t>
      </w:r>
      <w:r>
        <w:t>5</w:t>
      </w:r>
      <w:r w:rsidRPr="00296836">
        <w:t>) moderate extent and 23% (n=</w:t>
      </w:r>
      <w:r>
        <w:t>3</w:t>
      </w:r>
      <w:r w:rsidRPr="00296836">
        <w:t>) high extent; tourism: 29% (n=</w:t>
      </w:r>
      <w:r>
        <w:t>4</w:t>
      </w:r>
      <w:r w:rsidRPr="00296836">
        <w:t>) small extent, 29% (n=</w:t>
      </w:r>
      <w:r>
        <w:t>4</w:t>
      </w:r>
      <w:r w:rsidRPr="00296836">
        <w:t>) moderate extent and 43% (n=</w:t>
      </w:r>
      <w:r>
        <w:t>6</w:t>
      </w:r>
      <w:r w:rsidRPr="00296836">
        <w:t>) high extent.</w:t>
      </w:r>
    </w:p>
  </w:footnote>
  <w:footnote w:id="154">
    <w:p w14:paraId="5E5CD282" w14:textId="77777777" w:rsidR="003F3C88" w:rsidRPr="00296836" w:rsidRDefault="003F3C88" w:rsidP="00170573">
      <w:pPr>
        <w:pStyle w:val="FootnoteText"/>
        <w:jc w:val="both"/>
      </w:pPr>
      <w:r w:rsidRPr="00296836">
        <w:rPr>
          <w:rStyle w:val="FootnoteReference"/>
        </w:rPr>
        <w:footnoteRef/>
      </w:r>
      <w:r w:rsidRPr="00296836">
        <w:t xml:space="preserve"> Percentage of respondents </w:t>
      </w:r>
      <w:r>
        <w:t>stating</w:t>
      </w:r>
      <w:r w:rsidRPr="00296836">
        <w:t xml:space="preserve"> the tools are effective to a high or very high extent: Joint Police Offices 71% (n=</w:t>
      </w:r>
      <w:r>
        <w:t>10</w:t>
      </w:r>
      <w:r w:rsidRPr="00296836">
        <w:t>), interception of communication 69% (n=</w:t>
      </w:r>
      <w:r>
        <w:t>9</w:t>
      </w:r>
      <w:r w:rsidRPr="00296836">
        <w:t>), Special Investigation Units 64% (n=</w:t>
      </w:r>
      <w:r>
        <w:t>9</w:t>
      </w:r>
      <w:r w:rsidRPr="00296836">
        <w:t>), covert investigations 62% (n=</w:t>
      </w:r>
      <w:r>
        <w:t>8</w:t>
      </w:r>
      <w:r w:rsidRPr="00296836">
        <w:t>),</w:t>
      </w:r>
      <w:r w:rsidRPr="00CA1132">
        <w:t xml:space="preserve"> </w:t>
      </w:r>
      <w:r w:rsidRPr="00296836">
        <w:t>Joint Patrols 57% (n=</w:t>
      </w:r>
      <w:r>
        <w:t>8</w:t>
      </w:r>
      <w:r w:rsidRPr="00296836">
        <w:t>), controlled deliveries 54% (n=7),</w:t>
      </w:r>
      <w:r w:rsidRPr="00CA1132">
        <w:t xml:space="preserve"> </w:t>
      </w:r>
      <w:r w:rsidRPr="00296836">
        <w:t>informants 54% (n=</w:t>
      </w:r>
      <w:r>
        <w:t>7</w:t>
      </w:r>
      <w:r w:rsidRPr="00296836">
        <w:t>),</w:t>
      </w:r>
      <w:r w:rsidRPr="00CA1132">
        <w:t xml:space="preserve"> </w:t>
      </w:r>
      <w:r w:rsidRPr="00296836">
        <w:t>hot pursuit 50% (n=</w:t>
      </w:r>
      <w:r>
        <w:t>7</w:t>
      </w:r>
      <w:r w:rsidRPr="00296836">
        <w:t>),</w:t>
      </w:r>
      <w:r w:rsidRPr="00CA1132">
        <w:t xml:space="preserve"> </w:t>
      </w:r>
      <w:r w:rsidRPr="00296836">
        <w:t>witness protection 50% (n=7)</w:t>
      </w:r>
      <w:r>
        <w:t xml:space="preserve"> and</w:t>
      </w:r>
      <w:r w:rsidRPr="00296836">
        <w:t xml:space="preserve"> cross-border surveillance 46% (n=6).</w:t>
      </w:r>
    </w:p>
  </w:footnote>
  <w:footnote w:id="155">
    <w:p w14:paraId="2A04BD90" w14:textId="77777777" w:rsidR="003F3C88" w:rsidRPr="00296836" w:rsidRDefault="003F3C88" w:rsidP="00170573">
      <w:pPr>
        <w:pStyle w:val="FootnoteText"/>
        <w:jc w:val="both"/>
      </w:pPr>
      <w:r w:rsidRPr="00296836">
        <w:rPr>
          <w:rStyle w:val="FootnoteReference"/>
        </w:rPr>
        <w:footnoteRef/>
      </w:r>
      <w:r w:rsidRPr="00296836">
        <w:t xml:space="preserve"> Percentage of respondents </w:t>
      </w:r>
      <w:r>
        <w:t>stating</w:t>
      </w:r>
      <w:r w:rsidRPr="00296836">
        <w:t xml:space="preserve"> the tools are not effective at all or to a small or moderate extent: informants 71% (n=</w:t>
      </w:r>
      <w:r>
        <w:t>10</w:t>
      </w:r>
      <w:r w:rsidRPr="00296836">
        <w:t>),</w:t>
      </w:r>
      <w:r w:rsidRPr="00CA1132">
        <w:t xml:space="preserve"> </w:t>
      </w:r>
      <w:r w:rsidRPr="00296836">
        <w:t>controlled deliveries 69% (n=</w:t>
      </w:r>
      <w:r>
        <w:t>9</w:t>
      </w:r>
      <w:r w:rsidRPr="00296836">
        <w:t>), hot pursuit 69% (n=</w:t>
      </w:r>
      <w:r>
        <w:t>9</w:t>
      </w:r>
      <w:r w:rsidRPr="00296836">
        <w:t>),</w:t>
      </w:r>
      <w:r w:rsidRPr="00CA1132">
        <w:t xml:space="preserve"> </w:t>
      </w:r>
      <w:r w:rsidRPr="00296836">
        <w:t>witness protection 64% (n=</w:t>
      </w:r>
      <w:r>
        <w:t>9</w:t>
      </w:r>
      <w:r w:rsidRPr="00296836">
        <w:t>)</w:t>
      </w:r>
      <w:r>
        <w:t>,</w:t>
      </w:r>
      <w:r w:rsidRPr="00296836">
        <w:t xml:space="preserve"> covert investigations 54% (n=7),</w:t>
      </w:r>
      <w:r w:rsidRPr="00CA1132">
        <w:t xml:space="preserve"> </w:t>
      </w:r>
      <w:r w:rsidRPr="00296836">
        <w:t>surveillance 50% (n=</w:t>
      </w:r>
      <w:r>
        <w:t>7</w:t>
      </w:r>
      <w:r w:rsidRPr="00296836">
        <w:t>)</w:t>
      </w:r>
      <w:r>
        <w:t xml:space="preserve"> and</w:t>
      </w:r>
      <w:r w:rsidRPr="00296836">
        <w:t xml:space="preserve"> interception of communication 42% (n=</w:t>
      </w:r>
      <w:r>
        <w:t>6</w:t>
      </w:r>
      <w:r w:rsidRPr="00296836">
        <w:t>).</w:t>
      </w:r>
    </w:p>
  </w:footnote>
  <w:footnote w:id="156">
    <w:p w14:paraId="12E90C37" w14:textId="77777777" w:rsidR="003F3C88" w:rsidRPr="00296836" w:rsidRDefault="003F3C88" w:rsidP="00170573">
      <w:pPr>
        <w:pStyle w:val="FootnoteText"/>
        <w:jc w:val="both"/>
      </w:pPr>
      <w:r w:rsidRPr="00296836">
        <w:rPr>
          <w:rStyle w:val="FootnoteReference"/>
        </w:rPr>
        <w:footnoteRef/>
      </w:r>
      <w:r w:rsidRPr="00296836">
        <w:t xml:space="preserve"> 13% (n=</w:t>
      </w:r>
      <w:r>
        <w:t>2</w:t>
      </w:r>
      <w:r w:rsidRPr="00296836">
        <w:t>) respond</w:t>
      </w:r>
      <w:r>
        <w:t>ents stating</w:t>
      </w:r>
      <w:r w:rsidRPr="00296836">
        <w:t xml:space="preserve"> to a very high extent, 20% (n=</w:t>
      </w:r>
      <w:r>
        <w:t>3</w:t>
      </w:r>
      <w:r w:rsidRPr="00296836">
        <w:t>) to a high extent, 20% (n=</w:t>
      </w:r>
      <w:r>
        <w:t>3</w:t>
      </w:r>
      <w:r w:rsidRPr="00296836">
        <w:t>) to a moderate extent, 33% (n=</w:t>
      </w:r>
      <w:r>
        <w:t>5</w:t>
      </w:r>
      <w:r w:rsidRPr="00296836">
        <w:t xml:space="preserve">) to a small extent, </w:t>
      </w:r>
      <w:r>
        <w:t xml:space="preserve">and </w:t>
      </w:r>
      <w:r w:rsidRPr="00296836">
        <w:t>13% (n=</w:t>
      </w:r>
      <w:r>
        <w:t>2</w:t>
      </w:r>
      <w:r w:rsidRPr="00296836">
        <w:t>) not at all.</w:t>
      </w:r>
    </w:p>
  </w:footnote>
  <w:footnote w:id="157">
    <w:p w14:paraId="657B266E" w14:textId="77777777" w:rsidR="003F3C88" w:rsidRPr="003238C2" w:rsidRDefault="003F3C88" w:rsidP="00386871">
      <w:pPr>
        <w:pStyle w:val="FootnoteText"/>
      </w:pPr>
      <w:r>
        <w:rPr>
          <w:rStyle w:val="FootnoteReference"/>
        </w:rPr>
        <w:footnoteRef/>
      </w:r>
      <w:r>
        <w:t xml:space="preserve"> Interviews conducted on 27. and 28.05.2021, as well as 04., 07., and 08.06.2021</w:t>
      </w:r>
    </w:p>
  </w:footnote>
  <w:footnote w:id="158">
    <w:p w14:paraId="407E2B85" w14:textId="77777777" w:rsidR="003F3C88" w:rsidRPr="00AD55FD" w:rsidRDefault="003F3C88" w:rsidP="00EC16ED">
      <w:pPr>
        <w:pStyle w:val="FootnoteText"/>
        <w:jc w:val="both"/>
      </w:pPr>
      <w:r>
        <w:rPr>
          <w:rStyle w:val="FootnoteReference"/>
        </w:rPr>
        <w:footnoteRef/>
      </w:r>
      <w:r>
        <w:t xml:space="preserve"> European Commission (2018): Study to support the review of Directive 2003/98/EC on the re-use of public sector information. See: </w:t>
      </w:r>
      <w:hyperlink r:id="rId27" w:history="1">
        <w:r w:rsidRPr="00EB1C0D">
          <w:rPr>
            <w:rStyle w:val="Hyperlink"/>
          </w:rPr>
          <w:t>https://digital-strategy.ec.europa.eu/en/library/impact-assessment-support-study-revision-public-sector-information-directive</w:t>
        </w:r>
      </w:hyperlink>
      <w:r>
        <w:t xml:space="preserve"> </w:t>
      </w:r>
    </w:p>
  </w:footnote>
  <w:footnote w:id="159">
    <w:p w14:paraId="435853D3" w14:textId="77777777" w:rsidR="003F3C88" w:rsidRPr="00AD55FD" w:rsidRDefault="003F3C88" w:rsidP="00EC16ED">
      <w:pPr>
        <w:pStyle w:val="FootnoteText"/>
        <w:jc w:val="both"/>
      </w:pPr>
      <w:r>
        <w:rPr>
          <w:rStyle w:val="FootnoteReference"/>
        </w:rPr>
        <w:footnoteRef/>
      </w:r>
      <w:r w:rsidRPr="00AD55FD">
        <w:rPr>
          <w:lang w:val="de-DE"/>
        </w:rPr>
        <w:t xml:space="preserve"> Bundesregierung (2020): Bundeshaushaltsplan. Einzelplan 06. Bundesministerium des Innern, für Bau und Heimat p. 39. </w:t>
      </w:r>
      <w:r>
        <w:t xml:space="preserve">See: </w:t>
      </w:r>
      <w:hyperlink r:id="rId28" w:history="1">
        <w:r w:rsidRPr="00EB1C0D">
          <w:rPr>
            <w:rStyle w:val="Hyperlink"/>
          </w:rPr>
          <w:t>https://www.bundeshaushalt.de/fileadmin/de.bundeshaushalt/content_de/dokumente/2020/soll/epl06.pdf</w:t>
        </w:r>
      </w:hyperlink>
      <w:r>
        <w:t xml:space="preserve"> </w:t>
      </w:r>
    </w:p>
  </w:footnote>
  <w:footnote w:id="160">
    <w:p w14:paraId="2E949C92" w14:textId="77777777" w:rsidR="003F3C88" w:rsidRPr="00AD55FD" w:rsidRDefault="003F3C88" w:rsidP="00EC16ED">
      <w:pPr>
        <w:pStyle w:val="FootnoteText"/>
        <w:jc w:val="both"/>
      </w:pPr>
      <w:r>
        <w:rPr>
          <w:rStyle w:val="FootnoteReference"/>
        </w:rPr>
        <w:footnoteRef/>
      </w:r>
      <w:r w:rsidRPr="00D27403">
        <w:rPr>
          <w:lang w:val="de-DE"/>
        </w:rPr>
        <w:t xml:space="preserve"> Freistaat Bayern: Haushaltsplan 2019 /2020. Einzelpna 03 für den Geschäftsbereich des Bayerischen Staatsministeriums des Innern, für Sport und Integration. p. 219. </w:t>
      </w:r>
      <w:r>
        <w:t xml:space="preserve">See: </w:t>
      </w:r>
      <w:hyperlink r:id="rId29" w:history="1">
        <w:r w:rsidRPr="00EB1C0D">
          <w:rPr>
            <w:rStyle w:val="Hyperlink"/>
          </w:rPr>
          <w:t>https://www.stmfh.bayern.de/haushalt/staatshaushalt_2019/haushaltsplan/Epl03.pdf</w:t>
        </w:r>
      </w:hyperlink>
      <w:r>
        <w:t xml:space="preserve"> </w:t>
      </w:r>
    </w:p>
  </w:footnote>
  <w:footnote w:id="161">
    <w:p w14:paraId="16475B7E" w14:textId="77777777" w:rsidR="003F3C88" w:rsidRPr="00AD55FD" w:rsidRDefault="003F3C88" w:rsidP="00386871">
      <w:pPr>
        <w:pStyle w:val="FootnoteText"/>
      </w:pPr>
      <w:r>
        <w:rPr>
          <w:rStyle w:val="FootnoteReference"/>
        </w:rPr>
        <w:footnoteRef/>
      </w:r>
      <w:r>
        <w:t xml:space="preserve"> The budget of the state levels could e.g. range between EUR 1.5 and 2.15 million.</w:t>
      </w:r>
    </w:p>
  </w:footnote>
  <w:footnote w:id="162">
    <w:p w14:paraId="4A8DAB11" w14:textId="77777777" w:rsidR="003F3C88" w:rsidRPr="003238C2" w:rsidRDefault="003F3C88" w:rsidP="00D83E1E">
      <w:pPr>
        <w:pStyle w:val="FootnoteText"/>
      </w:pPr>
      <w:r>
        <w:rPr>
          <w:rStyle w:val="FootnoteReference"/>
        </w:rPr>
        <w:footnoteRef/>
      </w:r>
      <w:r>
        <w:t xml:space="preserve"> Interviews conducted as part of the support Study on 27 and 28.05.2021, as well as 04., 07., and 08.06.2021.</w:t>
      </w:r>
    </w:p>
  </w:footnote>
  <w:footnote w:id="163">
    <w:p w14:paraId="37E89127" w14:textId="77777777" w:rsidR="003F3C88" w:rsidRPr="00884038" w:rsidRDefault="003F3C88" w:rsidP="00EB363A">
      <w:pPr>
        <w:pStyle w:val="FootnoteText"/>
        <w:jc w:val="both"/>
      </w:pPr>
      <w:r>
        <w:rPr>
          <w:rStyle w:val="FootnoteReference"/>
        </w:rPr>
        <w:footnoteRef/>
      </w:r>
      <w:r>
        <w:t xml:space="preserve"> Only 10 MS are expected to invest in a CMS at SPOC (hence a possible indicative cost of EUR 150.000 per Member State.</w:t>
      </w:r>
    </w:p>
  </w:footnote>
  <w:footnote w:id="164">
    <w:p w14:paraId="7015672C" w14:textId="77777777" w:rsidR="003F3C88" w:rsidRPr="00884038" w:rsidRDefault="003F3C88" w:rsidP="00EB363A">
      <w:pPr>
        <w:pStyle w:val="FootnoteText"/>
        <w:jc w:val="both"/>
      </w:pPr>
      <w:r>
        <w:rPr>
          <w:rStyle w:val="FootnoteReference"/>
        </w:rPr>
        <w:footnoteRef/>
      </w:r>
      <w:r>
        <w:t xml:space="preserve"> </w:t>
      </w:r>
      <w:r w:rsidRPr="00884038">
        <w:t xml:space="preserve">The </w:t>
      </w:r>
      <w:r w:rsidRPr="001816BC">
        <w:t>s</w:t>
      </w:r>
      <w:r>
        <w:t>et-up of CMSs in a maximum of 45</w:t>
      </w:r>
      <w:r w:rsidRPr="001816BC">
        <w:t xml:space="preserve"> PCCCs </w:t>
      </w:r>
      <w:r>
        <w:t>would cost EUR 6,750 million (45</w:t>
      </w:r>
      <w:r w:rsidRPr="001816BC">
        <w:t>x EUR 150.000).</w:t>
      </w:r>
    </w:p>
  </w:footnote>
  <w:footnote w:id="165">
    <w:p w14:paraId="0023F34E" w14:textId="77777777" w:rsidR="003F3C88" w:rsidRPr="00884038" w:rsidRDefault="003F3C88" w:rsidP="00EB363A">
      <w:pPr>
        <w:pStyle w:val="FootnoteText"/>
        <w:jc w:val="both"/>
      </w:pPr>
      <w:r>
        <w:rPr>
          <w:rStyle w:val="FootnoteReference"/>
        </w:rPr>
        <w:footnoteRef/>
      </w:r>
      <w:r>
        <w:t xml:space="preserve"> Only 20 MS are expected to invest in this integration (hence EUR 50.000 per Member State).</w:t>
      </w:r>
    </w:p>
  </w:footnote>
  <w:footnote w:id="166">
    <w:p w14:paraId="7E39B599" w14:textId="77777777" w:rsidR="003F3C88" w:rsidRPr="00884038" w:rsidRDefault="003F3C88" w:rsidP="00EB363A">
      <w:pPr>
        <w:pStyle w:val="FootnoteText"/>
        <w:jc w:val="both"/>
      </w:pPr>
      <w:r w:rsidRPr="00884038">
        <w:rPr>
          <w:rStyle w:val="FootnoteReference"/>
        </w:rPr>
        <w:footnoteRef/>
      </w:r>
      <w:r w:rsidRPr="00884038">
        <w:t xml:space="preserve"> </w:t>
      </w:r>
      <w:r w:rsidRPr="001816BC">
        <w:t>O</w:t>
      </w:r>
      <w:r>
        <w:t>ut of the 59 identified PCCCs, 14</w:t>
      </w:r>
      <w:r w:rsidRPr="001816BC">
        <w:t xml:space="preserve"> are already connected to SIENA. The SIE</w:t>
      </w:r>
      <w:r>
        <w:t>NA connection to a maximum of 45</w:t>
      </w:r>
      <w:r w:rsidRPr="001816BC">
        <w:t xml:space="preserve"> PCCCs </w:t>
      </w:r>
      <w:r>
        <w:t>would cost EUR 2,250 million (45</w:t>
      </w:r>
      <w:r w:rsidRPr="001816BC">
        <w:t>x EUR 50.000).</w:t>
      </w:r>
    </w:p>
  </w:footnote>
  <w:footnote w:id="167">
    <w:p w14:paraId="06F8AC9E" w14:textId="77777777" w:rsidR="003F3C88" w:rsidRDefault="003F3C88" w:rsidP="00F75B2A">
      <w:pPr>
        <w:pStyle w:val="FootnoteText"/>
        <w:jc w:val="both"/>
      </w:pPr>
      <w:r>
        <w:rPr>
          <w:rStyle w:val="FootnoteReference"/>
        </w:rPr>
        <w:footnoteRef/>
      </w:r>
      <w:r>
        <w:t xml:space="preserve"> </w:t>
      </w:r>
      <w:bookmarkStart w:id="160" w:name="_Hlk69408271"/>
      <w:r>
        <w:t xml:space="preserve">Paoli, L. and Fijnaut C. (2004) General introduction. In: organised </w:t>
      </w:r>
      <w:r>
        <w:rPr>
          <w:i/>
          <w:iCs/>
        </w:rPr>
        <w:t>Crime in Europe: Concepts, Patterns and Control Policies in the European Union and Beyond</w:t>
      </w:r>
      <w:r>
        <w:t xml:space="preserve"> C. Fijnaut and L. Paoli (eds.) Dordrecht: Springer.</w:t>
      </w:r>
      <w:bookmarkEnd w:id="160"/>
    </w:p>
  </w:footnote>
  <w:footnote w:id="168">
    <w:p w14:paraId="0D02D8D5" w14:textId="77777777" w:rsidR="003F3C88" w:rsidRDefault="003F3C88" w:rsidP="00F75B2A">
      <w:pPr>
        <w:pStyle w:val="FootnoteText"/>
        <w:jc w:val="both"/>
        <w:rPr>
          <w:lang w:val="en-GB"/>
        </w:rPr>
      </w:pPr>
      <w:r>
        <w:rPr>
          <w:rStyle w:val="FootnoteReference"/>
        </w:rPr>
        <w:footnoteRef/>
      </w:r>
      <w:r>
        <w:t xml:space="preserve"> Communication from the Commission to the European Parliament, the Council, the European Economic and Social Committee and the Committee of the Regions on the EU Strategy to tackle organised Crime 2021-2025 (SWD(2021) 74 final). </w:t>
      </w:r>
    </w:p>
  </w:footnote>
  <w:footnote w:id="169">
    <w:p w14:paraId="41451608" w14:textId="77777777" w:rsidR="003F3C88" w:rsidRDefault="003F3C88" w:rsidP="00F75B2A">
      <w:pPr>
        <w:pStyle w:val="FootnoteText"/>
        <w:jc w:val="both"/>
        <w:rPr>
          <w:lang w:val="en-GB"/>
        </w:rPr>
      </w:pPr>
      <w:r>
        <w:rPr>
          <w:rStyle w:val="FootnoteReference"/>
        </w:rPr>
        <w:footnoteRef/>
      </w:r>
      <w:r>
        <w:t xml:space="preserve"> Communication from The Commission To The European Parliament, The Council, The European Economic And Social Committee And The Committee Of The Regions on the EU Security Union Strategy COM(2020) 605 final</w:t>
      </w:r>
    </w:p>
  </w:footnote>
  <w:footnote w:id="170">
    <w:p w14:paraId="126B02A8" w14:textId="77777777" w:rsidR="003F3C88" w:rsidRDefault="003F3C88" w:rsidP="00F75B2A">
      <w:pPr>
        <w:pStyle w:val="FootnoteText"/>
        <w:jc w:val="both"/>
      </w:pPr>
      <w:r>
        <w:rPr>
          <w:rStyle w:val="FootnoteReference"/>
        </w:rPr>
        <w:footnoteRef/>
      </w:r>
      <w:r>
        <w:t xml:space="preserve"> Paoli, L. and C. Fijnaut (2004) General introduction. In: organised </w:t>
      </w:r>
      <w:r>
        <w:rPr>
          <w:i/>
          <w:iCs/>
        </w:rPr>
        <w:t>Crime in Europe: Concepts, Patterns and Control Policies in the European Union and Beyond</w:t>
      </w:r>
      <w:r>
        <w:t xml:space="preserve"> C. Fijnaut and L. Paoli (eds.), pp. 1-18. Dordrecht: Springer.</w:t>
      </w:r>
    </w:p>
  </w:footnote>
  <w:footnote w:id="171">
    <w:p w14:paraId="2E51A107" w14:textId="77777777" w:rsidR="003F3C88" w:rsidRDefault="003F3C88" w:rsidP="00F75B2A">
      <w:pPr>
        <w:pStyle w:val="FootnoteText"/>
        <w:jc w:val="both"/>
      </w:pPr>
      <w:r>
        <w:rPr>
          <w:rStyle w:val="FootnoteReference"/>
        </w:rPr>
        <w:footnoteRef/>
      </w:r>
      <w:r>
        <w:t xml:space="preserve"> </w:t>
      </w:r>
      <w:bookmarkStart w:id="162" w:name="_Hlk69408334"/>
      <w:r>
        <w:t xml:space="preserve">Wagner J. (2021) Transnational organised Crime (TOC). In: Border Management in Transformation. Advanced Sciences and Technologies for Security Applications. Springer, Cham. </w:t>
      </w:r>
      <w:bookmarkEnd w:id="162"/>
      <w:r>
        <w:t xml:space="preserve">Available at: </w:t>
      </w:r>
      <w:hyperlink r:id="rId30" w:history="1">
        <w:r>
          <w:rPr>
            <w:rStyle w:val="Hyperlink"/>
          </w:rPr>
          <w:t>link</w:t>
        </w:r>
      </w:hyperlink>
      <w:r>
        <w:t>.</w:t>
      </w:r>
    </w:p>
  </w:footnote>
  <w:footnote w:id="172">
    <w:p w14:paraId="0C9B53A7" w14:textId="77777777" w:rsidR="003F3C88" w:rsidRDefault="003F3C88" w:rsidP="00F75B2A">
      <w:pPr>
        <w:pStyle w:val="FootnoteText"/>
        <w:jc w:val="both"/>
      </w:pPr>
      <w:r>
        <w:rPr>
          <w:rStyle w:val="FootnoteReference"/>
        </w:rPr>
        <w:footnoteRef/>
      </w:r>
      <w:r>
        <w:t xml:space="preserve"> </w:t>
      </w:r>
      <w:bookmarkStart w:id="163" w:name="_Hlk69408353"/>
      <w:r>
        <w:t>Sallavaci, O. (2018) Strengthening cross-border law enforcement cooperation in the EU: the Prüm network of data exchange. Eur J Crim Policy Res 24, 219–235</w:t>
      </w:r>
      <w:bookmarkEnd w:id="163"/>
      <w:r>
        <w:t xml:space="preserve">. </w:t>
      </w:r>
      <w:hyperlink r:id="rId31" w:history="1">
        <w:r>
          <w:rPr>
            <w:rStyle w:val="Hyperlink"/>
          </w:rPr>
          <w:t>link</w:t>
        </w:r>
      </w:hyperlink>
      <w:r>
        <w:t>.</w:t>
      </w:r>
    </w:p>
  </w:footnote>
  <w:footnote w:id="173">
    <w:p w14:paraId="3DE4D36F" w14:textId="77777777" w:rsidR="003F3C88" w:rsidRDefault="003F3C88" w:rsidP="00F75B2A">
      <w:pPr>
        <w:pStyle w:val="FootnoteText"/>
        <w:jc w:val="both"/>
      </w:pPr>
      <w:r>
        <w:rPr>
          <w:rStyle w:val="FootnoteReference"/>
        </w:rPr>
        <w:footnoteRef/>
      </w:r>
      <w:r>
        <w:t xml:space="preserve"> </w:t>
      </w:r>
      <w:bookmarkStart w:id="164" w:name="_Hlk74152599"/>
      <w:r>
        <w:t>Grabosky, P. (2013) Organised Crime and the Internet, The RUSI Journal, 158:5, 18-25, DOI: 10.1080/03071847.2013.847707.</w:t>
      </w:r>
      <w:bookmarkEnd w:id="164"/>
    </w:p>
  </w:footnote>
  <w:footnote w:id="174">
    <w:p w14:paraId="0E9011C9" w14:textId="77777777" w:rsidR="003F3C88" w:rsidRDefault="003F3C88" w:rsidP="00F75B2A">
      <w:pPr>
        <w:pStyle w:val="FootnoteText"/>
        <w:jc w:val="both"/>
      </w:pPr>
      <w:r>
        <w:rPr>
          <w:rStyle w:val="FootnoteReference"/>
        </w:rPr>
        <w:footnoteRef/>
      </w:r>
      <w:r>
        <w:t xml:space="preserve"> </w:t>
      </w:r>
      <w:bookmarkStart w:id="165" w:name="_Hlk69408390"/>
      <w:r>
        <w:t xml:space="preserve">Spapens, T. (2015) Transnational organised crime. </w:t>
      </w:r>
      <w:r>
        <w:rPr>
          <w:i/>
          <w:iCs/>
        </w:rPr>
        <w:t xml:space="preserve">International Encyclopedia of the Social &amp; Behavioral Sciences (Second Edition), </w:t>
      </w:r>
      <w:r>
        <w:t>pp. 596-601</w:t>
      </w:r>
      <w:bookmarkEnd w:id="165"/>
      <w:r>
        <w:t xml:space="preserve">. Available at: </w:t>
      </w:r>
      <w:hyperlink r:id="rId32" w:history="1">
        <w:r>
          <w:rPr>
            <w:rStyle w:val="Hyperlink"/>
          </w:rPr>
          <w:t>link</w:t>
        </w:r>
      </w:hyperlink>
      <w:r>
        <w:t>.</w:t>
      </w:r>
    </w:p>
  </w:footnote>
  <w:footnote w:id="175">
    <w:p w14:paraId="4806F1EF" w14:textId="77777777" w:rsidR="003F3C88" w:rsidRDefault="003F3C88" w:rsidP="00F75B2A">
      <w:pPr>
        <w:pStyle w:val="FootnoteText"/>
        <w:jc w:val="both"/>
      </w:pPr>
      <w:r>
        <w:rPr>
          <w:rStyle w:val="FootnoteReference"/>
        </w:rPr>
        <w:footnoteRef/>
      </w:r>
      <w:r>
        <w:t xml:space="preserve"> Peter Grabosky (2013) organised Crime and the Internet, The RUSI Journal, 158:5, 18-25, DOI: 10.1080/03071847.2013.847707</w:t>
      </w:r>
    </w:p>
  </w:footnote>
  <w:footnote w:id="176">
    <w:p w14:paraId="4D7C3437" w14:textId="77777777" w:rsidR="003F3C88" w:rsidRPr="008E145B" w:rsidRDefault="003F3C88" w:rsidP="004D7FEE">
      <w:pPr>
        <w:pStyle w:val="FootnoteText"/>
      </w:pPr>
      <w:r>
        <w:rPr>
          <w:rStyle w:val="FootnoteReference"/>
        </w:rPr>
        <w:footnoteRef/>
      </w:r>
      <w:r>
        <w:t xml:space="preserve"> Europol (2021) Serious and organised Crime Threat Assessment (SOCTA): A corrupting influence, European Union, p. 34 &amp; 35.</w:t>
      </w:r>
    </w:p>
  </w:footnote>
  <w:footnote w:id="177">
    <w:p w14:paraId="30EC0C61" w14:textId="77777777" w:rsidR="003F3C88" w:rsidRPr="004F3FC7" w:rsidRDefault="003F3C88" w:rsidP="004D7FEE">
      <w:pPr>
        <w:pStyle w:val="FootnoteText"/>
      </w:pPr>
      <w:r>
        <w:rPr>
          <w:rStyle w:val="FootnoteReference"/>
        </w:rPr>
        <w:footnoteRef/>
      </w:r>
      <w:r>
        <w:t xml:space="preserve"> </w:t>
      </w:r>
      <w:r w:rsidRPr="004F3FC7">
        <w:rPr>
          <w:lang w:val="en-GB"/>
        </w:rPr>
        <w:t xml:space="preserve">Europol (2021) Serious and organised Crime Threat Assessment (SOCTA): A corrupting influence, European Union, p. </w:t>
      </w:r>
      <w:r>
        <w:rPr>
          <w:lang w:val="en-GB"/>
        </w:rPr>
        <w:t>86</w:t>
      </w:r>
      <w:r w:rsidRPr="004F3FC7">
        <w:rPr>
          <w:lang w:val="en-GB"/>
        </w:rPr>
        <w:t>.</w:t>
      </w:r>
    </w:p>
  </w:footnote>
  <w:footnote w:id="178">
    <w:p w14:paraId="6AA3BC61" w14:textId="77777777" w:rsidR="003F3C88" w:rsidRDefault="003F3C88" w:rsidP="00F75B2A">
      <w:pPr>
        <w:pStyle w:val="FootnoteText"/>
        <w:jc w:val="both"/>
        <w:rPr>
          <w:lang w:val="en-GB"/>
        </w:rPr>
      </w:pPr>
      <w:r>
        <w:rPr>
          <w:rStyle w:val="FootnoteReference"/>
        </w:rPr>
        <w:footnoteRef/>
      </w:r>
      <w:r>
        <w:t xml:space="preserve"> Europol (2021) Serious and organised Crime Threat Assessment (SOCTA): A corrupting influence, European Union.</w:t>
      </w:r>
    </w:p>
  </w:footnote>
  <w:footnote w:id="179">
    <w:p w14:paraId="267EB898" w14:textId="77777777" w:rsidR="003F3C88" w:rsidRPr="006E2554" w:rsidRDefault="003F3C88" w:rsidP="00F75B2A">
      <w:pPr>
        <w:pStyle w:val="FootnoteText"/>
        <w:jc w:val="both"/>
      </w:pPr>
      <w:r>
        <w:rPr>
          <w:rStyle w:val="FootnoteReference"/>
        </w:rPr>
        <w:footnoteRef/>
      </w:r>
      <w:r>
        <w:t xml:space="preserve"> </w:t>
      </w:r>
      <w:r w:rsidRPr="006E2554">
        <w:t>Europol (2021) Serious and Organised Crime Threat Assessment (SOCTA): A corrupting influence, European Union, p. 28</w:t>
      </w:r>
      <w:r>
        <w:t>.</w:t>
      </w:r>
    </w:p>
  </w:footnote>
  <w:footnote w:id="180">
    <w:p w14:paraId="667C7383" w14:textId="77777777" w:rsidR="003F3C88" w:rsidRDefault="003F3C88" w:rsidP="00F75B2A">
      <w:pPr>
        <w:pStyle w:val="FootnoteText"/>
        <w:jc w:val="both"/>
        <w:rPr>
          <w:lang w:val="en-GB"/>
        </w:rPr>
      </w:pPr>
      <w:r>
        <w:rPr>
          <w:rStyle w:val="FootnoteReference"/>
        </w:rPr>
        <w:footnoteRef/>
      </w:r>
      <w:r>
        <w:t xml:space="preserve"> Council of the European Union. (2021). The impact of the COVID-19 pandemic on internal security: threats, trends, resilience and lessons learned for Law Enforcement Agencies: outcomes of previous discussion and draft Council Conclusions. Brussels: Council of the European Union.</w:t>
      </w:r>
    </w:p>
  </w:footnote>
  <w:footnote w:id="181">
    <w:p w14:paraId="4F684FB1" w14:textId="77777777" w:rsidR="003F3C88" w:rsidRDefault="003F3C88" w:rsidP="00F75B2A">
      <w:pPr>
        <w:pStyle w:val="FootnoteText"/>
        <w:jc w:val="both"/>
      </w:pPr>
      <w:r>
        <w:rPr>
          <w:rStyle w:val="FootnoteReference"/>
        </w:rPr>
        <w:footnoteRef/>
      </w:r>
      <w:r>
        <w:t xml:space="preserve"> Europol (2020) How COVID-19-related crime infected Europe during 2020. The Hague: Europol; Europol (2020) Serious and organised Crime Threat Assessment (SOCTA): A corrupting influence, European Union. </w:t>
      </w:r>
    </w:p>
  </w:footnote>
  <w:footnote w:id="182">
    <w:p w14:paraId="6FC610BD" w14:textId="77777777" w:rsidR="003F3C88" w:rsidRDefault="003F3C88" w:rsidP="00F75B2A">
      <w:pPr>
        <w:pStyle w:val="FootnoteText"/>
        <w:jc w:val="both"/>
      </w:pPr>
      <w:r>
        <w:rPr>
          <w:rStyle w:val="FootnoteReference"/>
        </w:rPr>
        <w:footnoteRef/>
      </w:r>
      <w:r>
        <w:t xml:space="preserve"> Europol (2021) Serious and organised Crime Threat Assessment (SOCTA): A corrupting influence, European Union.</w:t>
      </w:r>
    </w:p>
  </w:footnote>
  <w:footnote w:id="183">
    <w:p w14:paraId="1C7D21E4" w14:textId="77777777" w:rsidR="003F3C88" w:rsidRDefault="003F3C88" w:rsidP="00F75B2A">
      <w:pPr>
        <w:pStyle w:val="FootnoteText"/>
        <w:jc w:val="both"/>
      </w:pPr>
      <w:r>
        <w:rPr>
          <w:rStyle w:val="FootnoteReference"/>
        </w:rPr>
        <w:footnoteRef/>
      </w:r>
      <w:r>
        <w:t xml:space="preserve"> Europol (2021) Serious and organised Crime Threat Assessment (SOCTA): A corrupting influence, European Union.</w:t>
      </w:r>
    </w:p>
  </w:footnote>
  <w:footnote w:id="184">
    <w:p w14:paraId="0789EBCB" w14:textId="77777777" w:rsidR="003F3C88" w:rsidRDefault="003F3C88" w:rsidP="00F75B2A">
      <w:pPr>
        <w:pStyle w:val="FootnoteText"/>
        <w:jc w:val="both"/>
        <w:rPr>
          <w:lang w:val="en-GB"/>
        </w:rPr>
      </w:pPr>
      <w:r>
        <w:rPr>
          <w:rStyle w:val="FootnoteReference"/>
        </w:rPr>
        <w:footnoteRef/>
      </w:r>
      <w:r>
        <w:t xml:space="preserve"> </w:t>
      </w:r>
      <w:bookmarkStart w:id="166" w:name="_Hlk69407881"/>
      <w:r>
        <w:t>Europol (2021) Serious and organised Crime Threat Assessment (SOCTA): A corrupting influence, European Union.</w:t>
      </w:r>
      <w:bookmarkEnd w:id="166"/>
    </w:p>
  </w:footnote>
  <w:footnote w:id="185">
    <w:p w14:paraId="5127748E" w14:textId="77777777" w:rsidR="003F3C88" w:rsidRDefault="003F3C88" w:rsidP="00F75B2A">
      <w:pPr>
        <w:pStyle w:val="FootnoteText"/>
        <w:jc w:val="both"/>
      </w:pPr>
      <w:r>
        <w:rPr>
          <w:rStyle w:val="FootnoteReference"/>
        </w:rPr>
        <w:footnoteRef/>
      </w:r>
      <w:r>
        <w:t xml:space="preserve"> Europol (2015) </w:t>
      </w:r>
      <w:r>
        <w:rPr>
          <w:i/>
        </w:rPr>
        <w:t>Exploring Tomorrow’s organised Crime</w:t>
      </w:r>
      <w:r>
        <w:t>. The Hague: Europol.</w:t>
      </w:r>
    </w:p>
  </w:footnote>
  <w:footnote w:id="186">
    <w:p w14:paraId="71AF530F" w14:textId="77777777" w:rsidR="003F3C88" w:rsidRDefault="003F3C88" w:rsidP="00F75B2A">
      <w:pPr>
        <w:pStyle w:val="FootnoteText"/>
        <w:jc w:val="both"/>
      </w:pPr>
      <w:r>
        <w:rPr>
          <w:rStyle w:val="FootnoteReference"/>
        </w:rPr>
        <w:footnoteRef/>
      </w:r>
      <w:r>
        <w:t xml:space="preserve"> Levi, M., M. Innes, P. Reuter &amp; Gundur R. (2013) The Economic, Financial &amp; Social Impacts of organised Crime in the EU. As of 8 December 2020:</w:t>
      </w:r>
      <w:r>
        <w:rPr>
          <w:rStyle w:val="Hyperlink"/>
        </w:rPr>
        <w:t xml:space="preserve"> </w:t>
      </w:r>
      <w:hyperlink r:id="rId33" w:history="1">
        <w:r>
          <w:rPr>
            <w:rStyle w:val="Hyperlink"/>
          </w:rPr>
          <w:t>link</w:t>
        </w:r>
      </w:hyperlink>
      <w:r>
        <w:rPr>
          <w:rStyle w:val="Hyperlink"/>
        </w:rPr>
        <w:t>.</w:t>
      </w:r>
    </w:p>
  </w:footnote>
  <w:footnote w:id="187">
    <w:p w14:paraId="6E1260BB" w14:textId="77777777" w:rsidR="003F3C88" w:rsidRDefault="003F3C88" w:rsidP="00F75B2A">
      <w:pPr>
        <w:pStyle w:val="FootnoteText"/>
        <w:jc w:val="both"/>
        <w:rPr>
          <w:lang w:val="en-GB"/>
        </w:rPr>
      </w:pPr>
      <w:r>
        <w:rPr>
          <w:rStyle w:val="FootnoteReference"/>
        </w:rPr>
        <w:footnoteRef/>
      </w:r>
      <w:r>
        <w:t xml:space="preserve"> Illicit drugs, THB, Smuggling of migrants, Fraud, Environmental crime, Illicit firearms, Illicit tobacco, Cybercrime, organised property crime.</w:t>
      </w:r>
    </w:p>
  </w:footnote>
  <w:footnote w:id="188">
    <w:p w14:paraId="5215D08E" w14:textId="77777777" w:rsidR="003F3C88" w:rsidRDefault="003F3C88" w:rsidP="00F75B2A">
      <w:pPr>
        <w:pStyle w:val="FootnoteText"/>
        <w:jc w:val="both"/>
      </w:pPr>
      <w:r>
        <w:rPr>
          <w:rStyle w:val="FootnoteReference"/>
        </w:rPr>
        <w:footnoteRef/>
      </w:r>
      <w:r>
        <w:t xml:space="preserve"> RAND Europe &amp; EY for the EC (2021) Mapping the risk of serious and organised crime infiltrating legitimate businesses.</w:t>
      </w:r>
    </w:p>
  </w:footnote>
  <w:footnote w:id="189">
    <w:p w14:paraId="29EEC3B6" w14:textId="77777777" w:rsidR="003F3C88" w:rsidRDefault="003F3C88" w:rsidP="00F75B2A">
      <w:pPr>
        <w:pStyle w:val="FootnoteText"/>
        <w:jc w:val="both"/>
      </w:pPr>
      <w:r>
        <w:rPr>
          <w:rStyle w:val="FootnoteReference"/>
        </w:rPr>
        <w:footnoteRef/>
      </w:r>
      <w:r w:rsidRPr="003A552B">
        <w:t xml:space="preserve"> The EU GDP was EUR 13,900 billion in 2019. </w:t>
      </w:r>
      <w:bookmarkStart w:id="168" w:name="_Hlk74151520"/>
      <w:r>
        <w:t xml:space="preserve">Eurostat (2020) </w:t>
      </w:r>
      <w:r>
        <w:rPr>
          <w:i/>
          <w:iCs/>
        </w:rPr>
        <w:t xml:space="preserve">Which EU Countries had the highest GDP in 2019? </w:t>
      </w:r>
      <w:bookmarkEnd w:id="168"/>
      <w:r>
        <w:fldChar w:fldCharType="begin"/>
      </w:r>
      <w:r>
        <w:instrText xml:space="preserve"> HYPERLINK "https://ec.europa.eu/eurostat/web/products-eurostat-news/-/DDN-20200508-1" </w:instrText>
      </w:r>
      <w:r>
        <w:fldChar w:fldCharType="separate"/>
      </w:r>
      <w:r>
        <w:rPr>
          <w:rStyle w:val="Hyperlink"/>
        </w:rPr>
        <w:t>link</w:t>
      </w:r>
      <w:r>
        <w:rPr>
          <w:rStyle w:val="Hyperlink"/>
        </w:rPr>
        <w:fldChar w:fldCharType="end"/>
      </w:r>
      <w:r>
        <w:t xml:space="preserve">. </w:t>
      </w:r>
    </w:p>
  </w:footnote>
  <w:footnote w:id="190">
    <w:p w14:paraId="47D6D4B7" w14:textId="77777777" w:rsidR="003F3C88" w:rsidRPr="00970640" w:rsidRDefault="003F3C88" w:rsidP="00704502">
      <w:pPr>
        <w:spacing w:after="0" w:line="240" w:lineRule="auto"/>
        <w:jc w:val="both"/>
      </w:pPr>
      <w:r w:rsidRPr="00704502">
        <w:rPr>
          <w:rStyle w:val="FootnoteReference"/>
          <w:rFonts w:ascii="Times New Roman" w:hAnsi="Times New Roman" w:cs="Times New Roman"/>
        </w:rPr>
        <w:footnoteRef/>
      </w:r>
      <w:r w:rsidRPr="00704502">
        <w:rPr>
          <w:rFonts w:ascii="Times New Roman" w:hAnsi="Times New Roman" w:cs="Times New Roman"/>
        </w:rPr>
        <w:t xml:space="preserve"> </w:t>
      </w:r>
      <w:r>
        <w:rPr>
          <w:rFonts w:ascii="Times New Roman" w:hAnsi="Times New Roman" w:cs="Times New Roman"/>
        </w:rPr>
        <w:t>MTIC fraud is a form</w:t>
      </w:r>
      <w:r w:rsidRPr="00704502">
        <w:rPr>
          <w:rFonts w:ascii="Times New Roman" w:hAnsi="Times New Roman" w:cs="Times New Roman"/>
        </w:rPr>
        <w:t xml:space="preserve"> of VAT crime bas</w:t>
      </w:r>
      <w:r w:rsidRPr="00970640">
        <w:rPr>
          <w:rFonts w:ascii="Times New Roman" w:hAnsi="Times New Roman" w:cs="Times New Roman"/>
        </w:rPr>
        <w:t>ed on cross-</w:t>
      </w:r>
      <w:r w:rsidRPr="00704502">
        <w:rPr>
          <w:rFonts w:ascii="Times New Roman" w:hAnsi="Times New Roman" w:cs="Times New Roman"/>
        </w:rPr>
        <w:t>border transactions</w:t>
      </w:r>
      <w:r>
        <w:rPr>
          <w:rFonts w:ascii="Times New Roman" w:hAnsi="Times New Roman" w:cs="Times New Roman"/>
        </w:rPr>
        <w:t xml:space="preserve">. It requires </w:t>
      </w:r>
      <w:r w:rsidRPr="00704502">
        <w:rPr>
          <w:rFonts w:ascii="Times New Roman" w:hAnsi="Times New Roman" w:cs="Times New Roman"/>
        </w:rPr>
        <w:t>Multilateral Tax Cooperation among Member States</w:t>
      </w:r>
      <w:r w:rsidRPr="00970640">
        <w:rPr>
          <w:rFonts w:ascii="Times New Roman" w:hAnsi="Times New Roman" w:cs="Times New Roman"/>
        </w:rPr>
        <w:t xml:space="preserve"> e.</w:t>
      </w:r>
      <w:r>
        <w:rPr>
          <w:rFonts w:ascii="Times New Roman" w:hAnsi="Times New Roman" w:cs="Times New Roman"/>
        </w:rPr>
        <w:t xml:space="preserve">g. </w:t>
      </w:r>
      <w:r w:rsidRPr="00704502">
        <w:rPr>
          <w:rFonts w:ascii="Times New Roman" w:hAnsi="Times New Roman" w:cs="Times New Roman"/>
        </w:rPr>
        <w:t>Council Regulation (EU) No 904/2010 of 7 October 2010 on administrative cooperation and combating fraud in the field of value added tax</w:t>
      </w:r>
      <w:r>
        <w:rPr>
          <w:rFonts w:ascii="Times New Roman" w:hAnsi="Times New Roman" w:cs="Times New Roman"/>
        </w:rPr>
        <w:t xml:space="preserve">, </w:t>
      </w:r>
      <w:r w:rsidRPr="00704502">
        <w:rPr>
          <w:rFonts w:ascii="Times New Roman" w:hAnsi="Times New Roman" w:cs="Times New Roman"/>
        </w:rPr>
        <w:t>MTIC is included within the EU priorities for the fight against serious and organized crime through EMPACT</w:t>
      </w:r>
      <w:r>
        <w:rPr>
          <w:rFonts w:ascii="Times New Roman" w:hAnsi="Times New Roman" w:cs="Times New Roman"/>
        </w:rPr>
        <w:t xml:space="preserve"> 2018-2021 &amp; 2022-2025.</w:t>
      </w:r>
    </w:p>
  </w:footnote>
  <w:footnote w:id="191">
    <w:p w14:paraId="17AB41C8" w14:textId="77777777" w:rsidR="003F3C88" w:rsidRDefault="003F3C88" w:rsidP="00F75B2A">
      <w:pPr>
        <w:pStyle w:val="FootnoteText"/>
        <w:jc w:val="both"/>
        <w:rPr>
          <w:lang w:val="en-GB"/>
        </w:rPr>
      </w:pPr>
      <w:r>
        <w:rPr>
          <w:rStyle w:val="FootnoteReference"/>
        </w:rPr>
        <w:footnoteRef/>
      </w:r>
      <w:r>
        <w:t xml:space="preserve"> Europol (2021) Serious and organised Crime Threat Assessment (SOCTA): A corrupting influence, European Union.</w:t>
      </w:r>
    </w:p>
  </w:footnote>
  <w:footnote w:id="192">
    <w:p w14:paraId="20074C35" w14:textId="77777777" w:rsidR="003F3C88" w:rsidRDefault="003F3C88" w:rsidP="00F75B2A">
      <w:pPr>
        <w:pStyle w:val="FootnoteText"/>
        <w:jc w:val="both"/>
      </w:pPr>
      <w:r>
        <w:rPr>
          <w:rStyle w:val="FootnoteReference"/>
        </w:rPr>
        <w:footnoteRef/>
      </w:r>
      <w:r>
        <w:t xml:space="preserve"> UNODC and UNICRI (2005) Trends in Crime and Justice: The evolving challenge of transnational organised crime, 25–54.</w:t>
      </w:r>
    </w:p>
  </w:footnote>
  <w:footnote w:id="193">
    <w:p w14:paraId="530349B8" w14:textId="77777777" w:rsidR="003F3C88" w:rsidRDefault="003F3C88" w:rsidP="00F75B2A">
      <w:pPr>
        <w:pStyle w:val="FootnoteText"/>
        <w:jc w:val="both"/>
      </w:pPr>
      <w:r>
        <w:rPr>
          <w:rStyle w:val="FootnoteReference"/>
        </w:rPr>
        <w:footnoteRef/>
      </w:r>
      <w:r>
        <w:t xml:space="preserve"> RAND Europe &amp; EY for the EC (2021) Mapping the risk of serious and organised crime infiltrating legitimate businesses.</w:t>
      </w:r>
    </w:p>
  </w:footnote>
  <w:footnote w:id="194">
    <w:p w14:paraId="40300816" w14:textId="77777777" w:rsidR="003F3C88" w:rsidRDefault="003F3C88" w:rsidP="00F75B2A">
      <w:pPr>
        <w:pStyle w:val="FootnoteText"/>
        <w:jc w:val="both"/>
      </w:pPr>
      <w:r>
        <w:rPr>
          <w:rStyle w:val="FootnoteReference"/>
        </w:rPr>
        <w:footnoteRef/>
      </w:r>
      <w:r>
        <w:t xml:space="preserve"> RAND Europe &amp; EY for the EC (2021) Mapping the risk of serious and organised crime infiltrating legitimate businesses.</w:t>
      </w:r>
    </w:p>
  </w:footnote>
  <w:footnote w:id="195">
    <w:p w14:paraId="0DB31195" w14:textId="77777777" w:rsidR="003F3C88" w:rsidRDefault="003F3C88" w:rsidP="00F75B2A">
      <w:pPr>
        <w:pStyle w:val="FootnoteText"/>
        <w:jc w:val="both"/>
        <w:rPr>
          <w:lang w:val="en-GB"/>
        </w:rPr>
      </w:pPr>
      <w:r>
        <w:rPr>
          <w:rStyle w:val="FootnoteReference"/>
        </w:rPr>
        <w:footnoteRef/>
      </w:r>
      <w:r>
        <w:t xml:space="preserve"> European Commission. (2018). 'Second report on the progress made in the fight against trafficking in human beings (2018) as required under Article 20 of Directive 2011/36/EU on preventing and combating trafficking in human beings and protecting its victims'. Available at: </w:t>
      </w:r>
      <w:hyperlink r:id="rId34" w:history="1">
        <w:r>
          <w:rPr>
            <w:rStyle w:val="Hyperlink"/>
          </w:rPr>
          <w:t>link</w:t>
        </w:r>
      </w:hyperlink>
      <w:r>
        <w:t xml:space="preserve">. European Commission. (2020). 'Report from the Commission to the European Parliament. Third report on the progress made in the fight against trafficking in human beings (2020) as required under Article 20 of Directive 2011/36/EU on preventing and combating trafficking in human beings and protecting its victims {SWD (2020) 226 final}'. Available at </w:t>
      </w:r>
      <w:hyperlink r:id="rId35" w:history="1">
        <w:r>
          <w:rPr>
            <w:rStyle w:val="Hyperlink"/>
          </w:rPr>
          <w:t>link</w:t>
        </w:r>
      </w:hyperlink>
      <w:r>
        <w:t xml:space="preserve">. </w:t>
      </w:r>
    </w:p>
  </w:footnote>
  <w:footnote w:id="196">
    <w:p w14:paraId="29B62F96" w14:textId="77777777" w:rsidR="003F3C88" w:rsidRDefault="003F3C88" w:rsidP="00F75B2A">
      <w:pPr>
        <w:pStyle w:val="FootnoteText"/>
        <w:jc w:val="both"/>
        <w:rPr>
          <w:lang w:val="en-GB"/>
        </w:rPr>
      </w:pPr>
      <w:r>
        <w:rPr>
          <w:rStyle w:val="FootnoteReference"/>
        </w:rPr>
        <w:footnoteRef/>
      </w:r>
      <w:r>
        <w:t xml:space="preserve"> Member States’ notifications of the temporary reintroduction of border control at internal borders pursuant to Article 25 and 28 et seq. of the Schengen Borders Code: https://ec.europa.eu/home-affairs/sites/homeaffairs/files/what-we-do/policies/borders-and-visas/schengen/reintroduction-border-control/docs/ms_notifications_-_reintroduction_of_border_control.pdf</w:t>
      </w:r>
    </w:p>
  </w:footnote>
  <w:footnote w:id="197">
    <w:p w14:paraId="4D4C58A5" w14:textId="77777777" w:rsidR="003F3C88" w:rsidRDefault="003F3C88" w:rsidP="00F75B2A">
      <w:pPr>
        <w:pStyle w:val="FootnoteText"/>
        <w:jc w:val="both"/>
        <w:rPr>
          <w:lang w:val="en-GB"/>
        </w:rPr>
      </w:pPr>
      <w:r>
        <w:rPr>
          <w:rStyle w:val="FootnoteReference"/>
        </w:rPr>
        <w:footnoteRef/>
      </w:r>
      <w:r>
        <w:t xml:space="preserve"> COMMISSION RECOMMENDATION of 12.5.2017 </w:t>
      </w:r>
      <w:bookmarkStart w:id="169" w:name="_Hlk74152253"/>
      <w:r>
        <w:t>on proportionate police checks and police cooperation in the Schengen are</w:t>
      </w:r>
      <w:bookmarkEnd w:id="169"/>
      <w:r>
        <w:t>a C(2017) 3349 final</w:t>
      </w:r>
    </w:p>
  </w:footnote>
  <w:footnote w:id="198">
    <w:p w14:paraId="04F192E7" w14:textId="77777777" w:rsidR="003F3C88" w:rsidRPr="005F062D" w:rsidRDefault="003F3C88" w:rsidP="00F75B2A">
      <w:pPr>
        <w:pStyle w:val="FootnoteText"/>
        <w:jc w:val="both"/>
      </w:pPr>
      <w:r>
        <w:rPr>
          <w:rStyle w:val="FootnoteReference"/>
        </w:rPr>
        <w:footnoteRef/>
      </w:r>
      <w:r>
        <w:t xml:space="preserve"> For intra-EU labour mobility, please see Eurostat (2021) People on the move. Available at </w:t>
      </w:r>
      <w:hyperlink r:id="rId36" w:history="1">
        <w:r>
          <w:rPr>
            <w:rStyle w:val="Hyperlink"/>
          </w:rPr>
          <w:t>link</w:t>
        </w:r>
      </w:hyperlink>
      <w:r>
        <w:t xml:space="preserve">. Four cross-border tourism, please see Eurostat (2021) EU tourism halved in 2020. Available at </w:t>
      </w:r>
      <w:hyperlink r:id="rId37" w:history="1">
        <w:r>
          <w:rPr>
            <w:rStyle w:val="Hyperlink"/>
          </w:rPr>
          <w:t>link</w:t>
        </w:r>
      </w:hyperlink>
      <w:r>
        <w:t>.</w:t>
      </w:r>
    </w:p>
  </w:footnote>
  <w:footnote w:id="199">
    <w:p w14:paraId="429D5D0B" w14:textId="77777777" w:rsidR="003F3C88" w:rsidRPr="004C43B4" w:rsidRDefault="003F3C88" w:rsidP="00F75B2A">
      <w:pPr>
        <w:pStyle w:val="FootnoteText"/>
        <w:jc w:val="both"/>
      </w:pPr>
      <w:r>
        <w:rPr>
          <w:rStyle w:val="FootnoteReference"/>
        </w:rPr>
        <w:footnoteRef/>
      </w:r>
      <w:r>
        <w:t xml:space="preserve"> Eurostat (2021) People on the move. Available at </w:t>
      </w:r>
      <w:hyperlink r:id="rId38" w:history="1">
        <w:r>
          <w:rPr>
            <w:rStyle w:val="Hyperlink"/>
          </w:rPr>
          <w:t>link</w:t>
        </w:r>
      </w:hyperlink>
      <w:r>
        <w:t>.</w:t>
      </w:r>
    </w:p>
  </w:footnote>
  <w:footnote w:id="200">
    <w:p w14:paraId="2A074085" w14:textId="77777777" w:rsidR="003F3C88" w:rsidRDefault="003F3C88" w:rsidP="00F75B2A">
      <w:pPr>
        <w:pStyle w:val="FootnoteText"/>
        <w:jc w:val="both"/>
        <w:rPr>
          <w:lang w:val="en-GB"/>
        </w:rPr>
      </w:pPr>
      <w:r>
        <w:rPr>
          <w:rStyle w:val="FootnoteReference"/>
        </w:rPr>
        <w:footnoteRef/>
      </w:r>
      <w:r>
        <w:t xml:space="preserve"> European Commission (2017) Boosting Growth and cohesion in EU border regions. </w:t>
      </w:r>
      <w:r>
        <w:rPr>
          <w:lang w:val="en-GB"/>
        </w:rPr>
        <w:t xml:space="preserve">Brussels: European Commission. Available at </w:t>
      </w:r>
      <w:hyperlink r:id="rId39" w:history="1">
        <w:r>
          <w:rPr>
            <w:rStyle w:val="Hyperlink"/>
            <w:lang w:val="en-GB"/>
          </w:rPr>
          <w:t>link</w:t>
        </w:r>
      </w:hyperlink>
      <w:r>
        <w:rPr>
          <w:lang w:val="en-GB"/>
        </w:rPr>
        <w:t xml:space="preserve"> .</w:t>
      </w:r>
    </w:p>
  </w:footnote>
  <w:footnote w:id="201">
    <w:p w14:paraId="7342F9C4" w14:textId="77777777" w:rsidR="003F3C88" w:rsidRDefault="003F3C88" w:rsidP="00F75B2A">
      <w:pPr>
        <w:pStyle w:val="FootnoteText"/>
        <w:jc w:val="both"/>
      </w:pPr>
      <w:r>
        <w:rPr>
          <w:rStyle w:val="FootnoteReference"/>
        </w:rPr>
        <w:footnoteRef/>
      </w:r>
      <w:r>
        <w:rPr>
          <w:lang w:val="en-GB"/>
        </w:rPr>
        <w:t xml:space="preserve"> Eurostat (</w:t>
      </w:r>
      <w:r>
        <w:t xml:space="preserve">2020). </w:t>
      </w:r>
      <w:bookmarkStart w:id="171" w:name="_Hlk74152287"/>
      <w:r>
        <w:rPr>
          <w:i/>
          <w:iCs/>
        </w:rPr>
        <w:t>People on the move – statistics on mobility in Europe</w:t>
      </w:r>
      <w:bookmarkEnd w:id="171"/>
      <w:r>
        <w:rPr>
          <w:i/>
          <w:iCs/>
        </w:rPr>
        <w:t>.</w:t>
      </w:r>
      <w:r>
        <w:t xml:space="preserve"> As of 8 April 2021: Available at </w:t>
      </w:r>
      <w:hyperlink r:id="rId40" w:history="1">
        <w:r>
          <w:rPr>
            <w:rStyle w:val="Hyperlink"/>
          </w:rPr>
          <w:t>link</w:t>
        </w:r>
      </w:hyperlink>
      <w:r>
        <w:t>, p. 26.</w:t>
      </w:r>
    </w:p>
  </w:footnote>
  <w:footnote w:id="202">
    <w:p w14:paraId="6B74D108" w14:textId="77777777" w:rsidR="003F3C88" w:rsidRDefault="003F3C88" w:rsidP="00F75B2A">
      <w:pPr>
        <w:pStyle w:val="FootnoteText"/>
        <w:jc w:val="both"/>
      </w:pPr>
      <w:r>
        <w:rPr>
          <w:rStyle w:val="FootnoteReference"/>
        </w:rPr>
        <w:footnoteRef/>
      </w:r>
      <w:r>
        <w:t xml:space="preserve"> </w:t>
      </w:r>
      <w:r>
        <w:rPr>
          <w:lang w:val="en-GB"/>
        </w:rPr>
        <w:t>Eurostat (</w:t>
      </w:r>
      <w:r>
        <w:t xml:space="preserve">2020). </w:t>
      </w:r>
      <w:r>
        <w:rPr>
          <w:i/>
          <w:iCs/>
        </w:rPr>
        <w:t>People on the move – statistics on mobility in Europe.</w:t>
      </w:r>
      <w:r>
        <w:t xml:space="preserve"> As of 8 April 2021</w:t>
      </w:r>
      <w:r>
        <w:rPr>
          <w:i/>
          <w:iCs/>
        </w:rPr>
        <w:t xml:space="preserve">. </w:t>
      </w:r>
      <w:r>
        <w:t xml:space="preserve">Available at: </w:t>
      </w:r>
      <w:hyperlink r:id="rId41" w:history="1">
        <w:r>
          <w:rPr>
            <w:rStyle w:val="Hyperlink"/>
          </w:rPr>
          <w:t>link</w:t>
        </w:r>
      </w:hyperlink>
      <w:r>
        <w:t xml:space="preserve">, p. 28. </w:t>
      </w:r>
    </w:p>
  </w:footnote>
  <w:footnote w:id="203">
    <w:p w14:paraId="7B84116B" w14:textId="77777777" w:rsidR="003F3C88" w:rsidRDefault="003F3C88" w:rsidP="00F75B2A">
      <w:pPr>
        <w:pStyle w:val="FootnoteText"/>
        <w:jc w:val="both"/>
      </w:pPr>
      <w:r>
        <w:rPr>
          <w:rStyle w:val="FootnoteReference"/>
        </w:rPr>
        <w:footnoteRef/>
      </w:r>
      <w:r>
        <w:t xml:space="preserve"> </w:t>
      </w:r>
      <w:bookmarkStart w:id="172" w:name="_Hlk74152355"/>
      <w:r>
        <w:t xml:space="preserve">European Commission. 2020. </w:t>
      </w:r>
      <w:r>
        <w:rPr>
          <w:i/>
          <w:iCs/>
        </w:rPr>
        <w:t>Erasmus+ Annual Report 2019</w:t>
      </w:r>
      <w:r>
        <w:t xml:space="preserve">. Luxembourg: Publications Office of the European Union. </w:t>
      </w:r>
      <w:bookmarkEnd w:id="172"/>
      <w:r>
        <w:t xml:space="preserve">As of 8 April 2021: </w:t>
      </w:r>
      <w:hyperlink r:id="rId42" w:history="1">
        <w:r>
          <w:rPr>
            <w:rStyle w:val="Hyperlink"/>
          </w:rPr>
          <w:t>link</w:t>
        </w:r>
      </w:hyperlink>
      <w:r>
        <w:t>, p. 32.</w:t>
      </w:r>
    </w:p>
  </w:footnote>
  <w:footnote w:id="204">
    <w:p w14:paraId="149D3D45" w14:textId="77777777" w:rsidR="003F3C88" w:rsidRDefault="003F3C88" w:rsidP="00F75B2A">
      <w:pPr>
        <w:pStyle w:val="FootnoteText"/>
        <w:jc w:val="both"/>
      </w:pPr>
      <w:r>
        <w:rPr>
          <w:rStyle w:val="FootnoteReference"/>
        </w:rPr>
        <w:footnoteRef/>
      </w:r>
      <w:r>
        <w:t xml:space="preserve"> Eurostat (2020)</w:t>
      </w:r>
      <w:r>
        <w:rPr>
          <w:i/>
          <w:iCs/>
        </w:rPr>
        <w:t xml:space="preserve"> EU citizens living in another Member State - statistical overview. </w:t>
      </w:r>
      <w:r>
        <w:t xml:space="preserve">As of 8 April 2021: </w:t>
      </w:r>
      <w:hyperlink r:id="rId43" w:anchor=":~:text=Among%20the%20EU%20citizens%20of,of%20their%20citizenship%20in%202019" w:history="1">
        <w:r>
          <w:rPr>
            <w:rStyle w:val="Hyperlink"/>
          </w:rPr>
          <w:t>link</w:t>
        </w:r>
      </w:hyperlink>
      <w:r>
        <w:t xml:space="preserve">. </w:t>
      </w:r>
    </w:p>
  </w:footnote>
  <w:footnote w:id="205">
    <w:p w14:paraId="6F443C3B" w14:textId="77777777" w:rsidR="003F3C88" w:rsidRDefault="003F3C88" w:rsidP="00F75B2A">
      <w:pPr>
        <w:pStyle w:val="FootnoteText"/>
        <w:jc w:val="both"/>
      </w:pPr>
      <w:r>
        <w:rPr>
          <w:rStyle w:val="FootnoteReference"/>
        </w:rPr>
        <w:footnoteRef/>
      </w:r>
      <w:r>
        <w:t xml:space="preserve"> Frontex (2020) </w:t>
      </w:r>
      <w:r>
        <w:rPr>
          <w:i/>
          <w:iCs/>
        </w:rPr>
        <w:t>Risk analysis for 2020</w:t>
      </w:r>
      <w:r>
        <w:t>. Luxembourg: Publications Office of the European Union, p. 36.</w:t>
      </w:r>
    </w:p>
  </w:footnote>
  <w:footnote w:id="206">
    <w:p w14:paraId="27C79E2B" w14:textId="77777777" w:rsidR="003F3C88" w:rsidRPr="00824A34" w:rsidRDefault="003F3C88" w:rsidP="00F75B2A">
      <w:pPr>
        <w:pStyle w:val="FootnoteText"/>
        <w:jc w:val="both"/>
      </w:pPr>
      <w:r>
        <w:rPr>
          <w:rStyle w:val="FootnoteReference"/>
        </w:rPr>
        <w:footnoteRef/>
      </w:r>
      <w:r>
        <w:t xml:space="preserve"> </w:t>
      </w:r>
      <w:bookmarkStart w:id="173" w:name="_Hlk69408505"/>
      <w:r>
        <w:t>Eurostat (2021) Nights spent at tourist accommodation establishments by residents/non-residents</w:t>
      </w:r>
      <w:bookmarkEnd w:id="173"/>
      <w:r w:rsidRPr="00767AB3">
        <w:t>. Available</w:t>
      </w:r>
      <w:r>
        <w:t xml:space="preserve"> at </w:t>
      </w:r>
      <w:hyperlink r:id="rId44" w:history="1">
        <w:r>
          <w:rPr>
            <w:rStyle w:val="Hyperlink"/>
          </w:rPr>
          <w:t>link</w:t>
        </w:r>
      </w:hyperlink>
      <w:r>
        <w:t>.</w:t>
      </w:r>
    </w:p>
  </w:footnote>
  <w:footnote w:id="207">
    <w:p w14:paraId="300B9F7B" w14:textId="77777777" w:rsidR="003F3C88" w:rsidRPr="005F062D" w:rsidRDefault="003F3C88" w:rsidP="00F75B2A">
      <w:pPr>
        <w:pStyle w:val="FootnoteText"/>
        <w:jc w:val="both"/>
      </w:pPr>
      <w:r>
        <w:rPr>
          <w:rStyle w:val="FootnoteReference"/>
        </w:rPr>
        <w:footnoteRef/>
      </w:r>
      <w:r>
        <w:t xml:space="preserve"> Eurostat (2021) People on the move</w:t>
      </w:r>
      <w:r w:rsidRPr="00767AB3">
        <w:t>. Available</w:t>
      </w:r>
      <w:r>
        <w:t xml:space="preserve"> at </w:t>
      </w:r>
      <w:hyperlink r:id="rId45" w:history="1">
        <w:r>
          <w:rPr>
            <w:rStyle w:val="Hyperlink"/>
          </w:rPr>
          <w:t>link</w:t>
        </w:r>
      </w:hyperlink>
      <w:r>
        <w:t>.</w:t>
      </w:r>
    </w:p>
  </w:footnote>
  <w:footnote w:id="208">
    <w:p w14:paraId="48F1EC94" w14:textId="77777777" w:rsidR="003F3C88" w:rsidRPr="003A425E" w:rsidRDefault="003F3C88" w:rsidP="00F75B2A">
      <w:pPr>
        <w:pStyle w:val="FootnoteText"/>
        <w:jc w:val="both"/>
      </w:pPr>
      <w:r>
        <w:rPr>
          <w:rStyle w:val="FootnoteReference"/>
        </w:rPr>
        <w:footnoteRef/>
      </w:r>
      <w:r>
        <w:t xml:space="preserve"> BBC News (2021) Swindon railway station as gateway for drug trafficking</w:t>
      </w:r>
      <w:r w:rsidRPr="00767AB3">
        <w:t>. Available</w:t>
      </w:r>
      <w:r>
        <w:t xml:space="preserve"> at </w:t>
      </w:r>
      <w:hyperlink r:id="rId46" w:history="1">
        <w:r>
          <w:rPr>
            <w:rStyle w:val="Hyperlink"/>
          </w:rPr>
          <w:t>link</w:t>
        </w:r>
      </w:hyperlink>
      <w:r>
        <w:t>.</w:t>
      </w:r>
    </w:p>
  </w:footnote>
  <w:footnote w:id="209">
    <w:p w14:paraId="040DBAC4" w14:textId="77777777" w:rsidR="003F3C88" w:rsidRDefault="003F3C88" w:rsidP="00F75B2A">
      <w:pPr>
        <w:pStyle w:val="FootnoteText"/>
        <w:jc w:val="both"/>
      </w:pPr>
      <w:r>
        <w:rPr>
          <w:rStyle w:val="FootnoteReference"/>
        </w:rPr>
        <w:footnoteRef/>
      </w:r>
      <w:r>
        <w:t xml:space="preserve"> Focus Group on FR-CH bilateral agreement.</w:t>
      </w:r>
    </w:p>
  </w:footnote>
  <w:footnote w:id="210">
    <w:p w14:paraId="1DC2B23E" w14:textId="77777777" w:rsidR="003F3C88" w:rsidRDefault="003F3C88" w:rsidP="00F75B2A">
      <w:pPr>
        <w:pStyle w:val="FootnoteText"/>
        <w:jc w:val="both"/>
        <w:rPr>
          <w:lang w:val="en-GB"/>
        </w:rPr>
      </w:pPr>
      <w:r>
        <w:rPr>
          <w:rStyle w:val="FootnoteReference"/>
        </w:rPr>
        <w:footnoteRef/>
      </w:r>
      <w:r>
        <w:t xml:space="preserve"> Focus Group on DE-CZ bilateral agreement.</w:t>
      </w:r>
    </w:p>
  </w:footnote>
  <w:footnote w:id="211">
    <w:p w14:paraId="513CC179" w14:textId="77777777" w:rsidR="003F3C88" w:rsidRDefault="003F3C88" w:rsidP="00F75B2A">
      <w:pPr>
        <w:pStyle w:val="FootnoteText"/>
        <w:jc w:val="both"/>
      </w:pPr>
      <w:r>
        <w:rPr>
          <w:rStyle w:val="FootnoteReference"/>
        </w:rPr>
        <w:footnoteRef/>
      </w:r>
      <w:r>
        <w:t xml:space="preserve"> Focus Group on Benelux trilateral agreement.</w:t>
      </w:r>
    </w:p>
  </w:footnote>
  <w:footnote w:id="212">
    <w:p w14:paraId="22D72DB4" w14:textId="77777777" w:rsidR="003F3C88" w:rsidRDefault="003F3C88" w:rsidP="00F75B2A">
      <w:pPr>
        <w:pStyle w:val="FootnoteText"/>
        <w:jc w:val="both"/>
      </w:pPr>
      <w:r>
        <w:rPr>
          <w:rStyle w:val="FootnoteReference"/>
        </w:rPr>
        <w:footnoteRef/>
      </w:r>
      <w:r>
        <w:t xml:space="preserve"> Survey: Q 92, 1 representative from a PCCC.</w:t>
      </w:r>
    </w:p>
  </w:footnote>
  <w:footnote w:id="213">
    <w:p w14:paraId="340117B3" w14:textId="77777777" w:rsidR="003F3C88" w:rsidRDefault="003F3C88" w:rsidP="00F75B2A">
      <w:pPr>
        <w:pStyle w:val="FootnoteText"/>
        <w:jc w:val="both"/>
      </w:pPr>
      <w:r>
        <w:rPr>
          <w:rStyle w:val="FootnoteReference"/>
        </w:rPr>
        <w:footnoteRef/>
      </w:r>
      <w:r>
        <w:t xml:space="preserve"> Focus Group on Benelux trilateral agreement.</w:t>
      </w:r>
    </w:p>
  </w:footnote>
  <w:footnote w:id="214">
    <w:p w14:paraId="28F7088B" w14:textId="77777777" w:rsidR="003F3C88" w:rsidRDefault="003F3C88" w:rsidP="00F75B2A">
      <w:pPr>
        <w:pStyle w:val="FootnoteText"/>
        <w:jc w:val="both"/>
        <w:rPr>
          <w:lang w:val="en-GB"/>
        </w:rPr>
      </w:pPr>
      <w:r>
        <w:rPr>
          <w:rStyle w:val="FootnoteReference"/>
        </w:rPr>
        <w:footnoteRef/>
      </w:r>
      <w:r>
        <w:t xml:space="preserve"> Focus Group on Nordic multilateral agreement; Survey: Q 13A, 1 </w:t>
      </w:r>
      <w:r w:rsidRPr="00A94223">
        <w:t xml:space="preserve">National EMPACT Coordinators </w:t>
      </w:r>
      <w:r>
        <w:t>(NEC), 2 representatives from public order departments/</w:t>
      </w:r>
      <w:r w:rsidRPr="00A94223">
        <w:t xml:space="preserve"> National Football Info Points </w:t>
      </w:r>
      <w:r>
        <w:t>(NFIP) and 1 representative from a PCCC.</w:t>
      </w:r>
    </w:p>
  </w:footnote>
  <w:footnote w:id="215">
    <w:p w14:paraId="280F8028" w14:textId="77777777" w:rsidR="003F3C88" w:rsidRDefault="003F3C88" w:rsidP="00F75B2A">
      <w:pPr>
        <w:pStyle w:val="FootnoteText"/>
        <w:jc w:val="both"/>
        <w:rPr>
          <w:lang w:val="en-GB"/>
        </w:rPr>
      </w:pPr>
      <w:r>
        <w:rPr>
          <w:rStyle w:val="FootnoteReference"/>
        </w:rPr>
        <w:footnoteRef/>
      </w:r>
      <w:r>
        <w:t xml:space="preserve"> </w:t>
      </w:r>
      <w:r>
        <w:rPr>
          <w:lang w:val="en-GB"/>
        </w:rPr>
        <w:t xml:space="preserve">Survey: Q 13A, 2 representatives from </w:t>
      </w:r>
      <w:r>
        <w:t>public order departments/NFIP and 1 representative from a SPOC.</w:t>
      </w:r>
    </w:p>
  </w:footnote>
  <w:footnote w:id="216">
    <w:p w14:paraId="75B45931" w14:textId="77777777" w:rsidR="003F3C88" w:rsidRDefault="003F3C88" w:rsidP="00F75B2A">
      <w:pPr>
        <w:pStyle w:val="FootnoteText"/>
        <w:jc w:val="both"/>
      </w:pPr>
      <w:r>
        <w:rPr>
          <w:rStyle w:val="FootnoteReference"/>
        </w:rPr>
        <w:footnoteRef/>
      </w:r>
      <w:r>
        <w:t xml:space="preserve"> Europol. 2020. EU Terrorism Situation and Trend Report.</w:t>
      </w:r>
    </w:p>
  </w:footnote>
  <w:footnote w:id="217">
    <w:p w14:paraId="22CEA4C3" w14:textId="77777777" w:rsidR="003F3C88" w:rsidRDefault="003F3C88" w:rsidP="00F75B2A">
      <w:pPr>
        <w:pStyle w:val="FootnoteText"/>
        <w:jc w:val="both"/>
      </w:pPr>
      <w:r>
        <w:rPr>
          <w:rStyle w:val="FootnoteReference"/>
        </w:rPr>
        <w:footnoteRef/>
      </w:r>
      <w:r>
        <w:t xml:space="preserve"> Survey: Q 92, 1 representative from a public order department/NFIP.</w:t>
      </w:r>
    </w:p>
  </w:footnote>
  <w:footnote w:id="218">
    <w:p w14:paraId="6C939F55" w14:textId="77777777" w:rsidR="003F3C88" w:rsidRDefault="003F3C88" w:rsidP="00F75B2A">
      <w:pPr>
        <w:pStyle w:val="FootnoteText"/>
        <w:jc w:val="both"/>
        <w:rPr>
          <w:lang w:val="en-GB"/>
        </w:rPr>
      </w:pPr>
      <w:r>
        <w:rPr>
          <w:rStyle w:val="FootnoteReference"/>
        </w:rPr>
        <w:footnoteRef/>
      </w:r>
      <w:r>
        <w:t xml:space="preserve"> </w:t>
      </w:r>
      <w:r>
        <w:rPr>
          <w:lang w:val="en-GB"/>
        </w:rPr>
        <w:t>Council Document 13887/20 - Manual on cross-border operations</w:t>
      </w:r>
      <w:r>
        <w:t xml:space="preserve">. Available at: </w:t>
      </w:r>
      <w:hyperlink r:id="rId47" w:history="1">
        <w:r>
          <w:rPr>
            <w:rStyle w:val="Hyperlink"/>
          </w:rPr>
          <w:t>link</w:t>
        </w:r>
      </w:hyperlink>
      <w:r>
        <w:rPr>
          <w:rStyle w:val="Hyperlink"/>
        </w:rPr>
        <w:t>.</w:t>
      </w:r>
    </w:p>
  </w:footnote>
  <w:footnote w:id="219">
    <w:p w14:paraId="76547F8E" w14:textId="77777777" w:rsidR="003F3C88" w:rsidRDefault="003F3C88" w:rsidP="00F75B2A">
      <w:pPr>
        <w:pStyle w:val="FootnoteText"/>
        <w:jc w:val="both"/>
      </w:pPr>
      <w:r>
        <w:rPr>
          <w:rStyle w:val="FootnoteReference"/>
        </w:rPr>
        <w:footnoteRef/>
      </w:r>
      <w:r>
        <w:t xml:space="preserve"> Council of the European Union (2016) Council Resolution concerning an updated handbook with recommendations for international police cooperation and measures to prevent and control violence and disturbances in connection with football matches with an international dimension, in which at least one Member State is involved (‘EU Football Handbook’). </w:t>
      </w:r>
      <w:r>
        <w:rPr>
          <w:i/>
          <w:iCs/>
        </w:rPr>
        <w:t>Official Journal of the European Union</w:t>
      </w:r>
      <w:r>
        <w:t xml:space="preserve">, 444(01). </w:t>
      </w:r>
      <w:hyperlink r:id="rId48" w:history="1">
        <w:r>
          <w:rPr>
            <w:rStyle w:val="Hyperlink"/>
          </w:rPr>
          <w:t>link</w:t>
        </w:r>
      </w:hyperlink>
      <w:r>
        <w:rPr>
          <w:rStyle w:val="Hyperlink"/>
        </w:rPr>
        <w:t>.</w:t>
      </w:r>
    </w:p>
  </w:footnote>
  <w:footnote w:id="220">
    <w:p w14:paraId="22AE5835" w14:textId="77777777" w:rsidR="003F3C88" w:rsidRDefault="003F3C88" w:rsidP="00F75B2A">
      <w:pPr>
        <w:pStyle w:val="FootnoteText"/>
        <w:jc w:val="both"/>
      </w:pPr>
      <w:r>
        <w:rPr>
          <w:rStyle w:val="FootnoteReference"/>
        </w:rPr>
        <w:footnoteRef/>
      </w:r>
      <w:r>
        <w:t xml:space="preserve"> Survey: Q 13A, 1 representative from a PCCC and one representative from a specialised investigative Unit; Q 92, 1 representative from a SPOC.</w:t>
      </w:r>
    </w:p>
  </w:footnote>
  <w:footnote w:id="221">
    <w:p w14:paraId="157AB935" w14:textId="77777777" w:rsidR="003F3C88" w:rsidRPr="004373BC" w:rsidRDefault="003F3C88" w:rsidP="00F75B2A">
      <w:pPr>
        <w:pStyle w:val="FootnoteText"/>
        <w:jc w:val="both"/>
      </w:pPr>
      <w:r>
        <w:rPr>
          <w:rStyle w:val="FootnoteReference"/>
        </w:rPr>
        <w:footnoteRef/>
      </w:r>
      <w:r w:rsidRPr="00AB6984">
        <w:t xml:space="preserve"> </w:t>
      </w:r>
      <w:bookmarkStart w:id="174" w:name="_Hlk69408586"/>
      <w:r w:rsidRPr="00AB6984">
        <w:t>Eurostat (2021</w:t>
      </w:r>
      <w:r>
        <w:t>)</w:t>
      </w:r>
      <w:r w:rsidRPr="00AB6984">
        <w:t xml:space="preserve"> Extra-EU imports of main CPA groups, 2015-2019</w:t>
      </w:r>
      <w:bookmarkEnd w:id="174"/>
      <w:r>
        <w:t>.</w:t>
      </w:r>
      <w:r w:rsidRPr="00AB6984">
        <w:t xml:space="preserve"> </w:t>
      </w:r>
      <w:r>
        <w:t>Available</w:t>
      </w:r>
      <w:r w:rsidRPr="00AB6984">
        <w:t xml:space="preserve"> at </w:t>
      </w:r>
      <w:hyperlink r:id="rId49" w:anchor="EU-27_imports_by_CPA_groups" w:history="1">
        <w:r>
          <w:rPr>
            <w:rStyle w:val="Hyperlink"/>
          </w:rPr>
          <w:t>link</w:t>
        </w:r>
      </w:hyperlink>
      <w:r w:rsidRPr="00AB6984">
        <w:t>.</w:t>
      </w:r>
    </w:p>
  </w:footnote>
  <w:footnote w:id="222">
    <w:p w14:paraId="201FD277" w14:textId="77777777" w:rsidR="003F3C88" w:rsidRPr="00ED18D7" w:rsidRDefault="003F3C88" w:rsidP="00F75B2A">
      <w:pPr>
        <w:pStyle w:val="FootnoteText"/>
        <w:jc w:val="both"/>
        <w:rPr>
          <w:lang w:val="en-GB"/>
        </w:rPr>
      </w:pPr>
      <w:r>
        <w:rPr>
          <w:rStyle w:val="FootnoteReference"/>
        </w:rPr>
        <w:footnoteRef/>
      </w:r>
      <w:r>
        <w:t xml:space="preserve"> </w:t>
      </w:r>
      <w:bookmarkStart w:id="175" w:name="_Hlk69408558"/>
      <w:r w:rsidRPr="00ED18D7">
        <w:rPr>
          <w:lang w:val="en-GB"/>
        </w:rPr>
        <w:t>BBC (2021</w:t>
      </w:r>
      <w:r>
        <w:rPr>
          <w:lang w:val="en-GB"/>
        </w:rPr>
        <w:t>)</w:t>
      </w:r>
      <w:r w:rsidRPr="00ED18D7">
        <w:rPr>
          <w:lang w:val="en-GB"/>
        </w:rPr>
        <w:t xml:space="preserve"> Suez Canal reopens after giant stranded ship is freed</w:t>
      </w:r>
      <w:bookmarkEnd w:id="175"/>
      <w:r>
        <w:rPr>
          <w:lang w:val="en-GB"/>
        </w:rPr>
        <w:t>.</w:t>
      </w:r>
      <w:r w:rsidRPr="00ED18D7">
        <w:rPr>
          <w:lang w:val="en-GB"/>
        </w:rPr>
        <w:t xml:space="preserve"> </w:t>
      </w:r>
      <w:r>
        <w:t xml:space="preserve">Available </w:t>
      </w:r>
      <w:r w:rsidRPr="00ED18D7">
        <w:rPr>
          <w:lang w:val="en-GB"/>
        </w:rPr>
        <w:t xml:space="preserve">at </w:t>
      </w:r>
      <w:hyperlink r:id="rId50" w:tgtFrame="_blank" w:tooltip="https://www.bbc.com/news/world-middle-east-56567985" w:history="1">
        <w:r>
          <w:rPr>
            <w:rStyle w:val="Hyperlink"/>
            <w:lang w:val="en-GB"/>
          </w:rPr>
          <w:t>link</w:t>
        </w:r>
      </w:hyperlink>
      <w:r w:rsidRPr="00ED18D7">
        <w:rPr>
          <w:lang w:val="en-GB"/>
        </w:rPr>
        <w:t>.</w:t>
      </w:r>
    </w:p>
  </w:footnote>
  <w:footnote w:id="223">
    <w:p w14:paraId="7FD9D925" w14:textId="77777777" w:rsidR="003F3C88" w:rsidRPr="006E3474" w:rsidRDefault="003F3C88" w:rsidP="00F75B2A">
      <w:pPr>
        <w:pStyle w:val="FootnoteText"/>
        <w:jc w:val="both"/>
      </w:pPr>
      <w:r>
        <w:rPr>
          <w:rStyle w:val="FootnoteReference"/>
        </w:rPr>
        <w:footnoteRef/>
      </w:r>
      <w:r>
        <w:t xml:space="preserve"> </w:t>
      </w:r>
      <w:bookmarkStart w:id="176" w:name="_Hlk69408833"/>
      <w:r>
        <w:t>Europol/European Monitoring Centre for Drugs and Drug Addiction (2019) EU Drug Markets Report 2019</w:t>
      </w:r>
      <w:bookmarkEnd w:id="176"/>
      <w:r>
        <w:t xml:space="preserve">. Available at </w:t>
      </w:r>
      <w:hyperlink r:id="rId51" w:history="1">
        <w:r>
          <w:rPr>
            <w:rStyle w:val="Hyperlink"/>
          </w:rPr>
          <w:t>link</w:t>
        </w:r>
      </w:hyperlink>
      <w:r>
        <w:t>.</w:t>
      </w:r>
    </w:p>
  </w:footnote>
  <w:footnote w:id="224">
    <w:p w14:paraId="636C704D" w14:textId="77777777" w:rsidR="003F3C88" w:rsidRPr="005F062D" w:rsidRDefault="003F3C88" w:rsidP="00F75B2A">
      <w:pPr>
        <w:pStyle w:val="FootnoteText"/>
        <w:jc w:val="both"/>
      </w:pPr>
      <w:r>
        <w:rPr>
          <w:rStyle w:val="FootnoteReference"/>
        </w:rPr>
        <w:footnoteRef/>
      </w:r>
      <w:r>
        <w:t xml:space="preserve"> Eurostat (2021) Gross domestic product at market prices. Available at </w:t>
      </w:r>
      <w:hyperlink r:id="rId52" w:history="1">
        <w:r>
          <w:rPr>
            <w:rStyle w:val="Hyperlink"/>
          </w:rPr>
          <w:t>link</w:t>
        </w:r>
      </w:hyperlink>
      <w:r>
        <w:t>.</w:t>
      </w:r>
    </w:p>
  </w:footnote>
  <w:footnote w:id="225">
    <w:p w14:paraId="521D3095" w14:textId="77777777" w:rsidR="003F3C88" w:rsidRPr="0037213D" w:rsidRDefault="003F3C88" w:rsidP="00F75B2A">
      <w:pPr>
        <w:pStyle w:val="FootnoteText"/>
        <w:jc w:val="both"/>
        <w:rPr>
          <w:lang w:val="de-DE"/>
        </w:rPr>
      </w:pPr>
      <w:r>
        <w:rPr>
          <w:rStyle w:val="FootnoteReference"/>
        </w:rPr>
        <w:footnoteRef/>
      </w:r>
      <w:r>
        <w:t xml:space="preserve"> Eurostat (2021) Gross domestic product at market prices. </w:t>
      </w:r>
      <w:r w:rsidRPr="0037213D">
        <w:rPr>
          <w:lang w:val="de-DE"/>
        </w:rPr>
        <w:t xml:space="preserve">Available at </w:t>
      </w:r>
      <w:hyperlink r:id="rId53" w:history="1">
        <w:r w:rsidRPr="0037213D">
          <w:rPr>
            <w:rStyle w:val="Hyperlink"/>
            <w:lang w:val="de-DE"/>
          </w:rPr>
          <w:t>link</w:t>
        </w:r>
      </w:hyperlink>
      <w:r w:rsidRPr="0037213D">
        <w:rPr>
          <w:lang w:val="de-DE"/>
        </w:rPr>
        <w:t>.</w:t>
      </w:r>
    </w:p>
  </w:footnote>
  <w:footnote w:id="226">
    <w:p w14:paraId="44DDB293" w14:textId="77777777" w:rsidR="003F3C88" w:rsidRPr="0037213D" w:rsidRDefault="003F3C88" w:rsidP="00F75B2A">
      <w:pPr>
        <w:pStyle w:val="FootnoteText"/>
        <w:jc w:val="both"/>
      </w:pPr>
      <w:r>
        <w:rPr>
          <w:rStyle w:val="FootnoteReference"/>
        </w:rPr>
        <w:footnoteRef/>
      </w:r>
      <w:r w:rsidRPr="007A74DA">
        <w:rPr>
          <w:lang w:val="de-DE"/>
        </w:rPr>
        <w:t xml:space="preserve"> </w:t>
      </w:r>
      <w:bookmarkStart w:id="177" w:name="_Hlk69408868"/>
      <w:r w:rsidRPr="007A74DA">
        <w:rPr>
          <w:lang w:val="de-DE"/>
        </w:rPr>
        <w:t>Der Tagesspiegel (2016</w:t>
      </w:r>
      <w:r>
        <w:rPr>
          <w:lang w:val="de-DE"/>
        </w:rPr>
        <w:t>)</w:t>
      </w:r>
      <w:r w:rsidRPr="007A74DA">
        <w:rPr>
          <w:lang w:val="de-DE"/>
        </w:rPr>
        <w:t xml:space="preserve"> So funktioniert das Netz der Taschendiebe</w:t>
      </w:r>
      <w:bookmarkEnd w:id="177"/>
      <w:r>
        <w:rPr>
          <w:lang w:val="de-DE"/>
        </w:rPr>
        <w:t xml:space="preserve">. </w:t>
      </w:r>
      <w:r w:rsidRPr="0037213D">
        <w:t xml:space="preserve">Available at </w:t>
      </w:r>
      <w:hyperlink r:id="rId54" w:history="1">
        <w:r w:rsidRPr="0037213D">
          <w:rPr>
            <w:rStyle w:val="Hyperlink"/>
          </w:rPr>
          <w:t>link</w:t>
        </w:r>
      </w:hyperlink>
      <w:r w:rsidRPr="0037213D">
        <w:t>.</w:t>
      </w:r>
    </w:p>
  </w:footnote>
  <w:footnote w:id="227">
    <w:p w14:paraId="08188134" w14:textId="77777777" w:rsidR="003F3C88" w:rsidRPr="002C38A8" w:rsidRDefault="003F3C88" w:rsidP="00F75B2A">
      <w:pPr>
        <w:pStyle w:val="FootnoteText"/>
        <w:jc w:val="both"/>
      </w:pPr>
      <w:r>
        <w:rPr>
          <w:rStyle w:val="FootnoteReference"/>
        </w:rPr>
        <w:footnoteRef/>
      </w:r>
      <w:r>
        <w:t xml:space="preserve"> Europol (2021) Serious and Organised Crime Threat Assessment: A corrupting influence, European Union. </w:t>
      </w:r>
    </w:p>
  </w:footnote>
  <w:footnote w:id="228">
    <w:p w14:paraId="2F216C87" w14:textId="77777777" w:rsidR="003F3C88" w:rsidRPr="00073844" w:rsidRDefault="003F3C88" w:rsidP="00F75B2A">
      <w:pPr>
        <w:pStyle w:val="FootnoteText"/>
        <w:jc w:val="both"/>
      </w:pPr>
      <w:r>
        <w:rPr>
          <w:rStyle w:val="FootnoteReference"/>
        </w:rPr>
        <w:footnoteRef/>
      </w:r>
      <w:r>
        <w:t xml:space="preserve"> EU Commission (2020) Use of Internet and Online Activities. Available at </w:t>
      </w:r>
      <w:hyperlink r:id="rId55" w:history="1">
        <w:r>
          <w:rPr>
            <w:rStyle w:val="Hyperlink"/>
          </w:rPr>
          <w:t>link</w:t>
        </w:r>
      </w:hyperlink>
      <w:r>
        <w:t>.</w:t>
      </w:r>
    </w:p>
  </w:footnote>
  <w:footnote w:id="229">
    <w:p w14:paraId="304D3935" w14:textId="77777777" w:rsidR="003F3C88" w:rsidRPr="002C38A8" w:rsidRDefault="003F3C88" w:rsidP="00F75B2A">
      <w:pPr>
        <w:pStyle w:val="FootnoteText"/>
        <w:jc w:val="both"/>
      </w:pPr>
      <w:r>
        <w:rPr>
          <w:rStyle w:val="FootnoteReference"/>
        </w:rPr>
        <w:footnoteRef/>
      </w:r>
      <w:r>
        <w:t xml:space="preserve"> Europol (2021) Serious and Organised Crime Threat Assessment: A corrupting influence, European Union. </w:t>
      </w:r>
    </w:p>
  </w:footnote>
  <w:footnote w:id="230">
    <w:p w14:paraId="1D9868A5" w14:textId="77777777" w:rsidR="003F3C88" w:rsidRPr="00A70050" w:rsidRDefault="003F3C88" w:rsidP="00F75B2A">
      <w:pPr>
        <w:pStyle w:val="FootnoteText"/>
        <w:jc w:val="both"/>
      </w:pPr>
      <w:r>
        <w:rPr>
          <w:rStyle w:val="FootnoteReference"/>
        </w:rPr>
        <w:footnoteRef/>
      </w:r>
      <w:r>
        <w:t xml:space="preserve"> Eurofund (2020) Living, working and COVID-19, COVID-19 series, Publication Office of the European Union. Available at </w:t>
      </w:r>
      <w:hyperlink r:id="rId56" w:history="1">
        <w:r>
          <w:rPr>
            <w:rStyle w:val="Hyperlink"/>
          </w:rPr>
          <w:t>link</w:t>
        </w:r>
      </w:hyperlink>
      <w:r>
        <w:t>.</w:t>
      </w:r>
    </w:p>
  </w:footnote>
  <w:footnote w:id="231">
    <w:p w14:paraId="7AF332DE" w14:textId="77777777" w:rsidR="003F3C88" w:rsidRPr="005F062D" w:rsidRDefault="003F3C88" w:rsidP="00F75B2A">
      <w:pPr>
        <w:pStyle w:val="FootnoteText"/>
        <w:jc w:val="both"/>
      </w:pPr>
      <w:r>
        <w:rPr>
          <w:rStyle w:val="FootnoteReference"/>
        </w:rPr>
        <w:footnoteRef/>
      </w:r>
      <w:r>
        <w:t xml:space="preserve"> Europol (2017) Serious and organised crime threat assessment. Available at </w:t>
      </w:r>
      <w:hyperlink r:id="rId57" w:history="1">
        <w:r>
          <w:rPr>
            <w:rStyle w:val="Hyperlink"/>
          </w:rPr>
          <w:t>link</w:t>
        </w:r>
      </w:hyperlink>
      <w:r>
        <w:rPr>
          <w:rStyle w:val="Hyperlink"/>
        </w:rPr>
        <w:t>.</w:t>
      </w:r>
    </w:p>
  </w:footnote>
  <w:footnote w:id="232">
    <w:p w14:paraId="5EF35FF0" w14:textId="77777777" w:rsidR="003F3C88" w:rsidRPr="004C2035" w:rsidRDefault="003F3C88" w:rsidP="00F75B2A">
      <w:pPr>
        <w:pStyle w:val="FootnoteText"/>
        <w:jc w:val="both"/>
      </w:pPr>
      <w:r>
        <w:rPr>
          <w:rStyle w:val="FootnoteReference"/>
        </w:rPr>
        <w:footnoteRef/>
      </w:r>
      <w:r>
        <w:t xml:space="preserve"> Europol (2020) Internet Organised Crime Threat Assessment. Available at </w:t>
      </w:r>
      <w:hyperlink r:id="rId58" w:history="1">
        <w:r>
          <w:rPr>
            <w:rStyle w:val="Hyperlink"/>
          </w:rPr>
          <w:t>link</w:t>
        </w:r>
      </w:hyperlink>
      <w:r>
        <w:t>.</w:t>
      </w:r>
    </w:p>
  </w:footnote>
  <w:footnote w:id="233">
    <w:p w14:paraId="39B46C9B" w14:textId="77777777" w:rsidR="003F3C88" w:rsidRPr="0042294A" w:rsidRDefault="003F3C88" w:rsidP="00F75B2A">
      <w:pPr>
        <w:pStyle w:val="FootnoteText"/>
        <w:jc w:val="both"/>
      </w:pPr>
      <w:r>
        <w:rPr>
          <w:rStyle w:val="FootnoteReference"/>
        </w:rPr>
        <w:footnoteRef/>
      </w:r>
      <w:r>
        <w:t xml:space="preserve"> </w:t>
      </w:r>
      <w:bookmarkStart w:id="181" w:name="_Hlk69408917"/>
      <w:r>
        <w:t>Interpol/Unicri (2020) Towards responsible AI innovation</w:t>
      </w:r>
      <w:bookmarkEnd w:id="181"/>
      <w:r>
        <w:t>. Available at</w:t>
      </w:r>
      <w:r w:rsidRPr="00D462A2">
        <w:t xml:space="preserve"> </w:t>
      </w:r>
      <w:hyperlink r:id="rId59" w:history="1">
        <w:r>
          <w:rPr>
            <w:rStyle w:val="Hyperlink"/>
          </w:rPr>
          <w:t>link</w:t>
        </w:r>
      </w:hyperlink>
      <w:r>
        <w:t>.</w:t>
      </w:r>
    </w:p>
  </w:footnote>
  <w:footnote w:id="234">
    <w:p w14:paraId="59B737CB" w14:textId="77777777" w:rsidR="003F3C88" w:rsidRPr="00535610" w:rsidRDefault="003F3C88" w:rsidP="00F75B2A">
      <w:pPr>
        <w:pStyle w:val="FootnoteText"/>
        <w:jc w:val="both"/>
      </w:pPr>
      <w:r>
        <w:rPr>
          <w:rStyle w:val="FootnoteReference"/>
        </w:rPr>
        <w:footnoteRef/>
      </w:r>
      <w:r>
        <w:t xml:space="preserve"> Europol (2015) Exploring tomorrow’s organised crime. Available at </w:t>
      </w:r>
      <w:hyperlink r:id="rId60" w:history="1">
        <w:r>
          <w:rPr>
            <w:rStyle w:val="Hyperlink"/>
          </w:rPr>
          <w:t>link</w:t>
        </w:r>
      </w:hyperlink>
      <w:r>
        <w:t>.</w:t>
      </w:r>
    </w:p>
  </w:footnote>
  <w:footnote w:id="235">
    <w:p w14:paraId="64E45D81" w14:textId="77777777" w:rsidR="003F3C88" w:rsidRPr="00056D33" w:rsidRDefault="003F3C88" w:rsidP="00F75B2A">
      <w:pPr>
        <w:pStyle w:val="FootnoteText"/>
        <w:jc w:val="both"/>
      </w:pPr>
      <w:r>
        <w:rPr>
          <w:rStyle w:val="FootnoteReference"/>
        </w:rPr>
        <w:footnoteRef/>
      </w:r>
      <w:r>
        <w:t xml:space="preserve"> </w:t>
      </w:r>
      <w:bookmarkStart w:id="182" w:name="_Hlk69408937"/>
      <w:r>
        <w:t>Interpol/</w:t>
      </w:r>
      <w:r w:rsidRPr="008321DF">
        <w:t>Unicri</w:t>
      </w:r>
      <w:r>
        <w:t xml:space="preserve"> (2019) Artificial intelligence and robotics for law enforcement</w:t>
      </w:r>
      <w:bookmarkEnd w:id="182"/>
      <w:r>
        <w:t xml:space="preserve">. Available at </w:t>
      </w:r>
      <w:hyperlink r:id="rId61" w:history="1">
        <w:r>
          <w:rPr>
            <w:rStyle w:val="Hyperlink"/>
          </w:rPr>
          <w:t>link</w:t>
        </w:r>
      </w:hyperlink>
      <w:r>
        <w:t>.</w:t>
      </w:r>
    </w:p>
  </w:footnote>
  <w:footnote w:id="236">
    <w:p w14:paraId="27E41A3F" w14:textId="77777777" w:rsidR="003F3C88" w:rsidRPr="005F062D" w:rsidRDefault="003F3C88" w:rsidP="00F75B2A">
      <w:pPr>
        <w:pStyle w:val="FootnoteText"/>
        <w:jc w:val="both"/>
      </w:pPr>
      <w:r>
        <w:rPr>
          <w:rStyle w:val="FootnoteReference"/>
        </w:rPr>
        <w:footnoteRef/>
      </w:r>
      <w:r>
        <w:t xml:space="preserve"> Europol (2020) Internet Organised Crime Threat Assessment. Available at </w:t>
      </w:r>
      <w:hyperlink r:id="rId62" w:history="1">
        <w:r>
          <w:rPr>
            <w:rStyle w:val="Hyperlink"/>
          </w:rPr>
          <w:t>link</w:t>
        </w:r>
      </w:hyperlink>
      <w:r>
        <w:t>.</w:t>
      </w:r>
    </w:p>
  </w:footnote>
  <w:footnote w:id="237">
    <w:p w14:paraId="74CFAA71" w14:textId="77777777" w:rsidR="003F3C88" w:rsidRPr="00AF0D71" w:rsidRDefault="003F3C88" w:rsidP="00F75B2A">
      <w:pPr>
        <w:pStyle w:val="FootnoteText"/>
        <w:jc w:val="both"/>
      </w:pPr>
      <w:r>
        <w:rPr>
          <w:rStyle w:val="FootnoteReference"/>
        </w:rPr>
        <w:footnoteRef/>
      </w:r>
      <w:r>
        <w:t xml:space="preserve"> The two crime areas (cybercrime and financial crime) were selected based on responses from the online survey. These </w:t>
      </w:r>
      <w:r w:rsidRPr="009311DF">
        <w:t>two crime areas are the areas with the highest shares of expected significant or slight increases in the next 5-10 years. Survey: Q 10, 87% (n=47) of LEA’s respondents indicated that cybercrime will slightly or significantly increase, 75% (n=42) of</w:t>
      </w:r>
      <w:r>
        <w:t xml:space="preserve"> LEA’s respondents indicated that cybercrime will slightly or significantly increase.</w:t>
      </w:r>
    </w:p>
  </w:footnote>
  <w:footnote w:id="238">
    <w:p w14:paraId="5DCA9CCC" w14:textId="77777777" w:rsidR="003F3C88" w:rsidRPr="002C38A8" w:rsidRDefault="003F3C88" w:rsidP="00F75B2A">
      <w:pPr>
        <w:pStyle w:val="FootnoteText"/>
        <w:jc w:val="both"/>
      </w:pPr>
      <w:r>
        <w:rPr>
          <w:rStyle w:val="FootnoteReference"/>
        </w:rPr>
        <w:footnoteRef/>
      </w:r>
      <w:r>
        <w:t xml:space="preserve"> Europol (2021) Serious and organised Crime Threat Assessment: A corrupting influence, European Union. </w:t>
      </w:r>
    </w:p>
  </w:footnote>
  <w:footnote w:id="239">
    <w:p w14:paraId="40EE1FBE" w14:textId="77777777" w:rsidR="003F3C88" w:rsidRPr="002C38A8" w:rsidRDefault="003F3C88" w:rsidP="00F75B2A">
      <w:pPr>
        <w:pStyle w:val="FootnoteText"/>
        <w:jc w:val="both"/>
      </w:pPr>
      <w:r>
        <w:rPr>
          <w:rStyle w:val="FootnoteReference"/>
        </w:rPr>
        <w:footnoteRef/>
      </w:r>
      <w:r>
        <w:t xml:space="preserve"> Deutsche Welle (2021) COVID aid: Germany uncovers over 25,000 cases of fraud. Available at </w:t>
      </w:r>
      <w:hyperlink r:id="rId63" w:history="1">
        <w:r>
          <w:rPr>
            <w:rStyle w:val="Hyperlink"/>
          </w:rPr>
          <w:t>link</w:t>
        </w:r>
      </w:hyperlink>
      <w:r>
        <w:t xml:space="preserve"> </w:t>
      </w:r>
    </w:p>
  </w:footnote>
  <w:footnote w:id="240">
    <w:p w14:paraId="0A448981" w14:textId="77777777" w:rsidR="003F3C88" w:rsidRPr="002C38A8" w:rsidRDefault="003F3C88" w:rsidP="002932FB">
      <w:pPr>
        <w:pStyle w:val="FootnoteText"/>
      </w:pPr>
      <w:r>
        <w:rPr>
          <w:rStyle w:val="FootnoteReference"/>
        </w:rPr>
        <w:footnoteRef/>
      </w:r>
      <w:r>
        <w:t xml:space="preserve"> Europol (2021) Serious and Organised Crime Threat Assessment: A corrupting influence, European Union.</w:t>
      </w:r>
    </w:p>
  </w:footnote>
  <w:footnote w:id="241">
    <w:p w14:paraId="025BC64D" w14:textId="77777777" w:rsidR="003F3C88" w:rsidRPr="00F11444" w:rsidRDefault="003F3C88" w:rsidP="002932FB">
      <w:pPr>
        <w:pStyle w:val="FootnoteText"/>
      </w:pPr>
      <w:r>
        <w:rPr>
          <w:rStyle w:val="FootnoteReference"/>
        </w:rPr>
        <w:footnoteRef/>
      </w:r>
      <w:r>
        <w:t xml:space="preserve"> </w:t>
      </w:r>
      <w:bookmarkStart w:id="183" w:name="_Hlk75768992"/>
      <w:r>
        <w:t xml:space="preserve">EMCDDA (2021) European Drug Report 2021. Trends and Developments. Available at </w:t>
      </w:r>
      <w:hyperlink r:id="rId64" w:history="1">
        <w:r w:rsidRPr="00F11444">
          <w:rPr>
            <w:rStyle w:val="Hyperlink"/>
          </w:rPr>
          <w:t>link</w:t>
        </w:r>
      </w:hyperlink>
      <w:bookmarkEnd w:id="183"/>
      <w:r>
        <w:t>.</w:t>
      </w:r>
    </w:p>
  </w:footnote>
  <w:footnote w:id="242">
    <w:p w14:paraId="15D32070" w14:textId="77777777" w:rsidR="003F3C88" w:rsidRPr="007F76F8" w:rsidRDefault="003F3C88" w:rsidP="002932FB">
      <w:pPr>
        <w:pStyle w:val="FootnoteText"/>
      </w:pPr>
      <w:r>
        <w:rPr>
          <w:rStyle w:val="FootnoteReference"/>
        </w:rPr>
        <w:footnoteRef/>
      </w:r>
      <w:r>
        <w:t xml:space="preserve"> Europol (2021) Serious and Organised Crime Threat Assessment: A corrupting influence, European Union.</w:t>
      </w:r>
    </w:p>
  </w:footnote>
  <w:footnote w:id="243">
    <w:p w14:paraId="5F901F76" w14:textId="77777777" w:rsidR="003F3C88" w:rsidRPr="005F062D" w:rsidRDefault="003F3C88" w:rsidP="00DE3425">
      <w:pPr>
        <w:pStyle w:val="FootnoteText"/>
        <w:jc w:val="both"/>
      </w:pPr>
      <w:r>
        <w:rPr>
          <w:rStyle w:val="FootnoteReference"/>
        </w:rPr>
        <w:footnoteRef/>
      </w:r>
      <w:r>
        <w:t xml:space="preserve"> </w:t>
      </w:r>
      <w:bookmarkStart w:id="184" w:name="_Hlk69408855"/>
      <w:r>
        <w:t>Eurostat (2021) Gross domestic product at market prices</w:t>
      </w:r>
      <w:bookmarkEnd w:id="184"/>
      <w:r>
        <w:t xml:space="preserve">. Available at </w:t>
      </w:r>
      <w:hyperlink r:id="rId65" w:history="1">
        <w:r>
          <w:rPr>
            <w:rStyle w:val="Hyperlink"/>
          </w:rPr>
          <w:t>link</w:t>
        </w:r>
      </w:hyperlink>
      <w:r>
        <w:t>.</w:t>
      </w:r>
    </w:p>
  </w:footnote>
  <w:footnote w:id="244">
    <w:p w14:paraId="3713DA3E" w14:textId="77777777" w:rsidR="003F3C88" w:rsidRPr="004373BC" w:rsidRDefault="003F3C88" w:rsidP="00DE3425">
      <w:pPr>
        <w:pStyle w:val="FootnoteText"/>
        <w:jc w:val="both"/>
      </w:pPr>
      <w:r>
        <w:rPr>
          <w:rStyle w:val="FootnoteReference"/>
        </w:rPr>
        <w:footnoteRef/>
      </w:r>
      <w:r w:rsidRPr="00AB6984">
        <w:t xml:space="preserve"> Eurostat (2021</w:t>
      </w:r>
      <w:r>
        <w:t>)</w:t>
      </w:r>
      <w:r w:rsidRPr="00AB6984">
        <w:t xml:space="preserve"> Extra-EU imports of main CPA groups, 2015-2019</w:t>
      </w:r>
      <w:r>
        <w:t>.</w:t>
      </w:r>
      <w:r w:rsidRPr="00AB6984">
        <w:t xml:space="preserve"> </w:t>
      </w:r>
      <w:r>
        <w:t>Available</w:t>
      </w:r>
      <w:r w:rsidRPr="00AB6984">
        <w:t xml:space="preserve"> at </w:t>
      </w:r>
      <w:hyperlink r:id="rId66" w:anchor="EU-27_imports_by_CPA_groups" w:history="1">
        <w:r>
          <w:rPr>
            <w:rStyle w:val="Hyperlink"/>
          </w:rPr>
          <w:t>link</w:t>
        </w:r>
      </w:hyperlink>
      <w:r w:rsidRPr="00AB6984">
        <w:t>.</w:t>
      </w:r>
    </w:p>
  </w:footnote>
  <w:footnote w:id="245">
    <w:p w14:paraId="0FA85757" w14:textId="77777777" w:rsidR="003F3C88" w:rsidRPr="006E3474" w:rsidRDefault="003F3C88" w:rsidP="00DE3425">
      <w:pPr>
        <w:pStyle w:val="FootnoteText"/>
        <w:jc w:val="both"/>
      </w:pPr>
      <w:r>
        <w:rPr>
          <w:rStyle w:val="FootnoteReference"/>
        </w:rPr>
        <w:footnoteRef/>
      </w:r>
      <w:r>
        <w:t xml:space="preserve"> Europol/European Monitoring Centre for Drugs and Drug Addiction (2019) EU Drug Markets Report 2019. Available at </w:t>
      </w:r>
      <w:hyperlink r:id="rId67" w:history="1">
        <w:r>
          <w:rPr>
            <w:rStyle w:val="Hyperlink"/>
          </w:rPr>
          <w:t>link</w:t>
        </w:r>
      </w:hyperlink>
      <w:r>
        <w:t>.</w:t>
      </w:r>
    </w:p>
  </w:footnote>
  <w:footnote w:id="246">
    <w:p w14:paraId="482B5DC7" w14:textId="77777777" w:rsidR="003F3C88" w:rsidRPr="00802A46" w:rsidRDefault="003F3C88" w:rsidP="00DE3425">
      <w:pPr>
        <w:pStyle w:val="FootnoteText"/>
        <w:jc w:val="both"/>
      </w:pPr>
      <w:r>
        <w:rPr>
          <w:rStyle w:val="FootnoteReference"/>
        </w:rPr>
        <w:footnoteRef/>
      </w:r>
      <w:r>
        <w:t xml:space="preserve"> </w:t>
      </w:r>
      <w:bookmarkStart w:id="185" w:name="_Hlk69409137"/>
      <w:r>
        <w:t>BBC News (2016) Euro 2016: Who is to blame for the Marseille violence</w:t>
      </w:r>
      <w:bookmarkEnd w:id="185"/>
      <w:r>
        <w:t xml:space="preserve">. Available at </w:t>
      </w:r>
      <w:hyperlink r:id="rId68" w:history="1">
        <w:r>
          <w:rPr>
            <w:rStyle w:val="Hyperlink"/>
          </w:rPr>
          <w:t>link</w:t>
        </w:r>
      </w:hyperlink>
      <w:r>
        <w:t>.</w:t>
      </w:r>
    </w:p>
  </w:footnote>
  <w:footnote w:id="247">
    <w:p w14:paraId="42B96579" w14:textId="77777777" w:rsidR="003F3C88" w:rsidRPr="0022005B" w:rsidRDefault="003F3C88" w:rsidP="00DE3425">
      <w:pPr>
        <w:pStyle w:val="FootnoteText"/>
        <w:jc w:val="both"/>
      </w:pPr>
      <w:r>
        <w:rPr>
          <w:rStyle w:val="FootnoteReference"/>
        </w:rPr>
        <w:footnoteRef/>
      </w:r>
      <w:r>
        <w:t xml:space="preserve"> </w:t>
      </w:r>
      <w:bookmarkStart w:id="187" w:name="_Hlk69409245"/>
      <w:r>
        <w:t>BBC News (2015) Paris attacks: What happened on the night</w:t>
      </w:r>
      <w:bookmarkEnd w:id="187"/>
      <w:r>
        <w:t xml:space="preserve">. Available at </w:t>
      </w:r>
      <w:hyperlink r:id="rId69" w:history="1">
        <w:r>
          <w:rPr>
            <w:rStyle w:val="Hyperlink"/>
          </w:rPr>
          <w:t>link</w:t>
        </w:r>
      </w:hyperlink>
      <w:r>
        <w:t>.</w:t>
      </w:r>
    </w:p>
  </w:footnote>
  <w:footnote w:id="248">
    <w:p w14:paraId="5D76A60D" w14:textId="77777777" w:rsidR="003F3C88" w:rsidRPr="005F062D" w:rsidRDefault="003F3C88" w:rsidP="00DE3425">
      <w:pPr>
        <w:pStyle w:val="FootnoteText"/>
        <w:jc w:val="both"/>
      </w:pPr>
      <w:r>
        <w:rPr>
          <w:rStyle w:val="FootnoteReference"/>
        </w:rPr>
        <w:footnoteRef/>
      </w:r>
      <w:r>
        <w:t xml:space="preserve"> </w:t>
      </w:r>
      <w:bookmarkStart w:id="188" w:name="_Hlk69409256"/>
      <w:r>
        <w:t>EU Commission (2020) A Counter-Terrorism Agenda for the EU: Anticipate, Prevent, Protect, Respond</w:t>
      </w:r>
      <w:bookmarkEnd w:id="188"/>
      <w:r>
        <w:t xml:space="preserve">. Available at </w:t>
      </w:r>
      <w:hyperlink r:id="rId70" w:history="1">
        <w:r>
          <w:rPr>
            <w:rStyle w:val="Hyperlink"/>
          </w:rPr>
          <w:t>link</w:t>
        </w:r>
      </w:hyperlink>
      <w:r>
        <w:t>.</w:t>
      </w:r>
    </w:p>
  </w:footnote>
  <w:footnote w:id="249">
    <w:p w14:paraId="2BCD2B6C" w14:textId="77777777" w:rsidR="003F3C88" w:rsidRPr="00013BD4" w:rsidRDefault="003F3C88" w:rsidP="00DE3425">
      <w:pPr>
        <w:pStyle w:val="FootnoteText"/>
        <w:jc w:val="both"/>
      </w:pPr>
      <w:r>
        <w:rPr>
          <w:rStyle w:val="FootnoteReference"/>
        </w:rPr>
        <w:footnoteRef/>
      </w:r>
      <w:r>
        <w:t xml:space="preserve"> </w:t>
      </w:r>
      <w:r w:rsidRPr="0070448D">
        <w:t>Technical workshop held on 24 March</w:t>
      </w:r>
      <w:r>
        <w:t xml:space="preserve"> 2021</w:t>
      </w:r>
      <w:r w:rsidRPr="0070448D">
        <w:t>.</w:t>
      </w:r>
    </w:p>
  </w:footnote>
  <w:footnote w:id="250">
    <w:p w14:paraId="79079AE2" w14:textId="77777777" w:rsidR="003F3C88" w:rsidRPr="005F062D" w:rsidRDefault="003F3C88" w:rsidP="00DE3425">
      <w:pPr>
        <w:pStyle w:val="FootnoteText"/>
        <w:jc w:val="both"/>
      </w:pPr>
      <w:r>
        <w:rPr>
          <w:rStyle w:val="FootnoteReference"/>
        </w:rPr>
        <w:footnoteRef/>
      </w:r>
      <w:r>
        <w:t xml:space="preserve"> For intra-EU labour mobility, please see Eurostat (2021) People on the move. Available at </w:t>
      </w:r>
      <w:hyperlink r:id="rId71" w:history="1">
        <w:r>
          <w:rPr>
            <w:rStyle w:val="Hyperlink"/>
          </w:rPr>
          <w:t>link</w:t>
        </w:r>
      </w:hyperlink>
      <w:r>
        <w:t xml:space="preserve">. Four cross-border tourism, please see Eurostat (2021) EU tourism halved in 2020. Available at </w:t>
      </w:r>
      <w:hyperlink r:id="rId72" w:history="1">
        <w:r>
          <w:rPr>
            <w:rStyle w:val="Hyperlink"/>
          </w:rPr>
          <w:t>link</w:t>
        </w:r>
      </w:hyperlink>
      <w:r>
        <w:t>.</w:t>
      </w:r>
    </w:p>
  </w:footnote>
  <w:footnote w:id="251">
    <w:p w14:paraId="33CDC956" w14:textId="77777777" w:rsidR="003F3C88" w:rsidRPr="005F062D" w:rsidRDefault="003F3C88" w:rsidP="00DE3425">
      <w:pPr>
        <w:pStyle w:val="FootnoteText"/>
        <w:jc w:val="both"/>
      </w:pPr>
      <w:r>
        <w:rPr>
          <w:rStyle w:val="FootnoteReference"/>
        </w:rPr>
        <w:footnoteRef/>
      </w:r>
      <w:r>
        <w:t xml:space="preserve"> Eurostat (2021) People on the move</w:t>
      </w:r>
      <w:r w:rsidRPr="00767AB3">
        <w:t>. Available</w:t>
      </w:r>
      <w:r>
        <w:t xml:space="preserve"> at </w:t>
      </w:r>
      <w:hyperlink r:id="rId73" w:history="1">
        <w:r>
          <w:rPr>
            <w:rStyle w:val="Hyperlink"/>
          </w:rPr>
          <w:t>link</w:t>
        </w:r>
      </w:hyperlink>
      <w:r>
        <w:t>.</w:t>
      </w:r>
    </w:p>
  </w:footnote>
  <w:footnote w:id="252">
    <w:p w14:paraId="78B1BE2F" w14:textId="77777777" w:rsidR="003F3C88" w:rsidRPr="00432782" w:rsidRDefault="003F3C88" w:rsidP="00DE3425">
      <w:pPr>
        <w:pStyle w:val="FootnoteText"/>
        <w:jc w:val="both"/>
      </w:pPr>
      <w:r>
        <w:rPr>
          <w:rStyle w:val="FootnoteReference"/>
        </w:rPr>
        <w:footnoteRef/>
      </w:r>
      <w:r>
        <w:t xml:space="preserve"> Eurostat (2021) Nights spent at tourist accommodation establishments – monthly data. Available at </w:t>
      </w:r>
      <w:hyperlink r:id="rId74" w:history="1">
        <w:r>
          <w:rPr>
            <w:rStyle w:val="Hyperlink"/>
          </w:rPr>
          <w:t>link</w:t>
        </w:r>
      </w:hyperlink>
      <w:r>
        <w:t>.</w:t>
      </w:r>
    </w:p>
  </w:footnote>
  <w:footnote w:id="253">
    <w:p w14:paraId="55D9F806" w14:textId="77777777" w:rsidR="003F3C88" w:rsidRPr="003A425E" w:rsidRDefault="003F3C88" w:rsidP="00DE3425">
      <w:pPr>
        <w:pStyle w:val="FootnoteText"/>
        <w:jc w:val="both"/>
      </w:pPr>
      <w:r>
        <w:rPr>
          <w:rStyle w:val="FootnoteReference"/>
        </w:rPr>
        <w:footnoteRef/>
      </w:r>
      <w:r>
        <w:t xml:space="preserve"> BBC News (2021) Swindon railway station as gateway for drug trafficking</w:t>
      </w:r>
      <w:r w:rsidRPr="00767AB3">
        <w:t>. Available</w:t>
      </w:r>
      <w:r>
        <w:t xml:space="preserve"> at </w:t>
      </w:r>
      <w:hyperlink r:id="rId75" w:history="1">
        <w:r>
          <w:rPr>
            <w:rStyle w:val="Hyperlink"/>
          </w:rPr>
          <w:t>link</w:t>
        </w:r>
      </w:hyperlink>
      <w:r>
        <w:t>.</w:t>
      </w:r>
    </w:p>
  </w:footnote>
  <w:footnote w:id="254">
    <w:p w14:paraId="260CEE33" w14:textId="77777777" w:rsidR="003F3C88" w:rsidRPr="0049765B" w:rsidRDefault="003F3C88" w:rsidP="00DE3425">
      <w:pPr>
        <w:pStyle w:val="FootnoteText"/>
        <w:jc w:val="both"/>
      </w:pPr>
      <w:r>
        <w:rPr>
          <w:rStyle w:val="FootnoteReference"/>
        </w:rPr>
        <w:footnoteRef/>
      </w:r>
      <w:r>
        <w:t xml:space="preserve"> Europol (2021) Europol warning on the illicit sale of false negative </w:t>
      </w:r>
      <w:r w:rsidRPr="00DD6582">
        <w:rPr>
          <w:lang w:val="en-GB"/>
        </w:rPr>
        <w:t>COVID</w:t>
      </w:r>
      <w:r>
        <w:t xml:space="preserve">-19 test certificates. Available at </w:t>
      </w:r>
      <w:hyperlink r:id="rId76" w:history="1">
        <w:r>
          <w:rPr>
            <w:rStyle w:val="Hyperlink"/>
          </w:rPr>
          <w:t>link</w:t>
        </w:r>
      </w:hyperlink>
    </w:p>
  </w:footnote>
  <w:footnote w:id="255">
    <w:p w14:paraId="591AE335" w14:textId="77777777" w:rsidR="003F3C88" w:rsidRPr="00D30907" w:rsidRDefault="003F3C88" w:rsidP="00DE3425">
      <w:pPr>
        <w:pStyle w:val="FootnoteText"/>
        <w:jc w:val="both"/>
      </w:pPr>
      <w:r>
        <w:rPr>
          <w:rStyle w:val="FootnoteReference"/>
        </w:rPr>
        <w:footnoteRef/>
      </w:r>
      <w:r>
        <w:t xml:space="preserve"> VOA (2021) Along with COVID, France’s Hospitals Battle Cyberattacks. Available at </w:t>
      </w:r>
      <w:hyperlink r:id="rId77" w:history="1">
        <w:r>
          <w:rPr>
            <w:rStyle w:val="Hyperlink"/>
          </w:rPr>
          <w:t>link</w:t>
        </w:r>
      </w:hyperlink>
      <w:r>
        <w:rPr>
          <w:rStyle w:val="Hyperlink"/>
        </w:rPr>
        <w:t>.</w:t>
      </w:r>
    </w:p>
  </w:footnote>
  <w:footnote w:id="256">
    <w:p w14:paraId="778B496F" w14:textId="77777777" w:rsidR="003F3C88" w:rsidRPr="002C38A8" w:rsidRDefault="003F3C88" w:rsidP="00DE3425">
      <w:pPr>
        <w:pStyle w:val="FootnoteText"/>
        <w:jc w:val="both"/>
      </w:pPr>
      <w:r>
        <w:rPr>
          <w:rStyle w:val="FootnoteReference"/>
        </w:rPr>
        <w:footnoteRef/>
      </w:r>
      <w:r w:rsidRPr="002C38A8">
        <w:t xml:space="preserve"> </w:t>
      </w:r>
      <w:r>
        <w:t xml:space="preserve">Europol (2020) Cocaine Cartel shipping from South America busted in Spain and the Netherlands. Available at </w:t>
      </w:r>
      <w:hyperlink r:id="rId78" w:history="1">
        <w:r>
          <w:rPr>
            <w:rStyle w:val="Hyperlink"/>
          </w:rPr>
          <w:t>link</w:t>
        </w:r>
      </w:hyperlink>
      <w:r>
        <w:rPr>
          <w:rStyle w:val="Hyperlink"/>
        </w:rPr>
        <w:t>.</w:t>
      </w:r>
    </w:p>
  </w:footnote>
  <w:footnote w:id="257">
    <w:p w14:paraId="358D17B8" w14:textId="77777777" w:rsidR="003F3C88" w:rsidRPr="00206C52" w:rsidRDefault="003F3C88" w:rsidP="00DE3425">
      <w:pPr>
        <w:pStyle w:val="FootnoteText"/>
        <w:jc w:val="both"/>
      </w:pPr>
      <w:r>
        <w:rPr>
          <w:rStyle w:val="FootnoteReference"/>
        </w:rPr>
        <w:footnoteRef/>
      </w:r>
      <w:r>
        <w:t xml:space="preserve"> Europol (2020) Internet Organised Crime Threat Assessment. Available at </w:t>
      </w:r>
      <w:hyperlink r:id="rId79" w:history="1">
        <w:r>
          <w:rPr>
            <w:rStyle w:val="Hyperlink"/>
          </w:rPr>
          <w:t>link</w:t>
        </w:r>
      </w:hyperlink>
      <w:r>
        <w:t>.</w:t>
      </w:r>
    </w:p>
  </w:footnote>
  <w:footnote w:id="258">
    <w:p w14:paraId="00D3B302" w14:textId="77777777" w:rsidR="003F3C88" w:rsidRPr="00D67084" w:rsidRDefault="003F3C88" w:rsidP="004D7FEE">
      <w:pPr>
        <w:pStyle w:val="FootnoteText"/>
      </w:pPr>
      <w:r>
        <w:rPr>
          <w:rStyle w:val="FootnoteReference"/>
        </w:rPr>
        <w:footnoteRef/>
      </w:r>
      <w:r>
        <w:t xml:space="preserve"> Ibid.</w:t>
      </w:r>
    </w:p>
  </w:footnote>
  <w:footnote w:id="259">
    <w:p w14:paraId="5486F9F0" w14:textId="77777777" w:rsidR="003F3C88" w:rsidRPr="005F062D" w:rsidRDefault="003F3C88" w:rsidP="004D7FEE">
      <w:pPr>
        <w:pStyle w:val="FootnoteText"/>
      </w:pPr>
      <w:r>
        <w:rPr>
          <w:rStyle w:val="FootnoteReference"/>
        </w:rPr>
        <w:footnoteRef/>
      </w:r>
      <w:r>
        <w:t xml:space="preserve"> Ibid.</w:t>
      </w:r>
    </w:p>
  </w:footnote>
  <w:footnote w:id="260">
    <w:p w14:paraId="592F5E74" w14:textId="77777777" w:rsidR="003F3C88" w:rsidRPr="005F062D" w:rsidRDefault="003F3C88" w:rsidP="004D7FEE">
      <w:pPr>
        <w:pStyle w:val="FootnoteText"/>
      </w:pPr>
      <w:r>
        <w:rPr>
          <w:rStyle w:val="FootnoteReference"/>
        </w:rPr>
        <w:footnoteRef/>
      </w:r>
      <w:r>
        <w:t xml:space="preserve"> Ibid.</w:t>
      </w:r>
    </w:p>
  </w:footnote>
  <w:footnote w:id="261">
    <w:p w14:paraId="09476D86" w14:textId="77777777" w:rsidR="003F3C88" w:rsidRPr="00DF6B47" w:rsidRDefault="003F3C88" w:rsidP="00DE3425">
      <w:pPr>
        <w:pStyle w:val="FootnoteText"/>
        <w:jc w:val="both"/>
      </w:pPr>
      <w:r>
        <w:rPr>
          <w:rStyle w:val="FootnoteReference"/>
        </w:rPr>
        <w:footnoteRef/>
      </w:r>
      <w:r>
        <w:t xml:space="preserve"> Europol (2020) Internet Organised Crime Threat Assessment. Available at </w:t>
      </w:r>
      <w:hyperlink r:id="rId80" w:history="1">
        <w:r>
          <w:rPr>
            <w:rStyle w:val="Hyperlink"/>
          </w:rPr>
          <w:t>link</w:t>
        </w:r>
      </w:hyperlink>
      <w:r>
        <w:t>.</w:t>
      </w:r>
    </w:p>
  </w:footnote>
  <w:footnote w:id="262">
    <w:p w14:paraId="144157F1" w14:textId="77777777" w:rsidR="003F3C88" w:rsidRPr="002C38A8" w:rsidRDefault="003F3C88" w:rsidP="00DE3425">
      <w:pPr>
        <w:pStyle w:val="FootnoteText"/>
        <w:jc w:val="both"/>
      </w:pPr>
      <w:r>
        <w:rPr>
          <w:rStyle w:val="FootnoteReference"/>
        </w:rPr>
        <w:footnoteRef/>
      </w:r>
      <w:r>
        <w:t xml:space="preserve"> Europol (2021) Serious and Organised Crime Threat Assessment: A corrupting influence, European Union. </w:t>
      </w:r>
    </w:p>
  </w:footnote>
  <w:footnote w:id="263">
    <w:p w14:paraId="29D77D1D" w14:textId="77777777" w:rsidR="003F3C88" w:rsidRPr="002C38A8" w:rsidRDefault="003F3C88" w:rsidP="00DE3425">
      <w:pPr>
        <w:pStyle w:val="FootnoteText"/>
        <w:jc w:val="both"/>
      </w:pPr>
      <w:r>
        <w:rPr>
          <w:rStyle w:val="FootnoteReference"/>
        </w:rPr>
        <w:footnoteRef/>
      </w:r>
      <w:r>
        <w:t xml:space="preserve"> </w:t>
      </w:r>
      <w:bookmarkStart w:id="194" w:name="_Hlk69408970"/>
      <w:r>
        <w:t>Deutsche Welle (2021) COVID aid: Germany uncovers over 25,000 cases of fraud</w:t>
      </w:r>
      <w:bookmarkEnd w:id="194"/>
      <w:r>
        <w:t xml:space="preserve">. Available at </w:t>
      </w:r>
      <w:hyperlink r:id="rId81" w:history="1">
        <w:r>
          <w:rPr>
            <w:rStyle w:val="Hyperlink"/>
          </w:rPr>
          <w:t>link</w:t>
        </w:r>
      </w:hyperlink>
      <w:r>
        <w:t xml:space="preserve"> </w:t>
      </w:r>
    </w:p>
  </w:footnote>
  <w:footnote w:id="264">
    <w:p w14:paraId="4AE77CBA" w14:textId="77777777" w:rsidR="003F3C88" w:rsidRPr="002C38A8" w:rsidRDefault="003F3C88" w:rsidP="00DE3425">
      <w:pPr>
        <w:pStyle w:val="FootnoteText"/>
        <w:jc w:val="both"/>
      </w:pPr>
      <w:r>
        <w:rPr>
          <w:rStyle w:val="FootnoteReference"/>
        </w:rPr>
        <w:footnoteRef/>
      </w:r>
      <w:r>
        <w:t xml:space="preserve"> Europol (2021) Serious and Organised Crime Threat Assessment: A corrupting influence, European Union.</w:t>
      </w:r>
    </w:p>
  </w:footnote>
  <w:footnote w:id="265">
    <w:p w14:paraId="2DA8D871" w14:textId="77777777" w:rsidR="003F3C88" w:rsidRPr="0037213D" w:rsidRDefault="003F3C88" w:rsidP="00DE3425">
      <w:pPr>
        <w:pStyle w:val="FootnoteText"/>
        <w:jc w:val="both"/>
        <w:rPr>
          <w:lang w:val="de-DE"/>
        </w:rPr>
      </w:pPr>
      <w:r>
        <w:rPr>
          <w:rStyle w:val="FootnoteReference"/>
        </w:rPr>
        <w:footnoteRef/>
      </w:r>
      <w:r>
        <w:t xml:space="preserve"> European Monitoring Centre for Drugs and Drug Addiction, Europol (2019) EU Drug Markets Report. </w:t>
      </w:r>
      <w:r w:rsidRPr="0037213D">
        <w:rPr>
          <w:lang w:val="de-DE"/>
        </w:rPr>
        <w:t xml:space="preserve">Available at </w:t>
      </w:r>
      <w:hyperlink r:id="rId82" w:history="1">
        <w:r w:rsidRPr="0037213D">
          <w:rPr>
            <w:rStyle w:val="Hyperlink"/>
            <w:lang w:val="de-DE"/>
          </w:rPr>
          <w:t>link</w:t>
        </w:r>
      </w:hyperlink>
      <w:r w:rsidRPr="0037213D">
        <w:rPr>
          <w:lang w:val="de-DE"/>
        </w:rPr>
        <w:t>.</w:t>
      </w:r>
    </w:p>
  </w:footnote>
  <w:footnote w:id="266">
    <w:p w14:paraId="41843DF8" w14:textId="77777777" w:rsidR="003F3C88" w:rsidRPr="00D30907" w:rsidRDefault="003F3C88" w:rsidP="00DE3425">
      <w:pPr>
        <w:pStyle w:val="FootnoteText"/>
        <w:jc w:val="both"/>
      </w:pPr>
      <w:r>
        <w:rPr>
          <w:rStyle w:val="FootnoteReference"/>
        </w:rPr>
        <w:footnoteRef/>
      </w:r>
      <w:r w:rsidRPr="00464C16">
        <w:rPr>
          <w:lang w:val="de-DE"/>
        </w:rPr>
        <w:t xml:space="preserve"> NDR Info (2021) Der grosse Sprung – Wie mexikanische Drogenkartelle nach Europa draengen. </w:t>
      </w:r>
      <w:r>
        <w:t>Available</w:t>
      </w:r>
      <w:r w:rsidRPr="00D30907">
        <w:t xml:space="preserve"> at </w:t>
      </w:r>
      <w:hyperlink r:id="rId83" w:history="1">
        <w:r w:rsidRPr="0037213D">
          <w:rPr>
            <w:rStyle w:val="Hyperlink"/>
          </w:rPr>
          <w:t>link</w:t>
        </w:r>
      </w:hyperlink>
      <w:r w:rsidRPr="00D30907">
        <w:t>.</w:t>
      </w:r>
    </w:p>
  </w:footnote>
  <w:footnote w:id="267">
    <w:p w14:paraId="094A218C" w14:textId="77777777" w:rsidR="003F3C88" w:rsidRPr="002F3CB6" w:rsidRDefault="003F3C88" w:rsidP="00DE3425">
      <w:pPr>
        <w:pStyle w:val="FootnoteText"/>
        <w:jc w:val="both"/>
      </w:pPr>
      <w:r>
        <w:rPr>
          <w:rStyle w:val="FootnoteReference"/>
        </w:rPr>
        <w:footnoteRef/>
      </w:r>
      <w:r>
        <w:t xml:space="preserve"> Europol (2020) Customs thwart illegal cigarette trade in the EU and UK: 17 arrests and 67 million cigarettes seized. Available at </w:t>
      </w:r>
      <w:hyperlink r:id="rId84" w:history="1">
        <w:r>
          <w:rPr>
            <w:rStyle w:val="Hyperlink"/>
          </w:rPr>
          <w:t>link</w:t>
        </w:r>
      </w:hyperlink>
      <w:r>
        <w:t>.</w:t>
      </w:r>
    </w:p>
  </w:footnote>
  <w:footnote w:id="268">
    <w:p w14:paraId="7BF5B226" w14:textId="77777777" w:rsidR="003F3C88" w:rsidRPr="005F062D" w:rsidRDefault="003F3C88" w:rsidP="00DE3425">
      <w:pPr>
        <w:pStyle w:val="FootnoteText"/>
        <w:jc w:val="both"/>
      </w:pPr>
      <w:r>
        <w:rPr>
          <w:rStyle w:val="FootnoteReference"/>
        </w:rPr>
        <w:footnoteRef/>
      </w:r>
      <w:r>
        <w:t xml:space="preserve"> </w:t>
      </w:r>
      <w:bookmarkStart w:id="195" w:name="_Hlk69409034"/>
      <w:r>
        <w:t>European Commission (2020) Data collection on trafficking human beings in the EU</w:t>
      </w:r>
      <w:bookmarkEnd w:id="195"/>
      <w:r>
        <w:t xml:space="preserve">. Available at </w:t>
      </w:r>
      <w:hyperlink r:id="rId85" w:history="1">
        <w:r>
          <w:rPr>
            <w:rStyle w:val="Hyperlink"/>
          </w:rPr>
          <w:t>link</w:t>
        </w:r>
      </w:hyperlink>
      <w:r>
        <w:t>.</w:t>
      </w:r>
    </w:p>
  </w:footnote>
  <w:footnote w:id="269">
    <w:p w14:paraId="1BC06826" w14:textId="77777777" w:rsidR="003F3C88" w:rsidRPr="004B19B0" w:rsidRDefault="003F3C88" w:rsidP="00DE3425">
      <w:pPr>
        <w:pStyle w:val="FootnoteText"/>
        <w:jc w:val="both"/>
      </w:pPr>
      <w:r>
        <w:rPr>
          <w:rStyle w:val="FootnoteReference"/>
        </w:rPr>
        <w:footnoteRef/>
      </w:r>
      <w:r>
        <w:t xml:space="preserve"> Europol (2021) Serious and Organised Crime Threat Assessment: A corrupting influence, European Union.</w:t>
      </w:r>
    </w:p>
  </w:footnote>
  <w:footnote w:id="270">
    <w:p w14:paraId="3F683586" w14:textId="77777777" w:rsidR="003F3C88" w:rsidRPr="004B19B0" w:rsidRDefault="003F3C88" w:rsidP="00DE3425">
      <w:pPr>
        <w:pStyle w:val="FootnoteText"/>
        <w:jc w:val="both"/>
      </w:pPr>
      <w:r>
        <w:rPr>
          <w:rStyle w:val="FootnoteReference"/>
        </w:rPr>
        <w:footnoteRef/>
      </w:r>
      <w:r>
        <w:t xml:space="preserve"> Ibid.</w:t>
      </w:r>
    </w:p>
  </w:footnote>
  <w:footnote w:id="271">
    <w:p w14:paraId="1BDA269B" w14:textId="77777777" w:rsidR="003F3C88" w:rsidRPr="0018412E" w:rsidRDefault="003F3C88" w:rsidP="00DE3425">
      <w:pPr>
        <w:pStyle w:val="FootnoteText"/>
        <w:jc w:val="both"/>
      </w:pPr>
      <w:r>
        <w:rPr>
          <w:rStyle w:val="FootnoteReference"/>
        </w:rPr>
        <w:footnoteRef/>
      </w:r>
      <w:r>
        <w:t xml:space="preserve"> Europol (2015) Exploring tomorrow’s organised crime. Available at </w:t>
      </w:r>
      <w:hyperlink r:id="rId86" w:history="1">
        <w:r>
          <w:rPr>
            <w:rStyle w:val="Hyperlink"/>
          </w:rPr>
          <w:t>link</w:t>
        </w:r>
      </w:hyperlink>
      <w:r>
        <w:t>.</w:t>
      </w:r>
    </w:p>
  </w:footnote>
  <w:footnote w:id="272">
    <w:p w14:paraId="1B07C261" w14:textId="77777777" w:rsidR="003F3C88" w:rsidRPr="005165B8" w:rsidRDefault="003F3C88" w:rsidP="00DE3425">
      <w:pPr>
        <w:pStyle w:val="FootnoteText"/>
        <w:jc w:val="both"/>
      </w:pPr>
      <w:r>
        <w:rPr>
          <w:rStyle w:val="FootnoteReference"/>
        </w:rPr>
        <w:footnoteRef/>
      </w:r>
      <w:r>
        <w:t xml:space="preserve"> </w:t>
      </w:r>
      <w:bookmarkStart w:id="196" w:name="_Hlk69409045"/>
      <w:r>
        <w:t>European Parliament (2020) Organised Property Crime in the EU</w:t>
      </w:r>
      <w:bookmarkEnd w:id="196"/>
      <w:r>
        <w:t xml:space="preserve">. Available at </w:t>
      </w:r>
      <w:hyperlink r:id="rId87" w:history="1">
        <w:r>
          <w:rPr>
            <w:rStyle w:val="Hyperlink"/>
          </w:rPr>
          <w:t>link</w:t>
        </w:r>
      </w:hyperlink>
      <w:r>
        <w:t>.</w:t>
      </w:r>
    </w:p>
  </w:footnote>
  <w:footnote w:id="273">
    <w:p w14:paraId="13B8D450" w14:textId="77777777" w:rsidR="003F3C88" w:rsidRPr="001D31BA" w:rsidRDefault="003F3C88" w:rsidP="00DE3425">
      <w:pPr>
        <w:pStyle w:val="FootnoteText"/>
        <w:jc w:val="both"/>
      </w:pPr>
      <w:r>
        <w:rPr>
          <w:rStyle w:val="FootnoteReference"/>
        </w:rPr>
        <w:footnoteRef/>
      </w:r>
      <w:r>
        <w:t xml:space="preserve"> </w:t>
      </w:r>
      <w:bookmarkStart w:id="197" w:name="_Hlk69409060"/>
      <w:r>
        <w:t xml:space="preserve">Europol (2020) </w:t>
      </w:r>
      <w:r w:rsidRPr="00DD6582">
        <w:rPr>
          <w:lang w:val="en-GB"/>
        </w:rPr>
        <w:t>COVID</w:t>
      </w:r>
      <w:r>
        <w:t>-19 Waste crime: Europe-wide operation to tackle unlawful sanitary waste disposal</w:t>
      </w:r>
      <w:bookmarkEnd w:id="197"/>
      <w:r>
        <w:t xml:space="preserve">. Available at </w:t>
      </w:r>
      <w:hyperlink r:id="rId88" w:history="1">
        <w:r>
          <w:rPr>
            <w:rStyle w:val="Hyperlink"/>
          </w:rPr>
          <w:t>link</w:t>
        </w:r>
      </w:hyperlink>
      <w:r>
        <w:t>.</w:t>
      </w:r>
    </w:p>
  </w:footnote>
  <w:footnote w:id="274">
    <w:p w14:paraId="34B5C912" w14:textId="77777777" w:rsidR="003F3C88" w:rsidRPr="00B57802" w:rsidRDefault="003F3C88" w:rsidP="00DE3425">
      <w:pPr>
        <w:pStyle w:val="FootnoteText"/>
        <w:jc w:val="both"/>
      </w:pPr>
      <w:r>
        <w:rPr>
          <w:rStyle w:val="FootnoteReference"/>
        </w:rPr>
        <w:footnoteRef/>
      </w:r>
      <w:r>
        <w:t xml:space="preserve"> Europol (2015) Exploring tomorrow’s organised crime. Available at </w:t>
      </w:r>
      <w:hyperlink r:id="rId89" w:history="1">
        <w:r>
          <w:rPr>
            <w:rStyle w:val="Hyperlink"/>
          </w:rPr>
          <w:t>link</w:t>
        </w:r>
      </w:hyperlink>
      <w:r>
        <w:t>.</w:t>
      </w:r>
    </w:p>
  </w:footnote>
  <w:footnote w:id="275">
    <w:p w14:paraId="3CEF805F" w14:textId="77777777" w:rsidR="003F3C88" w:rsidRPr="005F062D" w:rsidRDefault="003F3C88" w:rsidP="00DE3425">
      <w:pPr>
        <w:pStyle w:val="FootnoteText"/>
        <w:jc w:val="both"/>
      </w:pPr>
      <w:r>
        <w:rPr>
          <w:rStyle w:val="FootnoteReference"/>
        </w:rPr>
        <w:footnoteRef/>
      </w:r>
      <w:r>
        <w:t xml:space="preserve"> </w:t>
      </w:r>
      <w:bookmarkStart w:id="198" w:name="_Hlk69409078"/>
      <w:r>
        <w:t>EU Commission (2021) Trafficking in firearms</w:t>
      </w:r>
      <w:bookmarkEnd w:id="198"/>
      <w:r>
        <w:t xml:space="preserve">. Available at </w:t>
      </w:r>
      <w:hyperlink r:id="rId90" w:history="1">
        <w:r>
          <w:rPr>
            <w:rStyle w:val="Hyperlink"/>
          </w:rPr>
          <w:t>link</w:t>
        </w:r>
      </w:hyperlink>
      <w:r>
        <w:t>.</w:t>
      </w:r>
      <w:r w:rsidRPr="005F062D">
        <w:tab/>
      </w:r>
    </w:p>
  </w:footnote>
  <w:footnote w:id="276">
    <w:p w14:paraId="4B1C8544" w14:textId="77777777" w:rsidR="003F3C88" w:rsidRPr="00535610" w:rsidRDefault="003F3C88" w:rsidP="00DE3425">
      <w:pPr>
        <w:pStyle w:val="FootnoteText"/>
        <w:jc w:val="both"/>
      </w:pPr>
      <w:r>
        <w:rPr>
          <w:rStyle w:val="FootnoteReference"/>
        </w:rPr>
        <w:footnoteRef/>
      </w:r>
      <w:r>
        <w:t xml:space="preserve"> Europol (2015) Exploring tomorrow’s organised crime. Available at </w:t>
      </w:r>
      <w:hyperlink r:id="rId91" w:history="1">
        <w:r>
          <w:rPr>
            <w:rStyle w:val="Hyperlink"/>
          </w:rPr>
          <w:t>link</w:t>
        </w:r>
      </w:hyperlink>
      <w:r>
        <w:t>.</w:t>
      </w:r>
    </w:p>
  </w:footnote>
  <w:footnote w:id="277">
    <w:p w14:paraId="203169DB" w14:textId="77777777" w:rsidR="003F3C88" w:rsidRPr="005F062D" w:rsidRDefault="003F3C88" w:rsidP="00DE3425">
      <w:pPr>
        <w:pStyle w:val="FootnoteText"/>
        <w:jc w:val="both"/>
      </w:pPr>
      <w:r>
        <w:rPr>
          <w:rStyle w:val="FootnoteReference"/>
        </w:rPr>
        <w:footnoteRef/>
      </w:r>
      <w:r>
        <w:t xml:space="preserve"> Statista (2021) Number of illegal entries between border-crossing points (BCPs) detected in the European Union (EU) from 2009 to 2019. Available at </w:t>
      </w:r>
      <w:hyperlink r:id="rId92" w:history="1">
        <w:r>
          <w:rPr>
            <w:rStyle w:val="Hyperlink"/>
          </w:rPr>
          <w:t>link</w:t>
        </w:r>
      </w:hyperlink>
      <w:r>
        <w:t>.</w:t>
      </w:r>
    </w:p>
  </w:footnote>
  <w:footnote w:id="278">
    <w:p w14:paraId="22B6BC78" w14:textId="77777777" w:rsidR="003F3C88" w:rsidRPr="007B2527" w:rsidRDefault="003F3C88" w:rsidP="00DE3425">
      <w:pPr>
        <w:pStyle w:val="FootnoteText"/>
        <w:jc w:val="both"/>
      </w:pPr>
      <w:r>
        <w:rPr>
          <w:rStyle w:val="FootnoteReference"/>
        </w:rPr>
        <w:footnoteRef/>
      </w:r>
      <w:r>
        <w:t xml:space="preserve"> Europol (2015) Exploring tomorrow’s organised crime. Available at </w:t>
      </w:r>
      <w:hyperlink r:id="rId93" w:history="1">
        <w:r>
          <w:rPr>
            <w:rStyle w:val="Hyperlink"/>
          </w:rPr>
          <w:t>link</w:t>
        </w:r>
      </w:hyperlink>
      <w:r>
        <w:t>.</w:t>
      </w:r>
    </w:p>
  </w:footnote>
  <w:footnote w:id="279">
    <w:p w14:paraId="57690D20" w14:textId="77777777" w:rsidR="003F3C88" w:rsidRPr="004B5B0D" w:rsidRDefault="003F3C88" w:rsidP="00DE3425">
      <w:pPr>
        <w:pStyle w:val="FootnoteText"/>
        <w:jc w:val="both"/>
      </w:pPr>
      <w:r>
        <w:rPr>
          <w:rStyle w:val="FootnoteReference"/>
        </w:rPr>
        <w:footnoteRef/>
      </w:r>
      <w:r>
        <w:t xml:space="preserve"> Europol (2021) Serious and Organised Crime Threat Assessment: A corrupting influence, European Union.</w:t>
      </w:r>
    </w:p>
  </w:footnote>
  <w:footnote w:id="280">
    <w:p w14:paraId="7429740A" w14:textId="77777777" w:rsidR="003F3C88" w:rsidRPr="00FD3E71" w:rsidRDefault="003F3C88" w:rsidP="004D7FEE">
      <w:pPr>
        <w:pStyle w:val="FootnoteText"/>
      </w:pPr>
      <w:r>
        <w:rPr>
          <w:rStyle w:val="FootnoteReference"/>
        </w:rPr>
        <w:footnoteRef/>
      </w:r>
      <w:r>
        <w:t xml:space="preserve"> </w:t>
      </w:r>
      <w:r w:rsidRPr="0070448D">
        <w:t>Technical workshop held on 24 March.</w:t>
      </w:r>
    </w:p>
  </w:footnote>
  <w:footnote w:id="281">
    <w:p w14:paraId="7555A7A7" w14:textId="77777777" w:rsidR="003F3C88" w:rsidRPr="00C95E6A" w:rsidRDefault="003F3C88" w:rsidP="00DE3425">
      <w:pPr>
        <w:pStyle w:val="FootnoteText"/>
        <w:jc w:val="both"/>
      </w:pPr>
      <w:r>
        <w:rPr>
          <w:rStyle w:val="FootnoteReference"/>
        </w:rPr>
        <w:footnoteRef/>
      </w:r>
      <w:r>
        <w:t xml:space="preserve"> </w:t>
      </w:r>
      <w:bookmarkStart w:id="199" w:name="_Hlk69409109"/>
      <w:r w:rsidRPr="00630E6B">
        <w:t xml:space="preserve">Euractiv (2020) EU signs </w:t>
      </w:r>
      <w:r>
        <w:t>€100m drone contract with Airbus and Israeli arms firms</w:t>
      </w:r>
      <w:bookmarkEnd w:id="199"/>
      <w:r>
        <w:t xml:space="preserve">. Available at </w:t>
      </w:r>
      <w:hyperlink r:id="rId94" w:history="1">
        <w:r>
          <w:rPr>
            <w:rStyle w:val="Hyperlink"/>
          </w:rPr>
          <w:t>link</w:t>
        </w:r>
      </w:hyperlink>
      <w:r w:rsidRPr="00630E6B">
        <w:t>.</w:t>
      </w:r>
    </w:p>
  </w:footnote>
  <w:footnote w:id="282">
    <w:p w14:paraId="720DB3F7" w14:textId="77777777" w:rsidR="003F3C88" w:rsidRPr="00CE2526" w:rsidRDefault="003F3C88" w:rsidP="00DE3425">
      <w:pPr>
        <w:pStyle w:val="FootnoteText"/>
        <w:jc w:val="both"/>
      </w:pPr>
      <w:r>
        <w:rPr>
          <w:rStyle w:val="FootnoteReference"/>
        </w:rPr>
        <w:footnoteRef/>
      </w:r>
      <w:r>
        <w:t xml:space="preserve"> On 21 April 2021, the EU Commission adopted a proposal for the Artificial Intelligence Act. This proposal highlights the important role of AI in the future and explicitly discusses the use of AI in the case of law enforcement. For further details, see EU Commission (2021) Artificial Intelligence Act. Available at </w:t>
      </w:r>
      <w:hyperlink r:id="rId95" w:history="1">
        <w:r w:rsidRPr="005770D7">
          <w:rPr>
            <w:rStyle w:val="Hyperlink"/>
          </w:rPr>
          <w:t>link</w:t>
        </w:r>
      </w:hyperlink>
      <w:r>
        <w:t>.</w:t>
      </w:r>
    </w:p>
  </w:footnote>
  <w:footnote w:id="283">
    <w:p w14:paraId="12BE0624" w14:textId="77777777" w:rsidR="003F3C88" w:rsidRPr="00B256BC" w:rsidRDefault="003F3C88" w:rsidP="00DE3425">
      <w:pPr>
        <w:pStyle w:val="FootnoteText"/>
        <w:jc w:val="both"/>
      </w:pPr>
      <w:r>
        <w:rPr>
          <w:rStyle w:val="FootnoteReference"/>
        </w:rPr>
        <w:footnoteRef/>
      </w:r>
      <w:r w:rsidRPr="00B256BC">
        <w:t xml:space="preserve"> </w:t>
      </w:r>
      <w:bookmarkStart w:id="200" w:name="_Hlk69409120"/>
      <w:r w:rsidRPr="00B256BC">
        <w:t xml:space="preserve">Interpol (2020) Artificial </w:t>
      </w:r>
      <w:r>
        <w:t>i</w:t>
      </w:r>
      <w:r w:rsidRPr="00B256BC">
        <w:t>n</w:t>
      </w:r>
      <w:r>
        <w:t>telligence and law enforcement: challenges and opportunities</w:t>
      </w:r>
      <w:bookmarkEnd w:id="200"/>
      <w:r>
        <w:t xml:space="preserve">. Available at </w:t>
      </w:r>
      <w:hyperlink r:id="rId96" w:history="1">
        <w:r>
          <w:rPr>
            <w:rStyle w:val="Hyperlink"/>
          </w:rPr>
          <w:t>link</w:t>
        </w:r>
      </w:hyperlink>
      <w:r w:rsidRPr="00B256BC">
        <w:t>.</w:t>
      </w:r>
    </w:p>
  </w:footnote>
  <w:footnote w:id="284">
    <w:p w14:paraId="1EFE4CDA" w14:textId="77777777" w:rsidR="003F3C88" w:rsidRPr="00790046" w:rsidRDefault="003F3C88" w:rsidP="00DE3425">
      <w:pPr>
        <w:pStyle w:val="FootnoteText"/>
        <w:jc w:val="both"/>
      </w:pPr>
      <w:r>
        <w:rPr>
          <w:rStyle w:val="FootnoteReference"/>
        </w:rPr>
        <w:footnoteRef/>
      </w:r>
      <w:r>
        <w:t xml:space="preserve"> Interpol/UNICRI (2019) Artificial intelligence and robotics for law enforcement. Available at </w:t>
      </w:r>
      <w:hyperlink r:id="rId97" w:history="1">
        <w:r>
          <w:rPr>
            <w:rStyle w:val="Hyperlink"/>
          </w:rPr>
          <w:t>link</w:t>
        </w:r>
      </w:hyperlink>
      <w:r>
        <w:t>.</w:t>
      </w:r>
    </w:p>
  </w:footnote>
  <w:footnote w:id="285">
    <w:p w14:paraId="1CD6FC66" w14:textId="77777777" w:rsidR="003F3C88" w:rsidRPr="00A313D1" w:rsidRDefault="003F3C88" w:rsidP="00DE3425">
      <w:pPr>
        <w:pStyle w:val="FootnoteText"/>
        <w:jc w:val="both"/>
      </w:pPr>
      <w:r>
        <w:rPr>
          <w:rStyle w:val="FootnoteReference"/>
        </w:rPr>
        <w:footnoteRef/>
      </w:r>
      <w:r w:rsidRPr="00E93CDE">
        <w:rPr>
          <w:lang w:val="en-GB"/>
        </w:rPr>
        <w:t xml:space="preserve"> EU Commission (2021) Artificial Intelligence Act. </w:t>
      </w:r>
      <w:r>
        <w:t xml:space="preserve">Available at </w:t>
      </w:r>
      <w:hyperlink r:id="rId98" w:history="1">
        <w:r w:rsidRPr="005770D7">
          <w:rPr>
            <w:rStyle w:val="Hyperlink"/>
          </w:rPr>
          <w:t>link</w:t>
        </w:r>
      </w:hyperlink>
      <w:r>
        <w:t>.</w:t>
      </w:r>
    </w:p>
  </w:footnote>
  <w:footnote w:id="286">
    <w:p w14:paraId="7E9D872E" w14:textId="77777777" w:rsidR="003F3C88" w:rsidRPr="00C07AAD" w:rsidRDefault="003F3C88" w:rsidP="00DE3425">
      <w:pPr>
        <w:pStyle w:val="FootnoteText"/>
        <w:jc w:val="both"/>
      </w:pPr>
      <w:r>
        <w:rPr>
          <w:rStyle w:val="FootnoteReference"/>
        </w:rPr>
        <w:footnoteRef/>
      </w:r>
      <w:r>
        <w:t xml:space="preserve"> Interpol/UNICRI (2019) Artificial intelligence and robotics for law enforcement. Available at </w:t>
      </w:r>
      <w:hyperlink r:id="rId99" w:history="1">
        <w:r>
          <w:rPr>
            <w:rStyle w:val="Hyperlink"/>
          </w:rPr>
          <w:t>link</w:t>
        </w:r>
      </w:hyperlink>
      <w:r>
        <w:t>.</w:t>
      </w:r>
    </w:p>
  </w:footnote>
  <w:footnote w:id="287">
    <w:p w14:paraId="7C57DD67" w14:textId="77777777" w:rsidR="003F3C88" w:rsidRPr="0042294A" w:rsidRDefault="003F3C88" w:rsidP="004D7FEE">
      <w:pPr>
        <w:pStyle w:val="FootnoteText"/>
      </w:pPr>
      <w:r>
        <w:rPr>
          <w:rStyle w:val="FootnoteReference"/>
        </w:rPr>
        <w:footnoteRef/>
      </w:r>
      <w:r>
        <w:t xml:space="preserve"> Ibid.</w:t>
      </w:r>
    </w:p>
  </w:footnote>
  <w:footnote w:id="288">
    <w:p w14:paraId="51D5B59F" w14:textId="77777777" w:rsidR="003F3C88" w:rsidRPr="007652DC" w:rsidRDefault="003F3C88" w:rsidP="00EC61ED">
      <w:pPr>
        <w:pStyle w:val="FootnoteText"/>
        <w:jc w:val="both"/>
      </w:pPr>
      <w:r>
        <w:rPr>
          <w:rStyle w:val="FootnoteReference"/>
        </w:rPr>
        <w:footnoteRef/>
      </w:r>
      <w:r>
        <w:t xml:space="preserve"> </w:t>
      </w:r>
      <w:r w:rsidRPr="0070448D">
        <w:t>Technical workshop held on 24 March.</w:t>
      </w:r>
    </w:p>
  </w:footnote>
  <w:footnote w:id="289">
    <w:p w14:paraId="0EA582AF" w14:textId="77777777" w:rsidR="003F3C88" w:rsidRPr="00802A46" w:rsidRDefault="003F3C88" w:rsidP="00EC61ED">
      <w:pPr>
        <w:pStyle w:val="FootnoteText"/>
        <w:jc w:val="both"/>
      </w:pPr>
      <w:r>
        <w:rPr>
          <w:rStyle w:val="FootnoteReference"/>
        </w:rPr>
        <w:footnoteRef/>
      </w:r>
      <w:r>
        <w:t xml:space="preserve"> BBC News (2016) Euro 2016: Who is to blame for the Marseille violence. Available at </w:t>
      </w:r>
      <w:hyperlink r:id="rId100" w:history="1">
        <w:r>
          <w:rPr>
            <w:rStyle w:val="Hyperlink"/>
          </w:rPr>
          <w:t>link</w:t>
        </w:r>
      </w:hyperlink>
      <w:r>
        <w:t>.</w:t>
      </w:r>
    </w:p>
  </w:footnote>
  <w:footnote w:id="290">
    <w:p w14:paraId="7E9338F4" w14:textId="77777777" w:rsidR="003F3C88" w:rsidRPr="00D938E8" w:rsidRDefault="003F3C88" w:rsidP="00EC61ED">
      <w:pPr>
        <w:pStyle w:val="FootnoteText"/>
        <w:jc w:val="both"/>
      </w:pPr>
      <w:r>
        <w:rPr>
          <w:rStyle w:val="FootnoteReference"/>
        </w:rPr>
        <w:footnoteRef/>
      </w:r>
      <w:r>
        <w:t xml:space="preserve"> </w:t>
      </w:r>
      <w:bookmarkStart w:id="201" w:name="_Hlk69409168"/>
      <w:r>
        <w:t>The Brussels Times (2018) Hackers steal personal details of 64,000 Tomorrowland visitors</w:t>
      </w:r>
      <w:bookmarkEnd w:id="201"/>
      <w:r>
        <w:t xml:space="preserve">. Available at </w:t>
      </w:r>
      <w:hyperlink r:id="rId101" w:history="1">
        <w:r>
          <w:rPr>
            <w:rStyle w:val="Hyperlink"/>
          </w:rPr>
          <w:t>link</w:t>
        </w:r>
      </w:hyperlink>
      <w:r>
        <w:t>.</w:t>
      </w:r>
    </w:p>
  </w:footnote>
  <w:footnote w:id="291">
    <w:p w14:paraId="70FCF07C" w14:textId="77777777" w:rsidR="003F3C88" w:rsidRPr="005F1FDB" w:rsidRDefault="003F3C88" w:rsidP="00EC61ED">
      <w:pPr>
        <w:pStyle w:val="FootnoteText"/>
        <w:jc w:val="both"/>
      </w:pPr>
      <w:r>
        <w:rPr>
          <w:rStyle w:val="FootnoteReference"/>
        </w:rPr>
        <w:footnoteRef/>
      </w:r>
      <w:r>
        <w:t xml:space="preserve"> </w:t>
      </w:r>
      <w:bookmarkStart w:id="202" w:name="_Hlk69409181"/>
      <w:r>
        <w:t>Deutsche Welle (2017) After G20: A look at left-wing radicalism in Europe</w:t>
      </w:r>
      <w:bookmarkEnd w:id="202"/>
      <w:r>
        <w:t xml:space="preserve">. Available at </w:t>
      </w:r>
      <w:hyperlink r:id="rId102" w:history="1">
        <w:r>
          <w:rPr>
            <w:rStyle w:val="Hyperlink"/>
          </w:rPr>
          <w:t>link</w:t>
        </w:r>
      </w:hyperlink>
      <w:r>
        <w:t>.</w:t>
      </w:r>
    </w:p>
  </w:footnote>
  <w:footnote w:id="292">
    <w:p w14:paraId="32A2AB07" w14:textId="77777777" w:rsidR="003F3C88" w:rsidRPr="00432782" w:rsidRDefault="003F3C88" w:rsidP="00EC61ED">
      <w:pPr>
        <w:pStyle w:val="FootnoteText"/>
        <w:jc w:val="both"/>
      </w:pPr>
      <w:r>
        <w:rPr>
          <w:rStyle w:val="FootnoteReference"/>
        </w:rPr>
        <w:footnoteRef/>
      </w:r>
      <w:r>
        <w:t xml:space="preserve"> Eurostat (2021) Nights spent at tourist accommodation establishments – monthly data. Available at </w:t>
      </w:r>
      <w:hyperlink r:id="rId103" w:history="1">
        <w:r>
          <w:rPr>
            <w:rStyle w:val="Hyperlink"/>
          </w:rPr>
          <w:t>link</w:t>
        </w:r>
      </w:hyperlink>
      <w:r>
        <w:t>.</w:t>
      </w:r>
    </w:p>
  </w:footnote>
  <w:footnote w:id="293">
    <w:p w14:paraId="2587E743" w14:textId="77777777" w:rsidR="003F3C88" w:rsidRPr="00432782" w:rsidRDefault="003F3C88" w:rsidP="00EC61ED">
      <w:pPr>
        <w:pStyle w:val="FootnoteText"/>
        <w:jc w:val="both"/>
      </w:pPr>
      <w:r>
        <w:rPr>
          <w:rStyle w:val="FootnoteReference"/>
        </w:rPr>
        <w:footnoteRef/>
      </w:r>
      <w:r>
        <w:t xml:space="preserve"> Eurostat (2021) People on the move. Available at </w:t>
      </w:r>
      <w:hyperlink r:id="rId104" w:history="1">
        <w:r>
          <w:rPr>
            <w:rStyle w:val="Hyperlink"/>
          </w:rPr>
          <w:t>link</w:t>
        </w:r>
      </w:hyperlink>
      <w:r>
        <w:t>.</w:t>
      </w:r>
    </w:p>
  </w:footnote>
  <w:footnote w:id="294">
    <w:p w14:paraId="69BFC643" w14:textId="77777777" w:rsidR="003F3C88" w:rsidRPr="0062671C" w:rsidRDefault="003F3C88" w:rsidP="00EC61ED">
      <w:pPr>
        <w:pStyle w:val="FootnoteText"/>
        <w:jc w:val="both"/>
      </w:pPr>
      <w:r>
        <w:rPr>
          <w:rStyle w:val="FootnoteReference"/>
        </w:rPr>
        <w:footnoteRef/>
      </w:r>
      <w:r>
        <w:t xml:space="preserve"> </w:t>
      </w:r>
      <w:bookmarkStart w:id="204" w:name="_Hlk69409197"/>
      <w:r>
        <w:t>The Guardian (2019) Sinking city: how Venice is managing Europe’s worst tourism crisis</w:t>
      </w:r>
      <w:bookmarkEnd w:id="204"/>
      <w:r>
        <w:t xml:space="preserve">. Available at </w:t>
      </w:r>
      <w:hyperlink r:id="rId105" w:history="1">
        <w:r>
          <w:rPr>
            <w:rStyle w:val="Hyperlink"/>
          </w:rPr>
          <w:t>link</w:t>
        </w:r>
      </w:hyperlink>
      <w:r>
        <w:t>.</w:t>
      </w:r>
    </w:p>
  </w:footnote>
  <w:footnote w:id="295">
    <w:p w14:paraId="7D25D8C5" w14:textId="77777777" w:rsidR="003F3C88" w:rsidRPr="00791477" w:rsidRDefault="003F3C88" w:rsidP="00EC61ED">
      <w:pPr>
        <w:pStyle w:val="FootnoteText"/>
        <w:jc w:val="both"/>
      </w:pPr>
      <w:r>
        <w:rPr>
          <w:rStyle w:val="FootnoteReference"/>
        </w:rPr>
        <w:footnoteRef/>
      </w:r>
      <w:r>
        <w:t xml:space="preserve"> </w:t>
      </w:r>
      <w:bookmarkStart w:id="205" w:name="_Hlk69409208"/>
      <w:r>
        <w:t>Vox (2019) Game of Thrones tourism is wildly popular – and not just because the show is a hit</w:t>
      </w:r>
      <w:bookmarkEnd w:id="205"/>
      <w:r>
        <w:t xml:space="preserve">. Available at </w:t>
      </w:r>
      <w:hyperlink r:id="rId106" w:history="1">
        <w:r>
          <w:rPr>
            <w:rStyle w:val="Hyperlink"/>
          </w:rPr>
          <w:t>link</w:t>
        </w:r>
      </w:hyperlink>
      <w:r>
        <w:t>.</w:t>
      </w:r>
    </w:p>
  </w:footnote>
  <w:footnote w:id="296">
    <w:p w14:paraId="2FF9F501" w14:textId="77777777" w:rsidR="003F3C88" w:rsidRPr="007652DC" w:rsidRDefault="003F3C88" w:rsidP="00EC61ED">
      <w:pPr>
        <w:pStyle w:val="FootnoteText"/>
        <w:jc w:val="both"/>
      </w:pPr>
      <w:r>
        <w:rPr>
          <w:rStyle w:val="FootnoteReference"/>
        </w:rPr>
        <w:footnoteRef/>
      </w:r>
      <w:r>
        <w:t xml:space="preserve"> </w:t>
      </w:r>
      <w:r w:rsidRPr="0070448D">
        <w:t>Technical workshop held on 24 March.</w:t>
      </w:r>
    </w:p>
  </w:footnote>
  <w:footnote w:id="297">
    <w:p w14:paraId="2338EF85" w14:textId="77777777" w:rsidR="003F3C88" w:rsidRPr="0022005B" w:rsidRDefault="003F3C88" w:rsidP="00EC61ED">
      <w:pPr>
        <w:pStyle w:val="FootnoteText"/>
        <w:jc w:val="both"/>
      </w:pPr>
      <w:r>
        <w:rPr>
          <w:rStyle w:val="FootnoteReference"/>
        </w:rPr>
        <w:footnoteRef/>
      </w:r>
      <w:r>
        <w:t xml:space="preserve"> BBC News (2015) Paris attacks: What happened on the night. Available at </w:t>
      </w:r>
      <w:hyperlink r:id="rId107" w:history="1">
        <w:r>
          <w:rPr>
            <w:rStyle w:val="Hyperlink"/>
          </w:rPr>
          <w:t>link</w:t>
        </w:r>
      </w:hyperlink>
      <w:r>
        <w:t>.</w:t>
      </w:r>
    </w:p>
  </w:footnote>
  <w:footnote w:id="298">
    <w:p w14:paraId="5A499815" w14:textId="77777777" w:rsidR="003F3C88" w:rsidRPr="005F062D" w:rsidRDefault="003F3C88" w:rsidP="00EC61ED">
      <w:pPr>
        <w:pStyle w:val="FootnoteText"/>
        <w:jc w:val="both"/>
      </w:pPr>
      <w:r>
        <w:rPr>
          <w:rStyle w:val="FootnoteReference"/>
        </w:rPr>
        <w:footnoteRef/>
      </w:r>
      <w:r>
        <w:t xml:space="preserve"> EU Commission (2020) A Counter-Terrorism Agenda for the EU: Anticipate, Prevent, Protect, Respond. Available at </w:t>
      </w:r>
      <w:hyperlink r:id="rId108" w:history="1">
        <w:r>
          <w:rPr>
            <w:rStyle w:val="Hyperlink"/>
          </w:rPr>
          <w:t>link</w:t>
        </w:r>
      </w:hyperlink>
      <w:r>
        <w:t>.</w:t>
      </w:r>
    </w:p>
  </w:footnote>
  <w:footnote w:id="299">
    <w:p w14:paraId="545C4481" w14:textId="77777777" w:rsidR="003F3C88" w:rsidRPr="00013BD4" w:rsidRDefault="003F3C88" w:rsidP="004D7FEE">
      <w:pPr>
        <w:pStyle w:val="FootnoteText"/>
      </w:pPr>
      <w:r>
        <w:rPr>
          <w:rStyle w:val="FootnoteReference"/>
        </w:rPr>
        <w:footnoteRef/>
      </w:r>
      <w:r>
        <w:t xml:space="preserve"> </w:t>
      </w:r>
      <w:r w:rsidRPr="0070448D">
        <w:t>Technical workshop held on 24 March</w:t>
      </w:r>
      <w:r>
        <w:t xml:space="preserve"> 2021</w:t>
      </w:r>
      <w:r w:rsidRPr="0070448D">
        <w:t>.</w:t>
      </w:r>
    </w:p>
  </w:footnote>
  <w:footnote w:id="300">
    <w:p w14:paraId="72BCF1C3" w14:textId="77777777" w:rsidR="003F3C88" w:rsidRDefault="003F3C88" w:rsidP="00DE1389">
      <w:pPr>
        <w:pStyle w:val="FootnoteText"/>
        <w:spacing w:beforeLines="1" w:before="2" w:afterLines="1" w:after="2"/>
        <w:jc w:val="both"/>
      </w:pPr>
      <w:r>
        <w:rPr>
          <w:rStyle w:val="FootnoteReference"/>
        </w:rPr>
        <w:footnoteRef/>
      </w:r>
      <w:r>
        <w:t xml:space="preserve"> The Schengen acquis - Convention implementing the Schengen Agreement of 14 June 1985 between the Governments of the States of the Benelux Economic Union, the Federal Republic of Germany and the French Republic on the gradual abolition of checks at their common borders (1990). Available at: </w:t>
      </w:r>
      <w:hyperlink r:id="rId109" w:history="1">
        <w:r>
          <w:rPr>
            <w:rStyle w:val="Hyperlink"/>
          </w:rPr>
          <w:t>link</w:t>
        </w:r>
      </w:hyperlink>
      <w:r>
        <w:t xml:space="preserve">. </w:t>
      </w:r>
    </w:p>
  </w:footnote>
  <w:footnote w:id="301">
    <w:p w14:paraId="5593AB11" w14:textId="77777777" w:rsidR="003F3C88" w:rsidRDefault="003F3C88" w:rsidP="00DE1389">
      <w:pPr>
        <w:pStyle w:val="FootnoteText"/>
        <w:spacing w:beforeLines="1" w:before="2" w:afterLines="1" w:after="2"/>
        <w:jc w:val="both"/>
      </w:pPr>
      <w:r>
        <w:rPr>
          <w:rStyle w:val="FootnoteReference"/>
        </w:rPr>
        <w:footnoteRef/>
      </w:r>
      <w:r>
        <w:t xml:space="preserve"> EU countries applying the Schengen acquis include Belgium, France, Germany, Luxembourg, the Netherlands, Portugal, Spain, Austria, Italy, Greece, Denmark, Finland, Czechia, Estonia, Hungary, Latvia, Lithuania, Malta, Poland, Slovakia and Slovenia. Non-EU Member States applying the Schengen rules include Iceland, Norway, Switzerland and Liechtenstein. </w:t>
      </w:r>
    </w:p>
  </w:footnote>
  <w:footnote w:id="302">
    <w:p w14:paraId="1D16944D" w14:textId="77777777" w:rsidR="003F3C88" w:rsidRDefault="003F3C88" w:rsidP="00DE1389">
      <w:pPr>
        <w:pStyle w:val="FootnoteText"/>
        <w:spacing w:beforeLines="1" w:before="2" w:afterLines="1" w:after="2"/>
        <w:jc w:val="both"/>
      </w:pPr>
      <w:r>
        <w:rPr>
          <w:rStyle w:val="FootnoteReference"/>
        </w:rPr>
        <w:footnoteRef/>
      </w:r>
      <w:r>
        <w:t xml:space="preserve"> Close cooperation between EU customs administrations (Naples II Convention) (1998). Available at: </w:t>
      </w:r>
      <w:hyperlink r:id="rId110" w:history="1">
        <w:r>
          <w:rPr>
            <w:rStyle w:val="Hyperlink"/>
          </w:rPr>
          <w:t>link</w:t>
        </w:r>
      </w:hyperlink>
      <w:r>
        <w:t xml:space="preserve">. </w:t>
      </w:r>
    </w:p>
  </w:footnote>
  <w:footnote w:id="303">
    <w:p w14:paraId="064421BF" w14:textId="77777777" w:rsidR="003F3C88" w:rsidRDefault="003F3C88" w:rsidP="00DE1389">
      <w:pPr>
        <w:pStyle w:val="FootnoteText"/>
        <w:spacing w:beforeLines="1" w:before="2" w:afterLines="1" w:after="2"/>
        <w:jc w:val="both"/>
        <w:rPr>
          <w:i/>
        </w:rPr>
      </w:pPr>
      <w:r>
        <w:rPr>
          <w:rStyle w:val="FootnoteReference"/>
        </w:rPr>
        <w:footnoteRef/>
      </w:r>
      <w:r>
        <w:t xml:space="preserve"> Mutual assistance can be provided also spontaneously, without prior request, for covert surveillance and the provision of information. </w:t>
      </w:r>
      <w:r>
        <w:rPr>
          <w:i/>
          <w:iCs/>
        </w:rPr>
        <w:t xml:space="preserve">Ibidem. </w:t>
      </w:r>
    </w:p>
  </w:footnote>
  <w:footnote w:id="304">
    <w:p w14:paraId="7ECF52B5" w14:textId="77777777" w:rsidR="003F3C88" w:rsidRDefault="003F3C88" w:rsidP="00DE1389">
      <w:pPr>
        <w:pStyle w:val="FootnoteText"/>
        <w:spacing w:beforeLines="1" w:before="2" w:afterLines="1" w:after="2"/>
        <w:jc w:val="both"/>
      </w:pPr>
      <w:r>
        <w:rPr>
          <w:rStyle w:val="FootnoteReference"/>
        </w:rPr>
        <w:footnoteRef/>
      </w:r>
      <w:r>
        <w:t xml:space="preserve"> Special forms of cooperation listed in the Convention are: Mutual assistance Hot pursuit — cross-border pursuit of suspects; Cross-border surveillance; Covert investigations; Joint special investigation teams; Controlled deliveries. </w:t>
      </w:r>
      <w:r>
        <w:rPr>
          <w:i/>
          <w:iCs/>
        </w:rPr>
        <w:t>Ibidem</w:t>
      </w:r>
      <w:r>
        <w:t>.</w:t>
      </w:r>
    </w:p>
  </w:footnote>
  <w:footnote w:id="305">
    <w:p w14:paraId="72A4DE0A" w14:textId="77777777" w:rsidR="003F3C88" w:rsidRDefault="003F3C88" w:rsidP="00DE1389">
      <w:pPr>
        <w:pStyle w:val="FootnoteText"/>
        <w:spacing w:beforeLines="1" w:before="2" w:afterLines="1" w:after="2"/>
        <w:jc w:val="both"/>
      </w:pPr>
      <w:r>
        <w:rPr>
          <w:rStyle w:val="FootnoteReference"/>
        </w:rPr>
        <w:footnoteRef/>
      </w:r>
      <w:r>
        <w:t xml:space="preserve"> Only the </w:t>
      </w:r>
      <w:r>
        <w:rPr>
          <w:color w:val="000000" w:themeColor="text1"/>
        </w:rPr>
        <w:t xml:space="preserve">Articles 16-23 of </w:t>
      </w:r>
      <w:r>
        <w:t xml:space="preserve">Council Decision 2008/615/JHA of 23 June 2008 on the stepping up of cross-border cooperation, particularly in combating terrorism and cross-border crime and </w:t>
      </w:r>
      <w:r>
        <w:rPr>
          <w:color w:val="000000" w:themeColor="text1"/>
        </w:rPr>
        <w:t xml:space="preserve">Article 17 of </w:t>
      </w:r>
      <w:r>
        <w:t xml:space="preserve">Council Decision </w:t>
      </w:r>
      <w:r>
        <w:rPr>
          <w:color w:val="000000" w:themeColor="text1"/>
        </w:rPr>
        <w:t xml:space="preserve">2008/616/JHA are covered (another legal initiative is to cover the remaining parts of Prüm). </w:t>
      </w:r>
      <w:r>
        <w:t xml:space="preserve">Council Decision 2008/615/JHA. Available at: </w:t>
      </w:r>
      <w:hyperlink r:id="rId111" w:history="1">
        <w:r>
          <w:rPr>
            <w:rStyle w:val="Hyperlink"/>
          </w:rPr>
          <w:t>link</w:t>
        </w:r>
      </w:hyperlink>
      <w:r>
        <w:t xml:space="preserve">. Council Decision </w:t>
      </w:r>
      <w:r>
        <w:rPr>
          <w:color w:val="000000" w:themeColor="text1"/>
        </w:rPr>
        <w:t xml:space="preserve">2008/616/JHA. Available at: </w:t>
      </w:r>
      <w:hyperlink r:id="rId112" w:history="1">
        <w:r>
          <w:rPr>
            <w:rStyle w:val="Hyperlink"/>
          </w:rPr>
          <w:t>link</w:t>
        </w:r>
      </w:hyperlink>
      <w:r>
        <w:rPr>
          <w:color w:val="000000" w:themeColor="text1"/>
        </w:rPr>
        <w:t>.</w:t>
      </w:r>
    </w:p>
  </w:footnote>
  <w:footnote w:id="306">
    <w:p w14:paraId="39E7223D" w14:textId="77777777" w:rsidR="003F3C88" w:rsidRDefault="003F3C88" w:rsidP="00DE1389">
      <w:pPr>
        <w:pStyle w:val="FootnoteText"/>
        <w:spacing w:beforeLines="1" w:before="2" w:afterLines="1" w:after="2"/>
        <w:jc w:val="both"/>
      </w:pPr>
      <w:r>
        <w:rPr>
          <w:rStyle w:val="FootnoteReference"/>
        </w:rPr>
        <w:footnoteRef/>
      </w:r>
      <w:r>
        <w:t xml:space="preserve"> Council Framework Decision 2006/960/JHA of 18 December 2006 on simplifying the exchange of information and intelligence between law enforcement authorities of the Member States of the European Union (2006). Available at: </w:t>
      </w:r>
      <w:hyperlink r:id="rId113" w:history="1">
        <w:r>
          <w:rPr>
            <w:rStyle w:val="Hyperlink"/>
          </w:rPr>
          <w:t>link</w:t>
        </w:r>
      </w:hyperlink>
      <w:r>
        <w:t>.</w:t>
      </w:r>
    </w:p>
  </w:footnote>
  <w:footnote w:id="307">
    <w:p w14:paraId="73195AB2" w14:textId="77777777" w:rsidR="003F3C88" w:rsidRDefault="003F3C88" w:rsidP="00DE1389">
      <w:pPr>
        <w:pStyle w:val="FootnoteText"/>
        <w:spacing w:beforeLines="1" w:before="2" w:afterLines="1" w:after="2"/>
        <w:jc w:val="both"/>
      </w:pPr>
      <w:r>
        <w:rPr>
          <w:rStyle w:val="FootnoteReference"/>
        </w:rPr>
        <w:footnoteRef/>
      </w:r>
      <w:r>
        <w:t xml:space="preserve"> Council Decision 2006/560/JHA of 24 July 2006 amending Decision 2003/170/JHA on the common use of liaison officers posted abroad by the law enforcement agencies of the Member States. Available at: </w:t>
      </w:r>
      <w:hyperlink r:id="rId114" w:history="1">
        <w:r>
          <w:rPr>
            <w:rStyle w:val="Hyperlink"/>
          </w:rPr>
          <w:t>link</w:t>
        </w:r>
      </w:hyperlink>
      <w:r>
        <w:t>.</w:t>
      </w:r>
    </w:p>
  </w:footnote>
  <w:footnote w:id="308">
    <w:p w14:paraId="2EB94504" w14:textId="77777777" w:rsidR="003F3C88" w:rsidRDefault="003F3C88" w:rsidP="00DE1389">
      <w:pPr>
        <w:pStyle w:val="FootnoteText"/>
        <w:spacing w:beforeLines="1" w:before="2" w:afterLines="1" w:after="2"/>
        <w:jc w:val="both"/>
      </w:pPr>
      <w:r>
        <w:rPr>
          <w:rStyle w:val="FootnoteReference"/>
        </w:rPr>
        <w:footnoteRef/>
      </w:r>
      <w:r>
        <w:t xml:space="preserve"> </w:t>
      </w:r>
      <w:r>
        <w:rPr>
          <w:lang w:val="en-GB"/>
        </w:rPr>
        <w:t xml:space="preserve">Council Document 6721/3/14 - Draft SPOC Guidelines for international law enforcement information exchange </w:t>
      </w:r>
      <w:r>
        <w:t xml:space="preserve">Available at: </w:t>
      </w:r>
      <w:hyperlink r:id="rId115" w:history="1">
        <w:r>
          <w:rPr>
            <w:rStyle w:val="Hyperlink"/>
          </w:rPr>
          <w:t>link.</w:t>
        </w:r>
      </w:hyperlink>
      <w:r>
        <w:t xml:space="preserve"> </w:t>
      </w:r>
    </w:p>
  </w:footnote>
  <w:footnote w:id="309">
    <w:p w14:paraId="14998917" w14:textId="77777777" w:rsidR="003F3C88" w:rsidRDefault="003F3C88" w:rsidP="00DE1389">
      <w:pPr>
        <w:pStyle w:val="FootnoteText"/>
        <w:spacing w:beforeLines="1" w:before="2" w:afterLines="1" w:after="2"/>
        <w:jc w:val="both"/>
      </w:pPr>
      <w:r>
        <w:rPr>
          <w:rStyle w:val="FootnoteReference"/>
        </w:rPr>
        <w:footnoteRef/>
      </w:r>
      <w:r>
        <w:t xml:space="preserve"> Pursuant Regulation (EU) 2016/679, “In cases involving both the controller and the processor, the competent lead supervisory authority should remain the supervisory authority of the Member State where the controller has its main establishment, but the supervisory authority of the processor should be considered to be a supervisory authority concerned and that supervisory authority should participate in the cooperation procedure provided for by this Regulation”.</w:t>
      </w:r>
    </w:p>
  </w:footnote>
  <w:footnote w:id="310">
    <w:p w14:paraId="612CFAA4" w14:textId="77777777" w:rsidR="003F3C88" w:rsidRDefault="003F3C88" w:rsidP="00DE1389">
      <w:pPr>
        <w:pStyle w:val="FootnoteText"/>
        <w:spacing w:beforeLines="1" w:before="2" w:afterLines="1" w:after="2"/>
        <w:jc w:val="both"/>
      </w:pPr>
      <w:r>
        <w:rPr>
          <w:rStyle w:val="FootnoteReference"/>
        </w:rPr>
        <w:footnoteRef/>
      </w:r>
      <w:r>
        <w:t xml:space="preserve"> </w:t>
      </w:r>
      <w:r>
        <w:rPr>
          <w:lang w:val="en-GB"/>
        </w:rPr>
        <w:t xml:space="preserve">Council Framework </w:t>
      </w:r>
      <w:r>
        <w:t>Decision</w:t>
      </w:r>
      <w:r>
        <w:rPr>
          <w:lang w:val="en-GB"/>
        </w:rPr>
        <w:t xml:space="preserve"> 2006/960/JHA </w:t>
      </w:r>
      <w:r>
        <w:t>on simplifying the exchange of information and intelligence between law enforcement authorities of the Member States of the European Union</w:t>
      </w:r>
      <w:r>
        <w:rPr>
          <w:lang w:val="en-GB"/>
        </w:rPr>
        <w:t xml:space="preserve">, Art. 3 (3). </w:t>
      </w:r>
      <w:r>
        <w:t>Available</w:t>
      </w:r>
      <w:r>
        <w:rPr>
          <w:lang w:val="en-GB"/>
        </w:rPr>
        <w:t xml:space="preserve"> at: </w:t>
      </w:r>
      <w:hyperlink r:id="rId116" w:history="1">
        <w:r>
          <w:rPr>
            <w:rStyle w:val="Hyperlink"/>
            <w:lang w:val="en-GB"/>
          </w:rPr>
          <w:t>link</w:t>
        </w:r>
      </w:hyperlink>
      <w:r>
        <w:t>.</w:t>
      </w:r>
    </w:p>
  </w:footnote>
  <w:footnote w:id="311">
    <w:p w14:paraId="159843C4" w14:textId="77777777" w:rsidR="003F3C88" w:rsidRDefault="003F3C88" w:rsidP="00DE1389">
      <w:pPr>
        <w:pStyle w:val="FootnoteText"/>
        <w:spacing w:beforeLines="1" w:before="2" w:afterLines="1" w:after="2"/>
        <w:jc w:val="both"/>
        <w:rPr>
          <w:lang w:val="en-GB"/>
        </w:rPr>
      </w:pPr>
      <w:r>
        <w:rPr>
          <w:rStyle w:val="FootnoteReference"/>
        </w:rPr>
        <w:footnoteRef/>
      </w:r>
      <w:r>
        <w:t xml:space="preserve"> Council Document 10000/07 - Proposal for a Council Recommendation on a standard procedure in Member States for cross-border enquiries by police authorities in investigating supply channels for seized or recovered crime-related firearms. Available at: </w:t>
      </w:r>
      <w:hyperlink r:id="rId117" w:history="1">
        <w:r>
          <w:rPr>
            <w:rStyle w:val="Hyperlink"/>
          </w:rPr>
          <w:t>link.</w:t>
        </w:r>
      </w:hyperlink>
    </w:p>
  </w:footnote>
  <w:footnote w:id="312">
    <w:p w14:paraId="0D6C760C" w14:textId="77777777" w:rsidR="003F3C88" w:rsidRDefault="003F3C88" w:rsidP="00DE1389">
      <w:pPr>
        <w:pStyle w:val="FootnoteText"/>
        <w:spacing w:beforeLines="1" w:before="2" w:afterLines="1" w:after="2"/>
        <w:jc w:val="both"/>
      </w:pPr>
      <w:r>
        <w:rPr>
          <w:rStyle w:val="FootnoteReference"/>
        </w:rPr>
        <w:footnoteRef/>
      </w:r>
      <w:r>
        <w:t xml:space="preserve"> 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Available at: </w:t>
      </w:r>
      <w:hyperlink r:id="rId118" w:history="1">
        <w:r>
          <w:rPr>
            <w:rStyle w:val="Hyperlink"/>
            <w:lang w:val="en-GB"/>
          </w:rPr>
          <w:t>link</w:t>
        </w:r>
      </w:hyperlink>
      <w:r>
        <w:rPr>
          <w:lang w:val="en-GB"/>
        </w:rPr>
        <w:t>.</w:t>
      </w:r>
    </w:p>
  </w:footnote>
  <w:footnote w:id="313">
    <w:p w14:paraId="14F9548C" w14:textId="77777777" w:rsidR="003F3C88" w:rsidRDefault="003F3C88" w:rsidP="00DE1389">
      <w:pPr>
        <w:pStyle w:val="FootnoteText"/>
        <w:spacing w:beforeLines="1" w:before="2" w:afterLines="1" w:after="2"/>
        <w:jc w:val="both"/>
      </w:pPr>
      <w:r>
        <w:rPr>
          <w:rStyle w:val="FootnoteReference"/>
        </w:rPr>
        <w:footnoteRef/>
      </w:r>
      <w:r>
        <w:t xml:space="preserve"> Regulation (EU) 2019/818 of the European Parliament and of the Council of 20 May 2019 on establishing a framework for interoperability between EU information systems in the field of police and judicial cooperation, asylum and migration and amending Regulations (EU) 2018/1726, (EU) 2018/1862 and (EU) 2019/816.</w:t>
      </w:r>
      <w:r>
        <w:rPr>
          <w:lang w:val="en-GB"/>
        </w:rPr>
        <w:t xml:space="preserve"> </w:t>
      </w:r>
      <w:r>
        <w:t xml:space="preserve">Available at: </w:t>
      </w:r>
      <w:hyperlink r:id="rId119" w:history="1">
        <w:r>
          <w:rPr>
            <w:rStyle w:val="Hyperlink"/>
          </w:rPr>
          <w:t>link.</w:t>
        </w:r>
      </w:hyperlink>
    </w:p>
  </w:footnote>
  <w:footnote w:id="314">
    <w:p w14:paraId="3C2D3C73" w14:textId="77777777" w:rsidR="003F3C88" w:rsidRDefault="003F3C88" w:rsidP="00DE1389">
      <w:pPr>
        <w:pStyle w:val="FootnoteText"/>
        <w:spacing w:beforeLines="1" w:before="2" w:afterLines="1" w:after="2"/>
        <w:jc w:val="both"/>
        <w:rPr>
          <w:lang w:val="en-GB"/>
        </w:rPr>
      </w:pPr>
      <w:r>
        <w:rPr>
          <w:rStyle w:val="FootnoteReference"/>
        </w:rPr>
        <w:footnoteRef/>
      </w:r>
      <w:r>
        <w:t xml:space="preserve"> The Entry/Exit System (EES); The Visa Information System (VIS); The European Travel Information and Authorisation System (ETIAS); Eurodac; The Schengen Information System (SIS); The European Criminal Records Information System for Third-Country Nationals (ECRIS-TCN); Europol data; Interpol database.</w:t>
      </w:r>
    </w:p>
  </w:footnote>
  <w:footnote w:id="315">
    <w:p w14:paraId="2E74ED75" w14:textId="77777777" w:rsidR="003F3C88" w:rsidRDefault="003F3C88" w:rsidP="00DE1389">
      <w:pPr>
        <w:pStyle w:val="FootnoteText"/>
        <w:spacing w:beforeLines="1" w:before="2" w:afterLines="1" w:after="2"/>
        <w:jc w:val="both"/>
      </w:pPr>
      <w:r>
        <w:rPr>
          <w:rStyle w:val="FootnoteReference"/>
        </w:rPr>
        <w:footnoteRef/>
      </w:r>
      <w:r>
        <w:t xml:space="preserve"> Council Document 10492/14, Draft Guidelines for a Single Point of Contact (SPOC) for international law enforcement information exchange. Available at: </w:t>
      </w:r>
      <w:hyperlink r:id="rId120" w:history="1">
        <w:r>
          <w:rPr>
            <w:rStyle w:val="Hyperlink"/>
            <w:lang w:val="en-GB"/>
          </w:rPr>
          <w:t>link</w:t>
        </w:r>
      </w:hyperlink>
      <w:r>
        <w:t>.</w:t>
      </w:r>
      <w:r>
        <w:rPr>
          <w:lang w:val="en-GB"/>
        </w:rPr>
        <w:t xml:space="preserve"> </w:t>
      </w:r>
    </w:p>
  </w:footnote>
  <w:footnote w:id="316">
    <w:p w14:paraId="56C667A3" w14:textId="77777777" w:rsidR="003F3C88" w:rsidRDefault="003F3C88" w:rsidP="00DE1389">
      <w:pPr>
        <w:pStyle w:val="FootnoteText"/>
        <w:spacing w:beforeLines="1" w:before="2" w:afterLines="1" w:after="2"/>
        <w:jc w:val="both"/>
      </w:pPr>
      <w:r>
        <w:rPr>
          <w:rStyle w:val="FootnoteReference"/>
        </w:rPr>
        <w:footnoteRef/>
      </w:r>
      <w:r>
        <w:t xml:space="preserve"> Council Document 9105/11, European Best Practice Guidelines for Police and Customs Cooperation Centres (PCCCs). Available at: </w:t>
      </w:r>
      <w:hyperlink r:id="rId121" w:history="1">
        <w:r>
          <w:rPr>
            <w:rStyle w:val="Hyperlink"/>
            <w:lang w:val="en-GB"/>
          </w:rPr>
          <w:t>link</w:t>
        </w:r>
      </w:hyperlink>
      <w:r>
        <w:t xml:space="preserve">. </w:t>
      </w:r>
    </w:p>
  </w:footnote>
  <w:footnote w:id="317">
    <w:p w14:paraId="1482B2A8" w14:textId="77777777" w:rsidR="003F3C88" w:rsidRDefault="003F3C88" w:rsidP="00DE1389">
      <w:pPr>
        <w:pStyle w:val="FootnoteText"/>
        <w:spacing w:beforeLines="1" w:before="2" w:afterLines="1" w:after="2"/>
        <w:jc w:val="both"/>
        <w:rPr>
          <w:lang w:val="en-GB"/>
        </w:rPr>
      </w:pPr>
      <w:r>
        <w:rPr>
          <w:rStyle w:val="FootnoteReference"/>
        </w:rPr>
        <w:footnoteRef/>
      </w:r>
      <w:r>
        <w:t xml:space="preserve"> </w:t>
      </w:r>
      <w:r>
        <w:rPr>
          <w:lang w:val="en-GB"/>
        </w:rPr>
        <w:t xml:space="preserve">COM (2015) 624 final. </w:t>
      </w:r>
      <w:r>
        <w:t xml:space="preserve">Available at: </w:t>
      </w:r>
      <w:hyperlink r:id="rId122" w:history="1">
        <w:r>
          <w:rPr>
            <w:rStyle w:val="Hyperlink"/>
            <w:lang w:val="en-GB"/>
          </w:rPr>
          <w:t>link.</w:t>
        </w:r>
      </w:hyperlink>
    </w:p>
  </w:footnote>
  <w:footnote w:id="318">
    <w:p w14:paraId="750C93B8" w14:textId="77777777" w:rsidR="003F3C88" w:rsidRDefault="003F3C88" w:rsidP="00DE1389">
      <w:pPr>
        <w:pStyle w:val="FootnoteText"/>
        <w:spacing w:beforeLines="1" w:before="2" w:afterLines="1" w:after="2"/>
        <w:jc w:val="both"/>
      </w:pPr>
      <w:r>
        <w:rPr>
          <w:rStyle w:val="FootnoteReference"/>
        </w:rPr>
        <w:footnoteRef/>
      </w:r>
      <w:r>
        <w:t xml:space="preserve"> Council Decision 2005/671/JHA of 20 September 2005 on the exchange of information and cooperation concerning terrorist offences. Available at: </w:t>
      </w:r>
      <w:hyperlink r:id="rId123" w:history="1">
        <w:r>
          <w:rPr>
            <w:rStyle w:val="Hyperlink"/>
          </w:rPr>
          <w:t>link</w:t>
        </w:r>
      </w:hyperlink>
      <w:r>
        <w:t>.</w:t>
      </w:r>
    </w:p>
  </w:footnote>
  <w:footnote w:id="319">
    <w:p w14:paraId="7E8BFEFD" w14:textId="77777777" w:rsidR="003F3C88" w:rsidRDefault="003F3C88" w:rsidP="00DE1389">
      <w:pPr>
        <w:pStyle w:val="FootnoteText"/>
        <w:spacing w:beforeLines="1" w:before="2" w:afterLines="1" w:after="2"/>
        <w:jc w:val="both"/>
      </w:pPr>
      <w:r>
        <w:rPr>
          <w:rStyle w:val="FootnoteReference"/>
        </w:rPr>
        <w:footnoteRef/>
      </w:r>
      <w:r>
        <w:t xml:space="preserve"> Council Decision 2003/170/JHA of 27 February 2003 on the common use of liaison officers posted abroad by the law enforcement agencies of the Member States. Available at: </w:t>
      </w:r>
      <w:hyperlink r:id="rId124" w:history="1">
        <w:r>
          <w:rPr>
            <w:rStyle w:val="Hyperlink"/>
          </w:rPr>
          <w:t>link</w:t>
        </w:r>
      </w:hyperlink>
      <w:r>
        <w:t>.</w:t>
      </w:r>
    </w:p>
  </w:footnote>
  <w:footnote w:id="320">
    <w:p w14:paraId="5BC22792" w14:textId="77777777" w:rsidR="003F3C88" w:rsidRDefault="003F3C88" w:rsidP="00DE1389">
      <w:pPr>
        <w:pStyle w:val="FootnoteText"/>
        <w:spacing w:beforeLines="1" w:before="2" w:afterLines="1" w:after="2"/>
        <w:jc w:val="both"/>
      </w:pPr>
      <w:r>
        <w:rPr>
          <w:rStyle w:val="FootnoteReference"/>
        </w:rPr>
        <w:footnoteRef/>
      </w:r>
      <w:r>
        <w:t xml:space="preserve"> Council Decision 2006/560/JHA of 24 July 2006 amending Decision 2003/170/JHA on the common use of liaison officers posted abroad by the law enforcement agencies of the Member States. Available at: </w:t>
      </w:r>
      <w:hyperlink r:id="rId125" w:history="1">
        <w:r>
          <w:rPr>
            <w:rStyle w:val="Hyperlink"/>
          </w:rPr>
          <w:t>link</w:t>
        </w:r>
      </w:hyperlink>
      <w:r>
        <w:t>.</w:t>
      </w:r>
    </w:p>
  </w:footnote>
  <w:footnote w:id="321">
    <w:p w14:paraId="4274E906" w14:textId="77777777" w:rsidR="003F3C88" w:rsidRDefault="003F3C88" w:rsidP="00DE1389">
      <w:pPr>
        <w:pStyle w:val="FootnoteText"/>
        <w:spacing w:beforeLines="1" w:before="2" w:afterLines="1" w:after="2"/>
        <w:jc w:val="both"/>
      </w:pPr>
      <w:r>
        <w:rPr>
          <w:rStyle w:val="FootnoteReference"/>
        </w:rPr>
        <w:footnoteRef/>
      </w:r>
      <w:r>
        <w:t xml:space="preserve"> The European search portal (ESP) allows competent authorities to search multiple information systems simultaneously, using both biographical and biometric data and it can be therefore used to search data related to persons or their travel documents.</w:t>
      </w:r>
    </w:p>
  </w:footnote>
  <w:footnote w:id="322">
    <w:p w14:paraId="1A1C74FB" w14:textId="77777777" w:rsidR="003F3C88" w:rsidRDefault="003F3C88" w:rsidP="00DE1389">
      <w:pPr>
        <w:pStyle w:val="FootnoteText"/>
        <w:spacing w:beforeLines="1" w:before="2" w:afterLines="1" w:after="2"/>
        <w:jc w:val="both"/>
      </w:pPr>
      <w:r>
        <w:rPr>
          <w:rStyle w:val="FootnoteReference"/>
        </w:rPr>
        <w:footnoteRef/>
      </w:r>
      <w:r>
        <w:t xml:space="preserve"> Council Decision 2009/917/JHA on the use of information technology for customs purposes. Available at: </w:t>
      </w:r>
      <w:hyperlink r:id="rId126" w:history="1">
        <w:r>
          <w:rPr>
            <w:rStyle w:val="Hyperlink"/>
          </w:rPr>
          <w:t>link</w:t>
        </w:r>
      </w:hyperlink>
      <w:r>
        <w:t>.</w:t>
      </w:r>
    </w:p>
  </w:footnote>
  <w:footnote w:id="323">
    <w:p w14:paraId="50C086F1" w14:textId="77777777" w:rsidR="003F3C88" w:rsidRDefault="003F3C88" w:rsidP="00DE1389">
      <w:pPr>
        <w:pStyle w:val="FootnoteText"/>
        <w:spacing w:beforeLines="1" w:before="2" w:afterLines="1" w:after="2"/>
        <w:jc w:val="both"/>
        <w:rPr>
          <w:lang w:val="en-GB"/>
        </w:rPr>
      </w:pPr>
      <w:r>
        <w:rPr>
          <w:rStyle w:val="FootnoteReference"/>
        </w:rPr>
        <w:footnoteRef/>
      </w:r>
      <w:r>
        <w:t xml:space="preserve"> Regulation 515/97 is out of the scope of this study. Council Regulation (EC) No 515/97 of 13 March 1997 on mutual assistance between the administrative authorities of the Member States and cooperation between the latter and the Commission to ensure the correct application of the law on customs and agricultural matters. Available at: </w:t>
      </w:r>
      <w:hyperlink r:id="rId127" w:history="1">
        <w:r>
          <w:rPr>
            <w:rStyle w:val="Hyperlink"/>
          </w:rPr>
          <w:t>link</w:t>
        </w:r>
      </w:hyperlink>
      <w:r>
        <w:t>.</w:t>
      </w:r>
    </w:p>
  </w:footnote>
  <w:footnote w:id="324">
    <w:p w14:paraId="0505A984" w14:textId="77777777" w:rsidR="003F3C88" w:rsidRDefault="003F3C88" w:rsidP="00DE1389">
      <w:pPr>
        <w:pStyle w:val="FootnoteText"/>
        <w:spacing w:beforeLines="1" w:before="2" w:afterLines="1" w:after="2"/>
        <w:jc w:val="both"/>
        <w:rPr>
          <w:lang w:val="en-GB"/>
        </w:rPr>
      </w:pPr>
      <w:r>
        <w:rPr>
          <w:rStyle w:val="FootnoteReference"/>
        </w:rPr>
        <w:footnoteRef/>
      </w:r>
      <w:r>
        <w:t xml:space="preserve"> Council Document 5825/20, 2 December 2020, </w:t>
      </w:r>
      <w:r>
        <w:rPr>
          <w:lang w:val="en-GB"/>
        </w:rPr>
        <w:t xml:space="preserve">Manual on Law Enforcement Information Exchange. Available at: </w:t>
      </w:r>
      <w:hyperlink r:id="rId128" w:history="1">
        <w:r>
          <w:rPr>
            <w:rStyle w:val="Hyperlink"/>
            <w:lang w:val="en-GB"/>
          </w:rPr>
          <w:t>link</w:t>
        </w:r>
      </w:hyperlink>
      <w:r>
        <w:rPr>
          <w:lang w:val="en-GB"/>
        </w:rPr>
        <w:t>.</w:t>
      </w:r>
    </w:p>
  </w:footnote>
  <w:footnote w:id="325">
    <w:p w14:paraId="4544D7E3" w14:textId="77777777" w:rsidR="003F3C88" w:rsidRDefault="003F3C88" w:rsidP="00DE1389">
      <w:pPr>
        <w:pStyle w:val="FootnoteText"/>
        <w:spacing w:beforeLines="1" w:before="2" w:afterLines="1" w:after="2"/>
        <w:jc w:val="both"/>
      </w:pPr>
      <w:r>
        <w:rPr>
          <w:rStyle w:val="FootnoteReference"/>
        </w:rPr>
        <w:footnoteRef/>
      </w:r>
      <w:r>
        <w:t xml:space="preserve"> Council Document 9512/10, 26 May 2010 - Guidelines on the implementation of Council Framework Decision 2006/960/JHA. Available at: </w:t>
      </w:r>
      <w:hyperlink r:id="rId129" w:history="1">
        <w:r>
          <w:rPr>
            <w:rStyle w:val="Hyperlink"/>
          </w:rPr>
          <w:t>link</w:t>
        </w:r>
      </w:hyperlink>
      <w:r>
        <w:t>.</w:t>
      </w:r>
    </w:p>
  </w:footnote>
  <w:footnote w:id="326">
    <w:p w14:paraId="7D1AFC5F" w14:textId="77777777" w:rsidR="003F3C88" w:rsidRDefault="003F3C88" w:rsidP="00DE1389">
      <w:pPr>
        <w:pStyle w:val="FootnoteText"/>
        <w:spacing w:beforeLines="1" w:before="2" w:afterLines="1" w:after="2"/>
        <w:jc w:val="both"/>
      </w:pPr>
      <w:r>
        <w:rPr>
          <w:rStyle w:val="FootnoteReference"/>
        </w:rPr>
        <w:footnoteRef/>
      </w:r>
      <w:r>
        <w:t xml:space="preserve"> To be understood as a national police, customs or other authority that is authorised by national law to detect, prevent and investigate offences or criminal activities and to exercise authority and take coercive measures in the context of such activities. The designation of national competent authority falls within each Member State’s competence. </w:t>
      </w:r>
    </w:p>
  </w:footnote>
  <w:footnote w:id="327">
    <w:p w14:paraId="0F50D1B5" w14:textId="77777777" w:rsidR="003F3C88" w:rsidRDefault="003F3C88" w:rsidP="00DE1389">
      <w:pPr>
        <w:pStyle w:val="FootnoteText"/>
        <w:spacing w:beforeLines="1" w:before="2" w:afterLines="1" w:after="2"/>
        <w:jc w:val="both"/>
      </w:pPr>
      <w:r>
        <w:rPr>
          <w:rStyle w:val="FootnoteReference"/>
        </w:rPr>
        <w:footnoteRef/>
      </w:r>
      <w:r>
        <w:rPr>
          <w:lang w:val="en-GB"/>
        </w:rPr>
        <w:t xml:space="preserve"> </w:t>
      </w:r>
      <w:r>
        <w:t>Including: supplementary information requests at the national entry bureau (SIRENE Bureau); customs, judicial, migration and visa issuing authorities under Regulation 1987/2006; vehicle registration authorities; and under the new Regulation 2018/1862, firearm, boat, aircraft registration authorities, security authorities.</w:t>
      </w:r>
    </w:p>
    <w:p w14:paraId="2A89D6B6" w14:textId="77777777" w:rsidR="003F3C88" w:rsidRDefault="003F3C88" w:rsidP="00D44CF0">
      <w:pPr>
        <w:pStyle w:val="FootnoteText"/>
        <w:spacing w:beforeLines="1" w:before="2" w:afterLines="1" w:after="2"/>
      </w:pPr>
    </w:p>
  </w:footnote>
  <w:footnote w:id="328">
    <w:p w14:paraId="04FEC250" w14:textId="77777777" w:rsidR="003F3C88" w:rsidRDefault="003F3C88" w:rsidP="00D44CF0">
      <w:pPr>
        <w:pStyle w:val="FootnoteText"/>
        <w:spacing w:beforeLines="1" w:before="2" w:afterLines="1" w:after="2"/>
        <w:rPr>
          <w:lang w:val="en-GB"/>
        </w:rPr>
      </w:pPr>
      <w:r>
        <w:rPr>
          <w:rStyle w:val="FootnoteReference"/>
        </w:rPr>
        <w:footnoteRef/>
      </w:r>
      <w:r>
        <w:t xml:space="preserve"> </w:t>
      </w:r>
      <w:r>
        <w:rPr>
          <w:lang w:val="en-GB"/>
        </w:rPr>
        <w:t xml:space="preserve">FIDE is </w:t>
      </w:r>
      <w:r>
        <w:t>out of the scope of this study.</w:t>
      </w:r>
    </w:p>
  </w:footnote>
  <w:footnote w:id="329">
    <w:p w14:paraId="3C712166" w14:textId="77777777" w:rsidR="003F3C88" w:rsidRDefault="003F3C88" w:rsidP="00DE1389">
      <w:pPr>
        <w:pStyle w:val="FootnoteText"/>
        <w:spacing w:beforeLines="1" w:before="2" w:afterLines="1" w:after="2"/>
        <w:jc w:val="both"/>
      </w:pPr>
      <w:r>
        <w:rPr>
          <w:rStyle w:val="FootnoteReference"/>
        </w:rPr>
        <w:footnoteRef/>
      </w:r>
      <w:r>
        <w:t xml:space="preserve"> Council Document 13034/14 - Guidelines on the implementation of SFD. Available at: </w:t>
      </w:r>
      <w:hyperlink r:id="rId130" w:history="1">
        <w:r>
          <w:rPr>
            <w:rStyle w:val="Hyperlink"/>
          </w:rPr>
          <w:t>link</w:t>
        </w:r>
      </w:hyperlink>
      <w:r>
        <w:rPr>
          <w:rStyle w:val="Hyperlink"/>
        </w:rPr>
        <w:t>.</w:t>
      </w:r>
    </w:p>
  </w:footnote>
  <w:footnote w:id="330">
    <w:p w14:paraId="5B1B1195" w14:textId="77777777" w:rsidR="003F3C88" w:rsidRDefault="003F3C88" w:rsidP="00DE1389">
      <w:pPr>
        <w:pStyle w:val="FootnoteText"/>
        <w:spacing w:beforeLines="1" w:before="2" w:afterLines="1" w:after="2"/>
        <w:jc w:val="both"/>
      </w:pPr>
      <w:r>
        <w:rPr>
          <w:rStyle w:val="FootnoteReference"/>
        </w:rPr>
        <w:footnoteRef/>
      </w:r>
      <w:r>
        <w:t xml:space="preserve"> Council Decision 2008/633/JHA of 23 June 2008 concerning access for consultation of the Visa Information System (VIS) by designated authorities of Member States and by Europol for the purposes of the prevention, detection and investigation of terrorist offences and of other serious criminal offences</w:t>
      </w:r>
      <w:r>
        <w:rPr>
          <w:lang w:val="en-GB"/>
        </w:rPr>
        <w:t xml:space="preserve">. </w:t>
      </w:r>
      <w:r>
        <w:t xml:space="preserve">Available at: </w:t>
      </w:r>
      <w:hyperlink r:id="rId131" w:history="1">
        <w:r>
          <w:rPr>
            <w:rStyle w:val="Hyperlink"/>
          </w:rPr>
          <w:t>link</w:t>
        </w:r>
      </w:hyperlink>
    </w:p>
  </w:footnote>
  <w:footnote w:id="331">
    <w:p w14:paraId="387E5E91" w14:textId="77777777" w:rsidR="003F3C88" w:rsidRDefault="003F3C88" w:rsidP="00DE1389">
      <w:pPr>
        <w:pStyle w:val="FootnoteText"/>
        <w:spacing w:beforeLines="1" w:before="2" w:afterLines="1" w:after="2"/>
        <w:jc w:val="both"/>
      </w:pPr>
      <w:r>
        <w:rPr>
          <w:rStyle w:val="FootnoteReference"/>
        </w:rPr>
        <w:footnoteRef/>
      </w:r>
      <w:r>
        <w:t xml:space="preserve"> Council Decision 2002/348/JHA: Council Decision of 25 April 2002 concerning security in connection with football matches with an international dimension. Available at: </w:t>
      </w:r>
      <w:hyperlink r:id="rId132" w:history="1">
        <w:r>
          <w:rPr>
            <w:rStyle w:val="Hyperlink"/>
          </w:rPr>
          <w:t>link</w:t>
        </w:r>
      </w:hyperlink>
      <w:r>
        <w:rPr>
          <w:rStyle w:val="Hyperlink"/>
        </w:rPr>
        <w:t>.</w:t>
      </w:r>
    </w:p>
  </w:footnote>
  <w:footnote w:id="332">
    <w:p w14:paraId="62FEA78E" w14:textId="77777777" w:rsidR="003F3C88" w:rsidRDefault="003F3C88" w:rsidP="00DE1389">
      <w:pPr>
        <w:pStyle w:val="FootnoteText"/>
        <w:spacing w:beforeLines="1" w:before="2" w:afterLines="1" w:after="2"/>
        <w:jc w:val="both"/>
      </w:pPr>
      <w:r>
        <w:rPr>
          <w:rStyle w:val="FootnoteReference"/>
        </w:rPr>
        <w:footnoteRef/>
      </w:r>
      <w:r>
        <w:t xml:space="preserve"> Close cooperation between EU customs administrations (Naples II Convention) (1998). Available at: </w:t>
      </w:r>
      <w:hyperlink r:id="rId133" w:history="1">
        <w:r>
          <w:rPr>
            <w:rStyle w:val="Hyperlink"/>
          </w:rPr>
          <w:t>link</w:t>
        </w:r>
      </w:hyperlink>
      <w:r>
        <w:t xml:space="preserve">. </w:t>
      </w:r>
    </w:p>
  </w:footnote>
  <w:footnote w:id="333">
    <w:p w14:paraId="2280D11C" w14:textId="77777777" w:rsidR="003F3C88" w:rsidRDefault="003F3C88" w:rsidP="00B86F0E">
      <w:pPr>
        <w:pStyle w:val="Footnote10"/>
        <w:shd w:val="clear" w:color="auto" w:fill="auto"/>
        <w:tabs>
          <w:tab w:val="left" w:pos="106"/>
        </w:tabs>
      </w:pPr>
      <w:r>
        <w:rPr>
          <w:color w:val="000000"/>
          <w:vertAlign w:val="superscript"/>
          <w:lang w:bidi="en-US"/>
        </w:rPr>
        <w:footnoteRef/>
      </w:r>
      <w:r>
        <w:rPr>
          <w:color w:val="000000"/>
          <w:lang w:bidi="en-US"/>
        </w:rPr>
        <w:tab/>
        <w:t>The representative from the Netherlands expressed a reserve clause on conclusions presented in this document.</w:t>
      </w:r>
    </w:p>
  </w:footnote>
  <w:footnote w:id="334">
    <w:p w14:paraId="42E2E2D5" w14:textId="77777777" w:rsidR="003F3C88" w:rsidRDefault="003F3C88" w:rsidP="00305706">
      <w:pPr>
        <w:pStyle w:val="Footnote10"/>
        <w:shd w:val="clear" w:color="auto" w:fill="auto"/>
        <w:tabs>
          <w:tab w:val="left" w:pos="130"/>
        </w:tabs>
        <w:spacing w:line="192" w:lineRule="exact"/>
      </w:pPr>
      <w:r>
        <w:rPr>
          <w:color w:val="000000"/>
          <w:vertAlign w:val="superscript"/>
          <w:lang w:bidi="en-US"/>
        </w:rPr>
        <w:footnoteRef/>
      </w:r>
      <w:r>
        <w:rPr>
          <w:color w:val="000000"/>
          <w:lang w:bidi="en-US"/>
        </w:rPr>
        <w:tab/>
        <w:t xml:space="preserve">Regulation </w:t>
      </w:r>
      <w:r>
        <w:rPr>
          <w:color w:val="000000"/>
          <w:lang w:val="de-DE" w:eastAsia="de-DE" w:bidi="de-DE"/>
        </w:rPr>
        <w:t xml:space="preserve">(EU) </w:t>
      </w:r>
      <w:r>
        <w:rPr>
          <w:color w:val="000000"/>
          <w:lang w:val="bg-BG" w:eastAsia="bg-BG" w:bidi="bg-BG"/>
        </w:rPr>
        <w:t xml:space="preserve">2019/817 </w:t>
      </w:r>
      <w:r>
        <w:rPr>
          <w:color w:val="000000"/>
          <w:lang w:bidi="en-US"/>
        </w:rPr>
        <w:t xml:space="preserve">of the European Parliament and of the Council of 20 May 2019 on establishing a framework for interoperability between </w:t>
      </w:r>
      <w:r>
        <w:rPr>
          <w:color w:val="000000"/>
          <w:lang w:val="de-DE" w:eastAsia="de-DE" w:bidi="de-DE"/>
        </w:rPr>
        <w:t xml:space="preserve">EU </w:t>
      </w:r>
      <w:r>
        <w:rPr>
          <w:color w:val="000000"/>
          <w:lang w:bidi="en-US"/>
        </w:rPr>
        <w:t xml:space="preserve">information systems in the field of borders and visa and Regulation </w:t>
      </w:r>
      <w:r>
        <w:rPr>
          <w:color w:val="000000"/>
          <w:lang w:val="de-DE" w:eastAsia="de-DE" w:bidi="de-DE"/>
        </w:rPr>
        <w:t xml:space="preserve">(EU) </w:t>
      </w:r>
      <w:r>
        <w:rPr>
          <w:color w:val="000000"/>
          <w:lang w:val="bg-BG" w:eastAsia="bg-BG" w:bidi="bg-BG"/>
        </w:rPr>
        <w:t xml:space="preserve">2019/818 </w:t>
      </w:r>
      <w:r>
        <w:rPr>
          <w:color w:val="000000"/>
          <w:lang w:bidi="en-US"/>
        </w:rPr>
        <w:t xml:space="preserve">of the European Parliament and of the Council of 20 May 2019 on establishing a framework for interoperability between </w:t>
      </w:r>
      <w:r>
        <w:rPr>
          <w:color w:val="000000"/>
          <w:lang w:val="de-DE" w:eastAsia="de-DE" w:bidi="de-DE"/>
        </w:rPr>
        <w:t xml:space="preserve">EU </w:t>
      </w:r>
      <w:r>
        <w:rPr>
          <w:color w:val="000000"/>
          <w:lang w:bidi="en-US"/>
        </w:rPr>
        <w:t>information systems in the field of police and judicial cooperation, asylum and migration.</w:t>
      </w:r>
    </w:p>
  </w:footnote>
  <w:footnote w:id="335">
    <w:p w14:paraId="1524E00C" w14:textId="77777777" w:rsidR="003F3C88" w:rsidRDefault="003F3C88" w:rsidP="00305706">
      <w:pPr>
        <w:pStyle w:val="Footnote10"/>
        <w:shd w:val="clear" w:color="auto" w:fill="auto"/>
        <w:tabs>
          <w:tab w:val="left" w:pos="101"/>
        </w:tabs>
        <w:spacing w:line="202" w:lineRule="exact"/>
      </w:pPr>
      <w:r>
        <w:rPr>
          <w:color w:val="000000"/>
          <w:vertAlign w:val="superscript"/>
          <w:lang w:bidi="en-US"/>
        </w:rPr>
        <w:footnoteRef/>
      </w:r>
      <w:r>
        <w:rPr>
          <w:color w:val="000000"/>
          <w:lang w:bidi="en-US"/>
        </w:rPr>
        <w:tab/>
        <w:t xml:space="preserve">The </w:t>
      </w:r>
      <w:r>
        <w:rPr>
          <w:color w:val="000000"/>
          <w:lang w:val="de-DE" w:eastAsia="de-DE" w:bidi="de-DE"/>
        </w:rPr>
        <w:t xml:space="preserve">Prüm </w:t>
      </w:r>
      <w:r>
        <w:rPr>
          <w:color w:val="000000"/>
          <w:lang w:bidi="en-US"/>
        </w:rPr>
        <w:t>Decisions refer to Council Decision 2008/615/JHA on the stepping up of cross-border cooperation, particularly in combating terrorism and cross-border crime and Council Decision 2008/616/JHA on the implementation of Decision 2008/615/JHA.</w:t>
      </w:r>
    </w:p>
  </w:footnote>
  <w:footnote w:id="336">
    <w:p w14:paraId="42B3D798" w14:textId="77777777" w:rsidR="003F3C88" w:rsidRDefault="003F3C88" w:rsidP="00A01E2B">
      <w:pPr>
        <w:pStyle w:val="Footnote10"/>
        <w:shd w:val="clear" w:color="auto" w:fill="auto"/>
        <w:tabs>
          <w:tab w:val="left" w:pos="144"/>
        </w:tabs>
        <w:spacing w:line="197" w:lineRule="exact"/>
        <w:ind w:right="420"/>
      </w:pPr>
      <w:r>
        <w:rPr>
          <w:color w:val="000000"/>
          <w:vertAlign w:val="superscript"/>
          <w:lang w:bidi="en-US"/>
        </w:rPr>
        <w:footnoteRef/>
      </w:r>
      <w:r>
        <w:rPr>
          <w:color w:val="000000"/>
          <w:lang w:bidi="en-US"/>
        </w:rPr>
        <w:tab/>
        <w:t>Council Framework Decision 2006/960/JHA of 18 December 2006 on simplifying the exchange of information and intelligence between law enforcement authorities of the Member States of the European Union.</w:t>
      </w:r>
    </w:p>
    <w:p w14:paraId="0862B4A5" w14:textId="77777777" w:rsidR="003F3C88" w:rsidRDefault="003F3C88" w:rsidP="00B86F0E">
      <w:pPr>
        <w:pStyle w:val="Footnote20"/>
        <w:shd w:val="clear" w:color="auto" w:fill="auto"/>
      </w:pPr>
      <w:r>
        <w:rPr>
          <w:rStyle w:val="Footnote2NotItalic"/>
          <w:iCs/>
        </w:rPr>
        <w:t xml:space="preserve">The Annex IV of Council </w:t>
      </w:r>
      <w:r>
        <w:rPr>
          <w:color w:val="000000"/>
          <w:lang w:bidi="en-US"/>
        </w:rPr>
        <w:t>Guidelines on the implementation of Council Framework Decision 2006/960/JHA of 18 December 2006 on simplifying the exchange of information and intelligence between law enforcement authorities of the Member States of the European Union</w:t>
      </w:r>
      <w:r>
        <w:rPr>
          <w:rStyle w:val="Footnote2NotItalic"/>
          <w:iCs/>
        </w:rPr>
        <w:t xml:space="preserve"> (doc. </w:t>
      </w:r>
      <w:r>
        <w:rPr>
          <w:rStyle w:val="Footnote2NotItalic"/>
          <w:iCs/>
          <w:lang w:val="bg-BG" w:eastAsia="bg-BG" w:bidi="bg-BG"/>
        </w:rPr>
        <w:t xml:space="preserve">9512/1/10 </w:t>
      </w:r>
      <w:r>
        <w:rPr>
          <w:rStyle w:val="Footnote2NotItalic"/>
          <w:iCs/>
        </w:rPr>
        <w:t xml:space="preserve">REV1, 17 December 2010), list all LEAs that declared themselves competent under the SFD. </w:t>
      </w:r>
      <w:r>
        <w:rPr>
          <w:rStyle w:val="Footnote2NotItalic"/>
          <w:iCs/>
          <w:lang w:val="da-DK" w:eastAsia="da-DK" w:bidi="da-DK"/>
        </w:rPr>
        <w:t xml:space="preserve">This </w:t>
      </w:r>
      <w:r>
        <w:rPr>
          <w:rStyle w:val="Footnote2NotItalic"/>
          <w:iCs/>
        </w:rPr>
        <w:t>includes a number of customs authorities.</w:t>
      </w:r>
    </w:p>
  </w:footnote>
  <w:footnote w:id="337">
    <w:p w14:paraId="4DB8C9EC" w14:textId="77777777" w:rsidR="003F3C88" w:rsidRPr="00B86F0E" w:rsidRDefault="003F3C88" w:rsidP="00B86F0E">
      <w:pPr>
        <w:pStyle w:val="FootnoteText"/>
        <w:rPr>
          <w:rFonts w:cs="Times New Roman"/>
        </w:rPr>
      </w:pPr>
      <w:r w:rsidRPr="00B86F0E">
        <w:rPr>
          <w:rStyle w:val="FootnoteReference"/>
          <w:rFonts w:cs="Times New Roman"/>
        </w:rPr>
        <w:footnoteRef/>
      </w:r>
      <w:r w:rsidRPr="00B86F0E">
        <w:rPr>
          <w:rFonts w:cs="Times New Roman"/>
        </w:rPr>
        <w:t xml:space="preserve"> </w:t>
      </w:r>
      <w:r w:rsidRPr="00393C68">
        <w:rPr>
          <w:rFonts w:cs="Times New Roman"/>
        </w:rPr>
        <w:t>The representative from the Netherlands expressed a reserve clause on conclusions presented in this document.</w:t>
      </w:r>
    </w:p>
  </w:footnote>
  <w:footnote w:id="338">
    <w:p w14:paraId="4527547A" w14:textId="77777777" w:rsidR="003F3C88" w:rsidRPr="00F90815" w:rsidRDefault="003F3C88" w:rsidP="00BA18A0">
      <w:pPr>
        <w:pStyle w:val="FootnoteText"/>
        <w:jc w:val="both"/>
        <w:rPr>
          <w:lang w:val="en-GB"/>
        </w:rPr>
      </w:pPr>
      <w:r>
        <w:rPr>
          <w:rStyle w:val="FootnoteReference"/>
        </w:rPr>
        <w:footnoteRef/>
      </w:r>
      <w:r>
        <w:t xml:space="preserve"> Model A: a different office for each channel, different training and a different case management system (CMS); Model B: a different office for each channel, different training/assignments, and two offices share the same CMS; Model C: SPOC sends and receives messages, while other offices handle the different channels. Different training for each office and each office has its own CMS; Model D: One CMS, one office but separate assignments and training depending on the channel; Model E: One SPOC handles all messages through one CMS and all staff have the same training. See </w:t>
      </w:r>
      <w:r w:rsidRPr="006E7FA2">
        <w:t>Note from the Presidency of the Council of the EU to the Working Party for Schengen Matters (SIS/SIRENE)/Mixed Committee (EU-Iceland/Norway and Switzerland/Liechtenstein on Single Point of Contact (SPOC) - Possible mean for decreasing SIRENE workload (8031/19).</w:t>
      </w:r>
    </w:p>
  </w:footnote>
  <w:footnote w:id="339">
    <w:p w14:paraId="10E09BD3" w14:textId="77777777" w:rsidR="003F3C88" w:rsidRPr="007D7E35" w:rsidRDefault="003F3C88" w:rsidP="00BA18A0">
      <w:pPr>
        <w:pStyle w:val="FootnoteText"/>
        <w:rPr>
          <w:i/>
          <w:iCs/>
        </w:rPr>
      </w:pPr>
      <w:r>
        <w:rPr>
          <w:rStyle w:val="FootnoteReference"/>
        </w:rPr>
        <w:footnoteRef/>
      </w:r>
      <w:r>
        <w:t xml:space="preserve"> Europol (2020) </w:t>
      </w:r>
      <w:r w:rsidRPr="007D7E35">
        <w:rPr>
          <w:i/>
          <w:iCs/>
        </w:rPr>
        <w:t xml:space="preserve">Welcome to Europol An Operational Overview. </w:t>
      </w:r>
    </w:p>
  </w:footnote>
  <w:footnote w:id="340">
    <w:p w14:paraId="13C6966B" w14:textId="77777777" w:rsidR="003F3C88" w:rsidRPr="007D7E35" w:rsidRDefault="003F3C88" w:rsidP="00BA18A0">
      <w:pPr>
        <w:pStyle w:val="FootnoteText"/>
        <w:rPr>
          <w:i/>
          <w:iCs/>
        </w:rPr>
      </w:pPr>
      <w:r>
        <w:rPr>
          <w:rStyle w:val="FootnoteReference"/>
        </w:rPr>
        <w:footnoteRef/>
      </w:r>
      <w:r>
        <w:t xml:space="preserve"> Europol (2020) </w:t>
      </w:r>
      <w:r w:rsidRPr="007D7E35">
        <w:rPr>
          <w:i/>
          <w:iCs/>
        </w:rPr>
        <w:t xml:space="preserve">Welcome to Europol An Operational Overview. </w:t>
      </w:r>
    </w:p>
  </w:footnote>
  <w:footnote w:id="341">
    <w:p w14:paraId="44853327" w14:textId="77777777" w:rsidR="003F3C88" w:rsidRPr="00751353" w:rsidRDefault="003F3C88" w:rsidP="00BA18A0">
      <w:pPr>
        <w:pStyle w:val="FootnoteText"/>
      </w:pPr>
      <w:r>
        <w:rPr>
          <w:rStyle w:val="FootnoteReference"/>
        </w:rPr>
        <w:footnoteRef/>
      </w:r>
      <w:r>
        <w:t xml:space="preserve"> Europol (2020) </w:t>
      </w:r>
      <w:r w:rsidRPr="00751353">
        <w:rPr>
          <w:i/>
          <w:iCs/>
        </w:rPr>
        <w:t>SIENA Annual Report 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A340" w14:textId="77777777" w:rsidR="00190A33" w:rsidRPr="00190A33" w:rsidRDefault="00190A33" w:rsidP="00190A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9B54" w14:textId="77777777" w:rsidR="00CB5F23" w:rsidRDefault="00CB5F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4B9A" w14:textId="77777777" w:rsidR="00CB5F23" w:rsidRDefault="00CB5F2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429C" w14:textId="77777777" w:rsidR="00CB5F23" w:rsidRDefault="00CB5F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D475" w14:textId="77777777" w:rsidR="00CB5F23" w:rsidRDefault="00CB5F2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0124" w14:textId="77777777" w:rsidR="00CB5F23" w:rsidRDefault="00CB5F2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D636" w14:textId="77777777" w:rsidR="00CB5F23" w:rsidRDefault="00CB5F2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CC31" w14:textId="77777777" w:rsidR="003F3C88" w:rsidRDefault="003F3C88">
    <w:pPr>
      <w:pStyle w:val="Header"/>
    </w:pPr>
  </w:p>
  <w:p w14:paraId="72833297" w14:textId="77777777" w:rsidR="003F3C88" w:rsidRDefault="003F3C88"/>
  <w:p w14:paraId="2E38ACF0" w14:textId="77777777" w:rsidR="003F3C88" w:rsidRDefault="003F3C88" w:rsidP="001521FB"/>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7A67A" w14:textId="77777777" w:rsidR="003F3C88" w:rsidRPr="0018362E" w:rsidRDefault="003F3C88" w:rsidP="0018362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C5ECF" w14:textId="77777777" w:rsidR="003F3C88" w:rsidRPr="00655912" w:rsidRDefault="003F3C88" w:rsidP="0065591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5E19" w14:textId="77777777" w:rsidR="00CB5F23" w:rsidRDefault="00CB5F23">
    <w:pPr>
      <w:pStyle w:val="Header"/>
    </w:pPr>
  </w:p>
  <w:p w14:paraId="7B0AAA16" w14:textId="77777777" w:rsidR="00CB5F23" w:rsidRDefault="00CB5F23"/>
  <w:p w14:paraId="632C195B" w14:textId="77777777" w:rsidR="00CB5F23" w:rsidRDefault="00CB5F23" w:rsidP="001521F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568C" w14:textId="77777777" w:rsidR="00190A33" w:rsidRPr="00190A33" w:rsidRDefault="00190A33" w:rsidP="00190A33">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3FD1" w14:textId="77777777" w:rsidR="00CB5F23" w:rsidRPr="0018362E" w:rsidRDefault="00CB5F23" w:rsidP="0018362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3960" w14:textId="77777777" w:rsidR="00CB5F23" w:rsidRPr="00655912" w:rsidRDefault="00CB5F23" w:rsidP="0065591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215A" w14:textId="77777777" w:rsidR="00CB5F23" w:rsidRDefault="00CB5F23">
    <w:pPr>
      <w:pStyle w:val="Header"/>
    </w:pPr>
  </w:p>
  <w:p w14:paraId="24953929" w14:textId="77777777" w:rsidR="00CB5F23" w:rsidRDefault="00CB5F23"/>
  <w:p w14:paraId="0BBEADF8" w14:textId="77777777" w:rsidR="00CB5F23" w:rsidRDefault="00CB5F23" w:rsidP="001521FB"/>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9FD6" w14:textId="77777777" w:rsidR="00CB5F23" w:rsidRPr="0018362E" w:rsidRDefault="00CB5F23" w:rsidP="0018362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0C05C" w14:textId="77777777" w:rsidR="00CB5F23" w:rsidRPr="00655912" w:rsidRDefault="00CB5F23" w:rsidP="0065591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9D4B" w14:textId="77777777" w:rsidR="00CB5F23" w:rsidRDefault="00CB5F23">
    <w:pPr>
      <w:pStyle w:val="Header"/>
    </w:pPr>
  </w:p>
  <w:p w14:paraId="386A239C" w14:textId="77777777" w:rsidR="00CB5F23" w:rsidRDefault="00CB5F23"/>
  <w:p w14:paraId="5AE4D796" w14:textId="77777777" w:rsidR="00CB5F23" w:rsidRDefault="00CB5F23" w:rsidP="001521FB"/>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BC9E" w14:textId="77777777" w:rsidR="00CB5F23" w:rsidRPr="0018362E" w:rsidRDefault="00CB5F23" w:rsidP="0018362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B669A" w14:textId="77777777" w:rsidR="00CB5F23" w:rsidRPr="00655912" w:rsidRDefault="00CB5F23" w:rsidP="0065591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8E01" w14:textId="77777777" w:rsidR="00CB5F23" w:rsidRDefault="00CB5F23">
    <w:pPr>
      <w:pStyle w:val="Header"/>
    </w:pPr>
  </w:p>
  <w:p w14:paraId="42A07263" w14:textId="77777777" w:rsidR="00CB5F23" w:rsidRDefault="00CB5F23"/>
  <w:p w14:paraId="20511862" w14:textId="77777777" w:rsidR="00CB5F23" w:rsidRDefault="00CB5F23" w:rsidP="001521FB"/>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AE3E" w14:textId="77777777" w:rsidR="00CB5F23" w:rsidRPr="0018362E" w:rsidRDefault="00CB5F23" w:rsidP="0018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7392" w14:textId="77777777" w:rsidR="00190A33" w:rsidRPr="00190A33" w:rsidRDefault="00190A33" w:rsidP="00190A33">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2D3A" w14:textId="77777777" w:rsidR="00CB5F23" w:rsidRPr="00655912" w:rsidRDefault="00CB5F23" w:rsidP="006559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064EE" w14:textId="77777777" w:rsidR="00CB5F23" w:rsidRDefault="00CB5F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9BC1B" w14:textId="77777777" w:rsidR="00CB5F23" w:rsidRDefault="00CB5F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5A11" w14:textId="77777777" w:rsidR="00CB5F23" w:rsidRDefault="00CB5F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E9ED" w14:textId="77777777" w:rsidR="00CB5F23" w:rsidRDefault="00CB5F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27CA9" w14:textId="77777777" w:rsidR="00CB5F23" w:rsidRDefault="00CB5F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553B" w14:textId="77777777" w:rsidR="00CB5F23" w:rsidRDefault="00CB5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B60660"/>
    <w:lvl w:ilvl="0">
      <w:start w:val="1"/>
      <w:numFmt w:val="bullet"/>
      <w:pStyle w:val="Heading2HOME"/>
      <w:lvlText w:val=""/>
      <w:lvlJc w:val="left"/>
      <w:pPr>
        <w:tabs>
          <w:tab w:val="num" w:pos="1209"/>
        </w:tabs>
        <w:ind w:left="1209" w:hanging="360"/>
      </w:pPr>
      <w:rPr>
        <w:rFonts w:ascii="Symbol" w:hAnsi="Symbol" w:hint="default"/>
      </w:rPr>
    </w:lvl>
  </w:abstractNum>
  <w:abstractNum w:abstractNumId="3" w15:restartNumberingAfterBreak="0">
    <w:nsid w:val="0029662F"/>
    <w:multiLevelType w:val="hybridMultilevel"/>
    <w:tmpl w:val="ABEC1848"/>
    <w:lvl w:ilvl="0" w:tplc="B9547C18">
      <w:start w:val="1"/>
      <w:numFmt w:val="bullet"/>
      <w:lvlText w:val=""/>
      <w:lvlJc w:val="left"/>
      <w:pPr>
        <w:ind w:left="360" w:hanging="360"/>
      </w:pPr>
      <w:rPr>
        <w:rFonts w:ascii="Symbol" w:hAnsi="Symbol" w:hint="default"/>
        <w:color w:val="00B0F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2855906"/>
    <w:multiLevelType w:val="hybridMultilevel"/>
    <w:tmpl w:val="3C76C400"/>
    <w:lvl w:ilvl="0" w:tplc="D3BC6660">
      <w:start w:val="1"/>
      <w:numFmt w:val="bullet"/>
      <w:lvlText w:val=""/>
      <w:lvlJc w:val="left"/>
      <w:pPr>
        <w:ind w:left="530" w:hanging="360"/>
      </w:pPr>
      <w:rPr>
        <w:rFonts w:ascii="Symbol" w:hAnsi="Symbol" w:hint="default"/>
        <w:color w:val="auto"/>
        <w:sz w:val="20"/>
        <w:szCs w:val="20"/>
      </w:rPr>
    </w:lvl>
    <w:lvl w:ilvl="1" w:tplc="16A8ACF8">
      <w:start w:val="1"/>
      <w:numFmt w:val="bullet"/>
      <w:lvlText w:val="o"/>
      <w:lvlJc w:val="left"/>
      <w:pPr>
        <w:tabs>
          <w:tab w:val="num" w:pos="927"/>
        </w:tabs>
        <w:ind w:left="927" w:hanging="360"/>
      </w:pPr>
      <w:rPr>
        <w:rFonts w:ascii="Courier New" w:hAnsi="Courier New" w:cs="Times New Roman" w:hint="default"/>
      </w:rPr>
    </w:lvl>
    <w:lvl w:ilvl="2" w:tplc="68C85592">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287262F"/>
    <w:multiLevelType w:val="hybridMultilevel"/>
    <w:tmpl w:val="DD140CAE"/>
    <w:lvl w:ilvl="0" w:tplc="E8DE3E78">
      <w:start w:val="1"/>
      <w:numFmt w:val="bullet"/>
      <w:lvlText w:val=""/>
      <w:lvlJc w:val="left"/>
      <w:pPr>
        <w:ind w:left="1267" w:hanging="360"/>
      </w:pPr>
      <w:rPr>
        <w:rFonts w:ascii="Symbol" w:hAnsi="Symbol" w:hint="default"/>
        <w:sz w:val="20"/>
        <w:szCs w:val="20"/>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6" w15:restartNumberingAfterBreak="0">
    <w:nsid w:val="03D95DC9"/>
    <w:multiLevelType w:val="hybridMultilevel"/>
    <w:tmpl w:val="5F00E0D6"/>
    <w:lvl w:ilvl="0" w:tplc="F9724972">
      <w:start w:val="1"/>
      <w:numFmt w:val="bullet"/>
      <w:lvlText w:val=""/>
      <w:lvlJc w:val="left"/>
      <w:pPr>
        <w:ind w:left="720" w:hanging="360"/>
      </w:pPr>
      <w:rPr>
        <w:rFonts w:ascii="Symbol" w:hAnsi="Symbol"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43A5AD5"/>
    <w:multiLevelType w:val="hybridMultilevel"/>
    <w:tmpl w:val="B4D6FC40"/>
    <w:lvl w:ilvl="0" w:tplc="D29C2FE0">
      <w:start w:val="1"/>
      <w:numFmt w:val="bullet"/>
      <w:lvlText w:val=""/>
      <w:lvlJc w:val="left"/>
      <w:pPr>
        <w:tabs>
          <w:tab w:val="num" w:pos="720"/>
        </w:tabs>
        <w:ind w:left="720" w:hanging="360"/>
      </w:pPr>
      <w:rPr>
        <w:rFonts w:ascii="Symbol" w:hAnsi="Symbol" w:hint="default"/>
        <w:color w:val="auto"/>
        <w:sz w:val="20"/>
      </w:rPr>
    </w:lvl>
    <w:lvl w:ilvl="1" w:tplc="04070001">
      <w:start w:val="1"/>
      <w:numFmt w:val="bullet"/>
      <w:lvlText w:val=""/>
      <w:lvlJc w:val="left"/>
      <w:pPr>
        <w:tabs>
          <w:tab w:val="num" w:pos="1440"/>
        </w:tabs>
        <w:ind w:left="1440" w:hanging="360"/>
      </w:pPr>
      <w:rPr>
        <w:rFonts w:ascii="Symbol" w:hAnsi="Symbol" w:hint="default"/>
      </w:rPr>
    </w:lvl>
    <w:lvl w:ilvl="2" w:tplc="0524B9CA">
      <w:start w:val="1"/>
      <w:numFmt w:val="bullet"/>
      <w:lvlText w:val="o"/>
      <w:lvlJc w:val="left"/>
      <w:pPr>
        <w:tabs>
          <w:tab w:val="num" w:pos="2160"/>
        </w:tabs>
        <w:ind w:left="2160" w:hanging="360"/>
      </w:pPr>
      <w:rPr>
        <w:rFonts w:ascii="Courier New" w:hAnsi="Courier New" w:cs="Times New Roman" w:hint="default"/>
      </w:rPr>
    </w:lvl>
    <w:lvl w:ilvl="3" w:tplc="1AACB670">
      <w:start w:val="1"/>
      <w:numFmt w:val="bullet"/>
      <w:lvlText w:val="o"/>
      <w:lvlJc w:val="left"/>
      <w:pPr>
        <w:tabs>
          <w:tab w:val="num" w:pos="2880"/>
        </w:tabs>
        <w:ind w:left="2880" w:hanging="360"/>
      </w:pPr>
      <w:rPr>
        <w:rFonts w:ascii="Courier New" w:hAnsi="Courier New" w:cs="Times New Roman" w:hint="default"/>
      </w:rPr>
    </w:lvl>
    <w:lvl w:ilvl="4" w:tplc="5506232C">
      <w:start w:val="1"/>
      <w:numFmt w:val="bullet"/>
      <w:lvlText w:val="o"/>
      <w:lvlJc w:val="left"/>
      <w:pPr>
        <w:tabs>
          <w:tab w:val="num" w:pos="3600"/>
        </w:tabs>
        <w:ind w:left="3600" w:hanging="360"/>
      </w:pPr>
      <w:rPr>
        <w:rFonts w:ascii="Courier New" w:hAnsi="Courier New" w:cs="Times New Roman" w:hint="default"/>
      </w:rPr>
    </w:lvl>
    <w:lvl w:ilvl="5" w:tplc="9BCEA8F0">
      <w:start w:val="1"/>
      <w:numFmt w:val="bullet"/>
      <w:lvlText w:val="o"/>
      <w:lvlJc w:val="left"/>
      <w:pPr>
        <w:tabs>
          <w:tab w:val="num" w:pos="4320"/>
        </w:tabs>
        <w:ind w:left="4320" w:hanging="360"/>
      </w:pPr>
      <w:rPr>
        <w:rFonts w:ascii="Courier New" w:hAnsi="Courier New" w:cs="Times New Roman" w:hint="default"/>
      </w:rPr>
    </w:lvl>
    <w:lvl w:ilvl="6" w:tplc="77BE23D6">
      <w:start w:val="1"/>
      <w:numFmt w:val="bullet"/>
      <w:lvlText w:val="o"/>
      <w:lvlJc w:val="left"/>
      <w:pPr>
        <w:tabs>
          <w:tab w:val="num" w:pos="5040"/>
        </w:tabs>
        <w:ind w:left="5040" w:hanging="360"/>
      </w:pPr>
      <w:rPr>
        <w:rFonts w:ascii="Courier New" w:hAnsi="Courier New" w:cs="Times New Roman" w:hint="default"/>
      </w:rPr>
    </w:lvl>
    <w:lvl w:ilvl="7" w:tplc="3842AD0E">
      <w:start w:val="1"/>
      <w:numFmt w:val="bullet"/>
      <w:lvlText w:val="o"/>
      <w:lvlJc w:val="left"/>
      <w:pPr>
        <w:tabs>
          <w:tab w:val="num" w:pos="5760"/>
        </w:tabs>
        <w:ind w:left="5760" w:hanging="360"/>
      </w:pPr>
      <w:rPr>
        <w:rFonts w:ascii="Courier New" w:hAnsi="Courier New" w:cs="Times New Roman" w:hint="default"/>
      </w:rPr>
    </w:lvl>
    <w:lvl w:ilvl="8" w:tplc="9728458E">
      <w:start w:val="1"/>
      <w:numFmt w:val="bullet"/>
      <w:lvlText w:val="o"/>
      <w:lvlJc w:val="left"/>
      <w:pPr>
        <w:tabs>
          <w:tab w:val="num" w:pos="6480"/>
        </w:tabs>
        <w:ind w:left="6480" w:hanging="360"/>
      </w:pPr>
      <w:rPr>
        <w:rFonts w:ascii="Courier New" w:hAnsi="Courier New" w:cs="Times New Roman" w:hint="default"/>
      </w:rPr>
    </w:lvl>
  </w:abstractNum>
  <w:abstractNum w:abstractNumId="8" w15:restartNumberingAfterBreak="0">
    <w:nsid w:val="051C1FFD"/>
    <w:multiLevelType w:val="hybridMultilevel"/>
    <w:tmpl w:val="B966032A"/>
    <w:name w:val="Heading 1N2222222"/>
    <w:lvl w:ilvl="0" w:tplc="C2BC3F54">
      <w:start w:val="1"/>
      <w:numFmt w:val="bullet"/>
      <w:pStyle w:val="Bullet3n"/>
      <w:lvlText w:val="o"/>
      <w:lvlJc w:val="left"/>
      <w:pPr>
        <w:ind w:left="1800" w:hanging="360"/>
      </w:pPr>
      <w:rPr>
        <w:rFonts w:ascii="Courier New" w:hAnsi="Courier New"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05677533"/>
    <w:multiLevelType w:val="hybridMultilevel"/>
    <w:tmpl w:val="D4D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D2584"/>
    <w:multiLevelType w:val="hybridMultilevel"/>
    <w:tmpl w:val="491894FC"/>
    <w:lvl w:ilvl="0" w:tplc="F7FC1FF0">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084F7CE3"/>
    <w:multiLevelType w:val="hybridMultilevel"/>
    <w:tmpl w:val="8A7AE4F8"/>
    <w:lvl w:ilvl="0" w:tplc="B8704A40">
      <w:start w:val="1"/>
      <w:numFmt w:val="bullet"/>
      <w:lvlText w:val=""/>
      <w:lvlJc w:val="left"/>
      <w:pPr>
        <w:ind w:left="720" w:hanging="360"/>
      </w:pPr>
      <w:rPr>
        <w:rFonts w:ascii="Symbol" w:hAnsi="Symbol"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086836BE"/>
    <w:multiLevelType w:val="hybridMultilevel"/>
    <w:tmpl w:val="5F0CD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833E5A"/>
    <w:multiLevelType w:val="hybridMultilevel"/>
    <w:tmpl w:val="7D28C4B6"/>
    <w:lvl w:ilvl="0" w:tplc="E5A4494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8FA018B"/>
    <w:multiLevelType w:val="hybridMultilevel"/>
    <w:tmpl w:val="525ACAA4"/>
    <w:lvl w:ilvl="0" w:tplc="AA4EDDE6">
      <w:start w:val="1"/>
      <w:numFmt w:val="bullet"/>
      <w:lvlText w:val=""/>
      <w:lvlJc w:val="left"/>
      <w:pPr>
        <w:ind w:left="720"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B797F"/>
    <w:multiLevelType w:val="hybridMultilevel"/>
    <w:tmpl w:val="4C4A0854"/>
    <w:lvl w:ilvl="0" w:tplc="B7D863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2674E2"/>
    <w:multiLevelType w:val="hybridMultilevel"/>
    <w:tmpl w:val="6BE0E77A"/>
    <w:lvl w:ilvl="0" w:tplc="C1988B58">
      <w:start w:val="1"/>
      <w:numFmt w:val="bullet"/>
      <w:lvlText w:val=""/>
      <w:lvlJc w:val="left"/>
      <w:pPr>
        <w:tabs>
          <w:tab w:val="num" w:pos="720"/>
        </w:tabs>
        <w:ind w:left="720" w:hanging="360"/>
      </w:pPr>
      <w:rPr>
        <w:rFonts w:ascii="Symbol" w:hAnsi="Symbol" w:hint="default"/>
        <w:color w:val="auto"/>
        <w:sz w:val="20"/>
      </w:rPr>
    </w:lvl>
    <w:lvl w:ilvl="1" w:tplc="04070001">
      <w:start w:val="1"/>
      <w:numFmt w:val="bullet"/>
      <w:lvlText w:val=""/>
      <w:lvlJc w:val="left"/>
      <w:pPr>
        <w:tabs>
          <w:tab w:val="num" w:pos="1440"/>
        </w:tabs>
        <w:ind w:left="1440" w:hanging="360"/>
      </w:pPr>
      <w:rPr>
        <w:rFonts w:ascii="Symbol" w:hAnsi="Symbol" w:hint="default"/>
      </w:rPr>
    </w:lvl>
    <w:lvl w:ilvl="2" w:tplc="0524B9CA">
      <w:start w:val="1"/>
      <w:numFmt w:val="bullet"/>
      <w:lvlText w:val="o"/>
      <w:lvlJc w:val="left"/>
      <w:pPr>
        <w:tabs>
          <w:tab w:val="num" w:pos="2160"/>
        </w:tabs>
        <w:ind w:left="2160" w:hanging="360"/>
      </w:pPr>
      <w:rPr>
        <w:rFonts w:ascii="Courier New" w:hAnsi="Courier New" w:cs="Times New Roman" w:hint="default"/>
      </w:rPr>
    </w:lvl>
    <w:lvl w:ilvl="3" w:tplc="1AACB670">
      <w:start w:val="1"/>
      <w:numFmt w:val="bullet"/>
      <w:lvlText w:val="o"/>
      <w:lvlJc w:val="left"/>
      <w:pPr>
        <w:tabs>
          <w:tab w:val="num" w:pos="2880"/>
        </w:tabs>
        <w:ind w:left="2880" w:hanging="360"/>
      </w:pPr>
      <w:rPr>
        <w:rFonts w:ascii="Courier New" w:hAnsi="Courier New" w:cs="Times New Roman" w:hint="default"/>
      </w:rPr>
    </w:lvl>
    <w:lvl w:ilvl="4" w:tplc="5506232C">
      <w:start w:val="1"/>
      <w:numFmt w:val="bullet"/>
      <w:lvlText w:val="o"/>
      <w:lvlJc w:val="left"/>
      <w:pPr>
        <w:tabs>
          <w:tab w:val="num" w:pos="3600"/>
        </w:tabs>
        <w:ind w:left="3600" w:hanging="360"/>
      </w:pPr>
      <w:rPr>
        <w:rFonts w:ascii="Courier New" w:hAnsi="Courier New" w:cs="Times New Roman" w:hint="default"/>
      </w:rPr>
    </w:lvl>
    <w:lvl w:ilvl="5" w:tplc="9BCEA8F0">
      <w:start w:val="1"/>
      <w:numFmt w:val="bullet"/>
      <w:lvlText w:val="o"/>
      <w:lvlJc w:val="left"/>
      <w:pPr>
        <w:tabs>
          <w:tab w:val="num" w:pos="4320"/>
        </w:tabs>
        <w:ind w:left="4320" w:hanging="360"/>
      </w:pPr>
      <w:rPr>
        <w:rFonts w:ascii="Courier New" w:hAnsi="Courier New" w:cs="Times New Roman" w:hint="default"/>
      </w:rPr>
    </w:lvl>
    <w:lvl w:ilvl="6" w:tplc="77BE23D6">
      <w:start w:val="1"/>
      <w:numFmt w:val="bullet"/>
      <w:lvlText w:val="o"/>
      <w:lvlJc w:val="left"/>
      <w:pPr>
        <w:tabs>
          <w:tab w:val="num" w:pos="5040"/>
        </w:tabs>
        <w:ind w:left="5040" w:hanging="360"/>
      </w:pPr>
      <w:rPr>
        <w:rFonts w:ascii="Courier New" w:hAnsi="Courier New" w:cs="Times New Roman" w:hint="default"/>
      </w:rPr>
    </w:lvl>
    <w:lvl w:ilvl="7" w:tplc="3842AD0E">
      <w:start w:val="1"/>
      <w:numFmt w:val="bullet"/>
      <w:lvlText w:val="o"/>
      <w:lvlJc w:val="left"/>
      <w:pPr>
        <w:tabs>
          <w:tab w:val="num" w:pos="5760"/>
        </w:tabs>
        <w:ind w:left="5760" w:hanging="360"/>
      </w:pPr>
      <w:rPr>
        <w:rFonts w:ascii="Courier New" w:hAnsi="Courier New" w:cs="Times New Roman" w:hint="default"/>
      </w:rPr>
    </w:lvl>
    <w:lvl w:ilvl="8" w:tplc="9728458E">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0CED1D8A"/>
    <w:multiLevelType w:val="hybridMultilevel"/>
    <w:tmpl w:val="C3646F52"/>
    <w:lvl w:ilvl="0" w:tplc="1BFCDEB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F10E0A"/>
    <w:multiLevelType w:val="hybridMultilevel"/>
    <w:tmpl w:val="A0265080"/>
    <w:lvl w:ilvl="0" w:tplc="C33EAF7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4F1166"/>
    <w:multiLevelType w:val="hybridMultilevel"/>
    <w:tmpl w:val="E586E064"/>
    <w:lvl w:ilvl="0" w:tplc="06E0125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048426E"/>
    <w:multiLevelType w:val="hybridMultilevel"/>
    <w:tmpl w:val="429CD3DA"/>
    <w:lvl w:ilvl="0" w:tplc="F796C8B0">
      <w:start w:val="1"/>
      <w:numFmt w:val="bullet"/>
      <w:pStyle w:val="Bulletpoint1"/>
      <w:lvlText w:val=""/>
      <w:lvlJc w:val="left"/>
      <w:pPr>
        <w:ind w:left="717"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5E79EB"/>
    <w:multiLevelType w:val="hybridMultilevel"/>
    <w:tmpl w:val="F1CA8CC0"/>
    <w:lvl w:ilvl="0" w:tplc="3100354C">
      <w:start w:val="1"/>
      <w:numFmt w:val="bullet"/>
      <w:pStyle w:val="TableListBullet2"/>
      <w:lvlText w:val=""/>
      <w:lvlJc w:val="left"/>
      <w:pPr>
        <w:tabs>
          <w:tab w:val="num" w:pos="357"/>
        </w:tabs>
        <w:ind w:left="357" w:hanging="176"/>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EYInterstate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EYInterstate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EYInterstate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FD38B4"/>
    <w:multiLevelType w:val="hybridMultilevel"/>
    <w:tmpl w:val="3BA0E68E"/>
    <w:lvl w:ilvl="0" w:tplc="6F326A00">
      <w:start w:val="1"/>
      <w:numFmt w:val="bullet"/>
      <w:lvlText w:val=""/>
      <w:lvlJc w:val="left"/>
      <w:pPr>
        <w:ind w:left="720" w:hanging="360"/>
      </w:pPr>
      <w:rPr>
        <w:rFonts w:ascii="Symbol" w:hAnsi="Symbol"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2A74898"/>
    <w:multiLevelType w:val="hybridMultilevel"/>
    <w:tmpl w:val="B420A392"/>
    <w:lvl w:ilvl="0" w:tplc="B81CBCF0">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3BC0B8DA">
      <w:start w:val="1"/>
      <w:numFmt w:val="bullet"/>
      <w:lvlText w:val="•"/>
      <w:lvlJc w:val="left"/>
      <w:pPr>
        <w:tabs>
          <w:tab w:val="num" w:pos="2160"/>
        </w:tabs>
        <w:ind w:left="2160" w:hanging="360"/>
      </w:pPr>
      <w:rPr>
        <w:rFonts w:ascii="Arial" w:hAnsi="Arial" w:cs="Times New Roman" w:hint="default"/>
      </w:rPr>
    </w:lvl>
    <w:lvl w:ilvl="3" w:tplc="2348053C">
      <w:start w:val="1"/>
      <w:numFmt w:val="bullet"/>
      <w:lvlText w:val="•"/>
      <w:lvlJc w:val="left"/>
      <w:pPr>
        <w:tabs>
          <w:tab w:val="num" w:pos="2880"/>
        </w:tabs>
        <w:ind w:left="2880" w:hanging="360"/>
      </w:pPr>
      <w:rPr>
        <w:rFonts w:ascii="Arial" w:hAnsi="Arial" w:cs="Times New Roman" w:hint="default"/>
      </w:rPr>
    </w:lvl>
    <w:lvl w:ilvl="4" w:tplc="188E79B0">
      <w:start w:val="1"/>
      <w:numFmt w:val="bullet"/>
      <w:lvlText w:val="•"/>
      <w:lvlJc w:val="left"/>
      <w:pPr>
        <w:tabs>
          <w:tab w:val="num" w:pos="3600"/>
        </w:tabs>
        <w:ind w:left="3600" w:hanging="360"/>
      </w:pPr>
      <w:rPr>
        <w:rFonts w:ascii="Arial" w:hAnsi="Arial" w:cs="Times New Roman" w:hint="default"/>
      </w:rPr>
    </w:lvl>
    <w:lvl w:ilvl="5" w:tplc="AFC6E358">
      <w:start w:val="1"/>
      <w:numFmt w:val="bullet"/>
      <w:lvlText w:val="•"/>
      <w:lvlJc w:val="left"/>
      <w:pPr>
        <w:tabs>
          <w:tab w:val="num" w:pos="4320"/>
        </w:tabs>
        <w:ind w:left="4320" w:hanging="360"/>
      </w:pPr>
      <w:rPr>
        <w:rFonts w:ascii="Arial" w:hAnsi="Arial" w:cs="Times New Roman" w:hint="default"/>
      </w:rPr>
    </w:lvl>
    <w:lvl w:ilvl="6" w:tplc="516E6748">
      <w:start w:val="1"/>
      <w:numFmt w:val="bullet"/>
      <w:lvlText w:val="•"/>
      <w:lvlJc w:val="left"/>
      <w:pPr>
        <w:tabs>
          <w:tab w:val="num" w:pos="5040"/>
        </w:tabs>
        <w:ind w:left="5040" w:hanging="360"/>
      </w:pPr>
      <w:rPr>
        <w:rFonts w:ascii="Arial" w:hAnsi="Arial" w:cs="Times New Roman" w:hint="default"/>
      </w:rPr>
    </w:lvl>
    <w:lvl w:ilvl="7" w:tplc="9C527194">
      <w:start w:val="1"/>
      <w:numFmt w:val="bullet"/>
      <w:lvlText w:val="•"/>
      <w:lvlJc w:val="left"/>
      <w:pPr>
        <w:tabs>
          <w:tab w:val="num" w:pos="5760"/>
        </w:tabs>
        <w:ind w:left="5760" w:hanging="360"/>
      </w:pPr>
      <w:rPr>
        <w:rFonts w:ascii="Arial" w:hAnsi="Arial" w:cs="Times New Roman" w:hint="default"/>
      </w:rPr>
    </w:lvl>
    <w:lvl w:ilvl="8" w:tplc="B768B21C">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14746BC1"/>
    <w:multiLevelType w:val="hybridMultilevel"/>
    <w:tmpl w:val="45DA0996"/>
    <w:lvl w:ilvl="0" w:tplc="0D1E741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D2694D"/>
    <w:multiLevelType w:val="hybridMultilevel"/>
    <w:tmpl w:val="D592E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54C3402"/>
    <w:multiLevelType w:val="hybridMultilevel"/>
    <w:tmpl w:val="D350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5686AA7"/>
    <w:multiLevelType w:val="hybridMultilevel"/>
    <w:tmpl w:val="B830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DC44F9"/>
    <w:multiLevelType w:val="hybridMultilevel"/>
    <w:tmpl w:val="E4C4BC82"/>
    <w:lvl w:ilvl="0" w:tplc="76B812E2">
      <w:start w:val="1"/>
      <w:numFmt w:val="bullet"/>
      <w:lvlText w:val=""/>
      <w:lvlJc w:val="left"/>
      <w:pPr>
        <w:ind w:left="720" w:hanging="360"/>
      </w:pPr>
      <w:rPr>
        <w:rFonts w:ascii="Symbol" w:hAnsi="Symbol" w:hint="default"/>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16B25210"/>
    <w:multiLevelType w:val="hybridMultilevel"/>
    <w:tmpl w:val="C1C67B66"/>
    <w:lvl w:ilvl="0" w:tplc="5AD042C0">
      <w:start w:val="1"/>
      <w:numFmt w:val="bullet"/>
      <w:lvlText w:val=""/>
      <w:lvlJc w:val="left"/>
      <w:pPr>
        <w:ind w:left="840" w:hanging="360"/>
      </w:pPr>
      <w:rPr>
        <w:rFonts w:ascii="Symbol" w:hAnsi="Symbol" w:hint="default"/>
        <w:sz w:val="20"/>
        <w:szCs w:val="20"/>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17A12CE0"/>
    <w:multiLevelType w:val="hybridMultilevel"/>
    <w:tmpl w:val="6DC4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7FA7C08"/>
    <w:multiLevelType w:val="hybridMultilevel"/>
    <w:tmpl w:val="90660B44"/>
    <w:lvl w:ilvl="0" w:tplc="C952E2C2">
      <w:start w:val="1"/>
      <w:numFmt w:val="bullet"/>
      <w:lvlText w:val=""/>
      <w:lvlJc w:val="left"/>
      <w:pPr>
        <w:ind w:left="720" w:hanging="360"/>
      </w:pPr>
      <w:rPr>
        <w:rFonts w:ascii="Symbol" w:hAnsi="Symbol" w:hint="default"/>
        <w:color w:val="auto"/>
        <w:sz w:val="20"/>
      </w:rPr>
    </w:lvl>
    <w:lvl w:ilvl="1" w:tplc="76BEDD94">
      <w:start w:val="1"/>
      <w:numFmt w:val="bullet"/>
      <w:lvlText w:val="o"/>
      <w:lvlJc w:val="left"/>
      <w:pPr>
        <w:ind w:left="1440" w:hanging="360"/>
      </w:pPr>
      <w:rPr>
        <w:rFonts w:ascii="Courier New" w:hAnsi="Courier New" w:cs="Courier New" w:hint="default"/>
        <w:sz w:val="20"/>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19B86840"/>
    <w:multiLevelType w:val="hybridMultilevel"/>
    <w:tmpl w:val="462C728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1A894033"/>
    <w:multiLevelType w:val="hybridMultilevel"/>
    <w:tmpl w:val="A03CA684"/>
    <w:lvl w:ilvl="0" w:tplc="AEBE5174">
      <w:start w:val="1"/>
      <w:numFmt w:val="bullet"/>
      <w:pStyle w:val="Listepuces1"/>
      <w:lvlText w:val="►"/>
      <w:lvlJc w:val="left"/>
      <w:pPr>
        <w:tabs>
          <w:tab w:val="num" w:pos="284"/>
        </w:tabs>
        <w:ind w:left="284" w:hanging="284"/>
      </w:pPr>
      <w:rPr>
        <w:rFonts w:ascii="Arial" w:hAnsi="Arial" w:hint="default"/>
        <w:b w:val="0"/>
        <w:i w:val="0"/>
        <w:color w:val="FFC000"/>
        <w:sz w:val="16"/>
        <w:szCs w:val="16"/>
      </w:rPr>
    </w:lvl>
    <w:lvl w:ilvl="1" w:tplc="FFFFFFFF">
      <w:start w:val="8"/>
      <w:numFmt w:val="bullet"/>
      <w:lvlText w:val="-"/>
      <w:lvlJc w:val="left"/>
      <w:pPr>
        <w:tabs>
          <w:tab w:val="num" w:pos="1440"/>
        </w:tabs>
        <w:ind w:left="1440" w:hanging="360"/>
      </w:pPr>
      <w:rPr>
        <w:rFonts w:ascii="Times New Roman" w:eastAsia="Times New Roman" w:hAnsi="Times New Roman" w:cs="Times New Roman" w:hint="default"/>
        <w:b w:val="0"/>
        <w:i w:val="0"/>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YInterstate Ligh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YInterstate Ligh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AC079FE"/>
    <w:multiLevelType w:val="hybridMultilevel"/>
    <w:tmpl w:val="4656E844"/>
    <w:lvl w:ilvl="0" w:tplc="32DCB3A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1C412FFF"/>
    <w:multiLevelType w:val="multilevel"/>
    <w:tmpl w:val="0DB63DA0"/>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D95490"/>
    <w:multiLevelType w:val="multilevel"/>
    <w:tmpl w:val="AF361D8E"/>
    <w:lvl w:ilvl="0">
      <w:start w:val="1"/>
      <w:numFmt w:val="decimal"/>
      <w:lvlText w:val="%1."/>
      <w:lvlJc w:val="left"/>
      <w:pPr>
        <w:ind w:left="360" w:hanging="360"/>
      </w:pPr>
    </w:lvl>
    <w:lvl w:ilvl="1">
      <w:start w:val="1"/>
      <w:numFmt w:val="decimal"/>
      <w:pStyle w:val="subtitle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D9E7BAE"/>
    <w:multiLevelType w:val="hybridMultilevel"/>
    <w:tmpl w:val="2902905E"/>
    <w:lvl w:ilvl="0" w:tplc="05222DEE">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1DAD1D5C"/>
    <w:multiLevelType w:val="multilevel"/>
    <w:tmpl w:val="6D2CD41C"/>
    <w:lvl w:ilvl="0">
      <w:start w:val="1"/>
      <w:numFmt w:val="decimal"/>
      <w:pStyle w:val="HeaderTitle"/>
      <w:lvlText w:val="%1"/>
      <w:lvlJc w:val="left"/>
      <w:pPr>
        <w:ind w:left="432" w:hanging="432"/>
      </w:pPr>
      <w:rPr>
        <w:rFonts w:hint="default"/>
      </w:rPr>
    </w:lvl>
    <w:lvl w:ilvl="1">
      <w:start w:val="1"/>
      <w:numFmt w:val="decimal"/>
      <w:pStyle w:val="CharCharCharCharChar10000000000000000000000000000000000000000000000000000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1DE57F1D"/>
    <w:multiLevelType w:val="hybridMultilevel"/>
    <w:tmpl w:val="B1DA87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E0B4DF3"/>
    <w:multiLevelType w:val="hybridMultilevel"/>
    <w:tmpl w:val="2CCC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E609D6"/>
    <w:multiLevelType w:val="hybridMultilevel"/>
    <w:tmpl w:val="1DA001B6"/>
    <w:lvl w:ilvl="0" w:tplc="93103E1C">
      <w:start w:val="1"/>
      <w:numFmt w:val="lowerRoman"/>
      <w:pStyle w:val="Tablenumber2"/>
      <w:lvlText w:val="%1)"/>
      <w:lvlJc w:val="left"/>
      <w:pPr>
        <w:ind w:left="180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250019" w:tentative="1">
      <w:start w:val="1"/>
      <w:numFmt w:val="lowerLetter"/>
      <w:lvlText w:val="%2."/>
      <w:lvlJc w:val="left"/>
      <w:pPr>
        <w:ind w:left="2520" w:hanging="360"/>
      </w:pPr>
    </w:lvl>
    <w:lvl w:ilvl="2" w:tplc="FAEAAD48">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43" w15:restartNumberingAfterBreak="0">
    <w:nsid w:val="1F734306"/>
    <w:multiLevelType w:val="multilevel"/>
    <w:tmpl w:val="C03A1F9A"/>
    <w:lvl w:ilvl="0">
      <w:start w:val="1"/>
      <w:numFmt w:val="decimal"/>
      <w:pStyle w:val="Heading1"/>
      <w:lvlText w:val="%1."/>
      <w:lvlJc w:val="left"/>
      <w:pPr>
        <w:tabs>
          <w:tab w:val="num" w:pos="480"/>
        </w:tabs>
        <w:ind w:left="480" w:hanging="480"/>
      </w:pPr>
      <w:rPr>
        <w:rFonts w:hint="default"/>
        <w:i w:val="0"/>
      </w:rPr>
    </w:lvl>
    <w:lvl w:ilvl="1">
      <w:start w:val="1"/>
      <w:numFmt w:val="decimal"/>
      <w:lvlText w:val="%1.%2."/>
      <w:lvlJc w:val="left"/>
      <w:pPr>
        <w:tabs>
          <w:tab w:val="num" w:pos="3555"/>
        </w:tabs>
        <w:ind w:left="3555" w:hanging="720"/>
      </w:pPr>
      <w:rPr>
        <w:rFonts w:hint="default"/>
        <w:i w:val="0"/>
        <w:sz w:val="24"/>
        <w:szCs w:val="24"/>
      </w:rPr>
    </w:lvl>
    <w:lvl w:ilvl="2">
      <w:start w:val="1"/>
      <w:numFmt w:val="decimal"/>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sz w:val="24"/>
      </w:rPr>
    </w:lvl>
    <w:lvl w:ilvl="6">
      <w:start w:val="1"/>
      <w:numFmt w:val="decimal"/>
      <w:lvlText w:val="%7."/>
      <w:lvlJc w:val="left"/>
      <w:pPr>
        <w:tabs>
          <w:tab w:val="num" w:pos="2520"/>
        </w:tabs>
        <w:ind w:left="2520" w:hanging="360"/>
      </w:pPr>
      <w:rPr>
        <w:rFonts w:hint="default"/>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FC333BB"/>
    <w:multiLevelType w:val="hybridMultilevel"/>
    <w:tmpl w:val="705AA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22A126EE"/>
    <w:multiLevelType w:val="hybridMultilevel"/>
    <w:tmpl w:val="5284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22F96866"/>
    <w:multiLevelType w:val="hybridMultilevel"/>
    <w:tmpl w:val="1E5E73D8"/>
    <w:lvl w:ilvl="0" w:tplc="80C2F444">
      <w:start w:val="1"/>
      <w:numFmt w:val="decimal"/>
      <w:pStyle w:val="Title1"/>
      <w:lvlText w:val="%1."/>
      <w:lvlJc w:val="left"/>
      <w:pPr>
        <w:ind w:left="720" w:hanging="360"/>
      </w:pPr>
      <w:rPr>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4603A27"/>
    <w:multiLevelType w:val="hybridMultilevel"/>
    <w:tmpl w:val="882A310C"/>
    <w:lvl w:ilvl="0" w:tplc="08090001">
      <w:start w:val="1"/>
      <w:numFmt w:val="bullet"/>
      <w:lvlText w:val=""/>
      <w:lvlJc w:val="left"/>
      <w:pPr>
        <w:tabs>
          <w:tab w:val="num" w:pos="720"/>
        </w:tabs>
        <w:ind w:left="720" w:hanging="360"/>
      </w:pPr>
      <w:rPr>
        <w:rFonts w:ascii="Symbol" w:hAnsi="Symbol" w:hint="default"/>
        <w:sz w:val="20"/>
        <w:szCs w:val="20"/>
      </w:rPr>
    </w:lvl>
    <w:lvl w:ilvl="1" w:tplc="B44092F8">
      <w:start w:val="1"/>
      <w:numFmt w:val="bullet"/>
      <w:lvlText w:val="o"/>
      <w:lvlJc w:val="left"/>
      <w:pPr>
        <w:tabs>
          <w:tab w:val="num" w:pos="1440"/>
        </w:tabs>
        <w:ind w:left="1440" w:hanging="360"/>
      </w:pPr>
      <w:rPr>
        <w:rFonts w:ascii="Courier New" w:hAnsi="Courier New" w:cs="Courier New" w:hint="default"/>
        <w:sz w:val="16"/>
        <w:szCs w:val="16"/>
      </w:rPr>
    </w:lvl>
    <w:lvl w:ilvl="2" w:tplc="08090001">
      <w:start w:val="1"/>
      <w:numFmt w:val="bullet"/>
      <w:lvlText w:val=""/>
      <w:lvlJc w:val="left"/>
      <w:pPr>
        <w:ind w:left="2160" w:hanging="360"/>
      </w:pPr>
      <w:rPr>
        <w:rFonts w:ascii="Symbol" w:hAnsi="Symbol" w:hint="default"/>
        <w:b w:val="0"/>
      </w:rPr>
    </w:lvl>
    <w:lvl w:ilvl="3" w:tplc="2348053C" w:tentative="1">
      <w:start w:val="1"/>
      <w:numFmt w:val="bullet"/>
      <w:lvlText w:val="•"/>
      <w:lvlJc w:val="left"/>
      <w:pPr>
        <w:tabs>
          <w:tab w:val="num" w:pos="2880"/>
        </w:tabs>
        <w:ind w:left="2880" w:hanging="360"/>
      </w:pPr>
      <w:rPr>
        <w:rFonts w:ascii="Arial" w:hAnsi="Arial" w:hint="default"/>
      </w:rPr>
    </w:lvl>
    <w:lvl w:ilvl="4" w:tplc="188E79B0" w:tentative="1">
      <w:start w:val="1"/>
      <w:numFmt w:val="bullet"/>
      <w:lvlText w:val="•"/>
      <w:lvlJc w:val="left"/>
      <w:pPr>
        <w:tabs>
          <w:tab w:val="num" w:pos="3600"/>
        </w:tabs>
        <w:ind w:left="3600" w:hanging="360"/>
      </w:pPr>
      <w:rPr>
        <w:rFonts w:ascii="Arial" w:hAnsi="Arial" w:hint="default"/>
      </w:rPr>
    </w:lvl>
    <w:lvl w:ilvl="5" w:tplc="AFC6E358" w:tentative="1">
      <w:start w:val="1"/>
      <w:numFmt w:val="bullet"/>
      <w:lvlText w:val="•"/>
      <w:lvlJc w:val="left"/>
      <w:pPr>
        <w:tabs>
          <w:tab w:val="num" w:pos="4320"/>
        </w:tabs>
        <w:ind w:left="4320" w:hanging="360"/>
      </w:pPr>
      <w:rPr>
        <w:rFonts w:ascii="Arial" w:hAnsi="Arial" w:hint="default"/>
      </w:rPr>
    </w:lvl>
    <w:lvl w:ilvl="6" w:tplc="516E6748" w:tentative="1">
      <w:start w:val="1"/>
      <w:numFmt w:val="bullet"/>
      <w:lvlText w:val="•"/>
      <w:lvlJc w:val="left"/>
      <w:pPr>
        <w:tabs>
          <w:tab w:val="num" w:pos="5040"/>
        </w:tabs>
        <w:ind w:left="5040" w:hanging="360"/>
      </w:pPr>
      <w:rPr>
        <w:rFonts w:ascii="Arial" w:hAnsi="Arial" w:hint="default"/>
      </w:rPr>
    </w:lvl>
    <w:lvl w:ilvl="7" w:tplc="9C527194" w:tentative="1">
      <w:start w:val="1"/>
      <w:numFmt w:val="bullet"/>
      <w:lvlText w:val="•"/>
      <w:lvlJc w:val="left"/>
      <w:pPr>
        <w:tabs>
          <w:tab w:val="num" w:pos="5760"/>
        </w:tabs>
        <w:ind w:left="5760" w:hanging="360"/>
      </w:pPr>
      <w:rPr>
        <w:rFonts w:ascii="Arial" w:hAnsi="Arial" w:hint="default"/>
      </w:rPr>
    </w:lvl>
    <w:lvl w:ilvl="8" w:tplc="B768B21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5667D3A"/>
    <w:multiLevelType w:val="hybridMultilevel"/>
    <w:tmpl w:val="B83EAE94"/>
    <w:lvl w:ilvl="0" w:tplc="0870EBC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6845891"/>
    <w:multiLevelType w:val="hybridMultilevel"/>
    <w:tmpl w:val="2DC8C820"/>
    <w:lvl w:ilvl="0" w:tplc="2344631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6942422"/>
    <w:multiLevelType w:val="hybridMultilevel"/>
    <w:tmpl w:val="E2AC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8921510"/>
    <w:multiLevelType w:val="multilevel"/>
    <w:tmpl w:val="7834EDF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95C55F4"/>
    <w:multiLevelType w:val="hybridMultilevel"/>
    <w:tmpl w:val="DCD6AFA6"/>
    <w:styleLink w:val="Style7"/>
    <w:lvl w:ilvl="0" w:tplc="D21633B0">
      <w:start w:val="1"/>
      <w:numFmt w:val="bullet"/>
      <w:lvlText w:val=""/>
      <w:lvlJc w:val="left"/>
      <w:pPr>
        <w:ind w:left="720" w:hanging="360"/>
      </w:pPr>
      <w:rPr>
        <w:rFonts w:ascii="Symbol" w:hAnsi="Symbol" w:hint="default"/>
        <w:b/>
        <w:color w:val="4EAAE7"/>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4" w15:restartNumberingAfterBreak="0">
    <w:nsid w:val="29E44752"/>
    <w:multiLevelType w:val="hybridMultilevel"/>
    <w:tmpl w:val="509AB296"/>
    <w:lvl w:ilvl="0" w:tplc="C03403E6">
      <w:start w:val="1"/>
      <w:numFmt w:val="bullet"/>
      <w:lvlText w:val=""/>
      <w:lvlJc w:val="left"/>
      <w:pPr>
        <w:ind w:left="720" w:hanging="360"/>
      </w:pPr>
      <w:rPr>
        <w:rFonts w:ascii="Symbol" w:hAnsi="Symbol"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2AD971E8"/>
    <w:multiLevelType w:val="hybridMultilevel"/>
    <w:tmpl w:val="44BEB1A8"/>
    <w:lvl w:ilvl="0" w:tplc="CD6679BA">
      <w:start w:val="1"/>
      <w:numFmt w:val="lowerLetter"/>
      <w:pStyle w:val="Tablenumber3"/>
      <w:lvlText w:val="%1."/>
      <w:lvlJc w:val="left"/>
      <w:pPr>
        <w:ind w:left="1060" w:hanging="360"/>
      </w:pPr>
    </w:lvl>
    <w:lvl w:ilvl="1" w:tplc="04250019" w:tentative="1">
      <w:start w:val="1"/>
      <w:numFmt w:val="lowerLetter"/>
      <w:lvlText w:val="%2."/>
      <w:lvlJc w:val="left"/>
      <w:pPr>
        <w:ind w:left="1780" w:hanging="360"/>
      </w:pPr>
    </w:lvl>
    <w:lvl w:ilvl="2" w:tplc="0425001B" w:tentative="1">
      <w:start w:val="1"/>
      <w:numFmt w:val="lowerRoman"/>
      <w:lvlText w:val="%3."/>
      <w:lvlJc w:val="right"/>
      <w:pPr>
        <w:ind w:left="2500" w:hanging="180"/>
      </w:pPr>
    </w:lvl>
    <w:lvl w:ilvl="3" w:tplc="0425000F" w:tentative="1">
      <w:start w:val="1"/>
      <w:numFmt w:val="decimal"/>
      <w:lvlText w:val="%4."/>
      <w:lvlJc w:val="left"/>
      <w:pPr>
        <w:ind w:left="3220" w:hanging="360"/>
      </w:pPr>
    </w:lvl>
    <w:lvl w:ilvl="4" w:tplc="04250019" w:tentative="1">
      <w:start w:val="1"/>
      <w:numFmt w:val="lowerLetter"/>
      <w:lvlText w:val="%5."/>
      <w:lvlJc w:val="left"/>
      <w:pPr>
        <w:ind w:left="3940" w:hanging="360"/>
      </w:pPr>
    </w:lvl>
    <w:lvl w:ilvl="5" w:tplc="0425001B" w:tentative="1">
      <w:start w:val="1"/>
      <w:numFmt w:val="lowerRoman"/>
      <w:lvlText w:val="%6."/>
      <w:lvlJc w:val="right"/>
      <w:pPr>
        <w:ind w:left="4660" w:hanging="180"/>
      </w:pPr>
    </w:lvl>
    <w:lvl w:ilvl="6" w:tplc="0425000F" w:tentative="1">
      <w:start w:val="1"/>
      <w:numFmt w:val="decimal"/>
      <w:lvlText w:val="%7."/>
      <w:lvlJc w:val="left"/>
      <w:pPr>
        <w:ind w:left="5380" w:hanging="360"/>
      </w:pPr>
    </w:lvl>
    <w:lvl w:ilvl="7" w:tplc="04250019" w:tentative="1">
      <w:start w:val="1"/>
      <w:numFmt w:val="lowerLetter"/>
      <w:lvlText w:val="%8."/>
      <w:lvlJc w:val="left"/>
      <w:pPr>
        <w:ind w:left="6100" w:hanging="360"/>
      </w:pPr>
    </w:lvl>
    <w:lvl w:ilvl="8" w:tplc="0425001B" w:tentative="1">
      <w:start w:val="1"/>
      <w:numFmt w:val="lowerRoman"/>
      <w:lvlText w:val="%9."/>
      <w:lvlJc w:val="right"/>
      <w:pPr>
        <w:ind w:left="6820" w:hanging="180"/>
      </w:pPr>
    </w:lvl>
  </w:abstractNum>
  <w:abstractNum w:abstractNumId="5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2DC8140F"/>
    <w:multiLevelType w:val="hybridMultilevel"/>
    <w:tmpl w:val="1C1A90F0"/>
    <w:lvl w:ilvl="0" w:tplc="C3B472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E3E4D77"/>
    <w:multiLevelType w:val="hybridMultilevel"/>
    <w:tmpl w:val="65865EC6"/>
    <w:lvl w:ilvl="0" w:tplc="591043A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D1793E"/>
    <w:multiLevelType w:val="hybridMultilevel"/>
    <w:tmpl w:val="167CF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321A59D3"/>
    <w:multiLevelType w:val="hybridMultilevel"/>
    <w:tmpl w:val="61045168"/>
    <w:lvl w:ilvl="0" w:tplc="6670479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249543C"/>
    <w:multiLevelType w:val="hybridMultilevel"/>
    <w:tmpl w:val="709CB1CA"/>
    <w:lvl w:ilvl="0" w:tplc="06AA19B6">
      <w:start w:val="1"/>
      <w:numFmt w:val="bullet"/>
      <w:lvlText w:val=""/>
      <w:lvlJc w:val="left"/>
      <w:pPr>
        <w:tabs>
          <w:tab w:val="num" w:pos="720"/>
        </w:tabs>
        <w:ind w:left="720" w:hanging="360"/>
      </w:pPr>
      <w:rPr>
        <w:rFonts w:ascii="Symbol" w:hAnsi="Symbol" w:hint="default"/>
        <w:color w:val="auto"/>
        <w:sz w:val="20"/>
      </w:rPr>
    </w:lvl>
    <w:lvl w:ilvl="1" w:tplc="04070001">
      <w:start w:val="1"/>
      <w:numFmt w:val="bullet"/>
      <w:lvlText w:val=""/>
      <w:lvlJc w:val="left"/>
      <w:pPr>
        <w:tabs>
          <w:tab w:val="num" w:pos="1440"/>
        </w:tabs>
        <w:ind w:left="1440" w:hanging="360"/>
      </w:pPr>
      <w:rPr>
        <w:rFonts w:ascii="Symbol" w:hAnsi="Symbol" w:hint="default"/>
      </w:rPr>
    </w:lvl>
    <w:lvl w:ilvl="2" w:tplc="0524B9CA">
      <w:start w:val="1"/>
      <w:numFmt w:val="bullet"/>
      <w:lvlText w:val="o"/>
      <w:lvlJc w:val="left"/>
      <w:pPr>
        <w:tabs>
          <w:tab w:val="num" w:pos="2160"/>
        </w:tabs>
        <w:ind w:left="2160" w:hanging="360"/>
      </w:pPr>
      <w:rPr>
        <w:rFonts w:ascii="Courier New" w:hAnsi="Courier New" w:cs="Times New Roman" w:hint="default"/>
      </w:rPr>
    </w:lvl>
    <w:lvl w:ilvl="3" w:tplc="1AACB670">
      <w:start w:val="1"/>
      <w:numFmt w:val="bullet"/>
      <w:lvlText w:val="o"/>
      <w:lvlJc w:val="left"/>
      <w:pPr>
        <w:tabs>
          <w:tab w:val="num" w:pos="2880"/>
        </w:tabs>
        <w:ind w:left="2880" w:hanging="360"/>
      </w:pPr>
      <w:rPr>
        <w:rFonts w:ascii="Courier New" w:hAnsi="Courier New" w:cs="Times New Roman" w:hint="default"/>
      </w:rPr>
    </w:lvl>
    <w:lvl w:ilvl="4" w:tplc="5506232C">
      <w:start w:val="1"/>
      <w:numFmt w:val="bullet"/>
      <w:lvlText w:val="o"/>
      <w:lvlJc w:val="left"/>
      <w:pPr>
        <w:tabs>
          <w:tab w:val="num" w:pos="3600"/>
        </w:tabs>
        <w:ind w:left="3600" w:hanging="360"/>
      </w:pPr>
      <w:rPr>
        <w:rFonts w:ascii="Courier New" w:hAnsi="Courier New" w:cs="Times New Roman" w:hint="default"/>
      </w:rPr>
    </w:lvl>
    <w:lvl w:ilvl="5" w:tplc="9BCEA8F0">
      <w:start w:val="1"/>
      <w:numFmt w:val="bullet"/>
      <w:lvlText w:val="o"/>
      <w:lvlJc w:val="left"/>
      <w:pPr>
        <w:tabs>
          <w:tab w:val="num" w:pos="4320"/>
        </w:tabs>
        <w:ind w:left="4320" w:hanging="360"/>
      </w:pPr>
      <w:rPr>
        <w:rFonts w:ascii="Courier New" w:hAnsi="Courier New" w:cs="Times New Roman" w:hint="default"/>
      </w:rPr>
    </w:lvl>
    <w:lvl w:ilvl="6" w:tplc="77BE23D6">
      <w:start w:val="1"/>
      <w:numFmt w:val="bullet"/>
      <w:lvlText w:val="o"/>
      <w:lvlJc w:val="left"/>
      <w:pPr>
        <w:tabs>
          <w:tab w:val="num" w:pos="5040"/>
        </w:tabs>
        <w:ind w:left="5040" w:hanging="360"/>
      </w:pPr>
      <w:rPr>
        <w:rFonts w:ascii="Courier New" w:hAnsi="Courier New" w:cs="Times New Roman" w:hint="default"/>
      </w:rPr>
    </w:lvl>
    <w:lvl w:ilvl="7" w:tplc="3842AD0E">
      <w:start w:val="1"/>
      <w:numFmt w:val="bullet"/>
      <w:lvlText w:val="o"/>
      <w:lvlJc w:val="left"/>
      <w:pPr>
        <w:tabs>
          <w:tab w:val="num" w:pos="5760"/>
        </w:tabs>
        <w:ind w:left="5760" w:hanging="360"/>
      </w:pPr>
      <w:rPr>
        <w:rFonts w:ascii="Courier New" w:hAnsi="Courier New" w:cs="Times New Roman" w:hint="default"/>
      </w:rPr>
    </w:lvl>
    <w:lvl w:ilvl="8" w:tplc="9728458E">
      <w:start w:val="1"/>
      <w:numFmt w:val="bullet"/>
      <w:lvlText w:val="o"/>
      <w:lvlJc w:val="left"/>
      <w:pPr>
        <w:tabs>
          <w:tab w:val="num" w:pos="6480"/>
        </w:tabs>
        <w:ind w:left="6480" w:hanging="360"/>
      </w:pPr>
      <w:rPr>
        <w:rFonts w:ascii="Courier New" w:hAnsi="Courier New" w:cs="Times New Roman" w:hint="default"/>
      </w:rPr>
    </w:lvl>
  </w:abstractNum>
  <w:abstractNum w:abstractNumId="63" w15:restartNumberingAfterBreak="0">
    <w:nsid w:val="325476AA"/>
    <w:multiLevelType w:val="hybridMultilevel"/>
    <w:tmpl w:val="0E5058EA"/>
    <w:lvl w:ilvl="0" w:tplc="86362E1A">
      <w:start w:val="1"/>
      <w:numFmt w:val="bullet"/>
      <w:lvlText w:val=""/>
      <w:lvlJc w:val="left"/>
      <w:pPr>
        <w:ind w:left="780" w:hanging="360"/>
      </w:pPr>
      <w:rPr>
        <w:rFonts w:ascii="Symbol" w:hAnsi="Symbol" w:hint="default"/>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15:restartNumberingAfterBreak="0">
    <w:nsid w:val="327E3642"/>
    <w:multiLevelType w:val="multilevel"/>
    <w:tmpl w:val="6D6668BA"/>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2C84FAC"/>
    <w:multiLevelType w:val="hybridMultilevel"/>
    <w:tmpl w:val="F7F62BEC"/>
    <w:lvl w:ilvl="0" w:tplc="89F268AA">
      <w:start w:val="1"/>
      <w:numFmt w:val="bullet"/>
      <w:lvlText w:val=""/>
      <w:lvlJc w:val="left"/>
      <w:pPr>
        <w:ind w:left="720" w:hanging="360"/>
      </w:pPr>
      <w:rPr>
        <w:rFonts w:ascii="Symbol" w:hAnsi="Symbol" w:hint="default"/>
        <w:color w:val="auto"/>
        <w:sz w:val="20"/>
      </w:rPr>
    </w:lvl>
    <w:lvl w:ilvl="1" w:tplc="5F5E1C60">
      <w:start w:val="1"/>
      <w:numFmt w:val="bullet"/>
      <w:lvlText w:val="o"/>
      <w:lvlJc w:val="left"/>
      <w:pPr>
        <w:ind w:left="1440" w:hanging="360"/>
      </w:pPr>
      <w:rPr>
        <w:rFonts w:ascii="Courier New" w:hAnsi="Courier New" w:cs="Courier New" w:hint="default"/>
        <w:sz w:val="2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33C0110E"/>
    <w:multiLevelType w:val="multilevel"/>
    <w:tmpl w:val="E7C4EE3C"/>
    <w:lvl w:ilvl="0">
      <w:start w:val="1"/>
      <w:numFmt w:val="upperLetter"/>
      <w:pStyle w:val="AppendixHeading1"/>
      <w:suff w:val="space"/>
      <w:lvlText w:val="Appendix %1"/>
      <w:lvlJc w:val="left"/>
      <w:pPr>
        <w:ind w:left="0" w:firstLine="0"/>
      </w:pPr>
      <w:rPr>
        <w:rFonts w:hint="default"/>
      </w:rPr>
    </w:lvl>
    <w:lvl w:ilvl="1">
      <w:start w:val="1"/>
      <w:numFmt w:val="decimal"/>
      <w:pStyle w:val="AppendixHeading2"/>
      <w:suff w:val="space"/>
      <w:lvlText w:val="%1.%2  "/>
      <w:lvlJc w:val="left"/>
      <w:pPr>
        <w:ind w:left="5954" w:firstLine="0"/>
      </w:pPr>
      <w:rPr>
        <w:rFonts w:hint="default"/>
      </w:rPr>
    </w:lvl>
    <w:lvl w:ilvl="2">
      <w:start w:val="1"/>
      <w:numFmt w:val="decimal"/>
      <w:pStyle w:val="AppendixHeading3"/>
      <w:suff w:val="space"/>
      <w:lvlText w:val="%1.%2.%3  "/>
      <w:lvlJc w:val="left"/>
      <w:pPr>
        <w:ind w:left="0" w:firstLine="0"/>
      </w:pPr>
      <w:rPr>
        <w:rFonts w:hint="default"/>
        <w:color w:val="333333"/>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8" w15:restartNumberingAfterBreak="0">
    <w:nsid w:val="349B5367"/>
    <w:multiLevelType w:val="hybridMultilevel"/>
    <w:tmpl w:val="C8029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35106F68"/>
    <w:multiLevelType w:val="hybridMultilevel"/>
    <w:tmpl w:val="70A609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72" w15:restartNumberingAfterBreak="0">
    <w:nsid w:val="3C4847FA"/>
    <w:multiLevelType w:val="hybridMultilevel"/>
    <w:tmpl w:val="B3F8CAC0"/>
    <w:lvl w:ilvl="0" w:tplc="08090001">
      <w:start w:val="1"/>
      <w:numFmt w:val="bullet"/>
      <w:lvlText w:val=""/>
      <w:lvlJc w:val="left"/>
      <w:pPr>
        <w:ind w:left="720" w:hanging="360"/>
      </w:pPr>
      <w:rPr>
        <w:rFonts w:ascii="Symbol" w:hAnsi="Symbol" w:hint="default"/>
      </w:rPr>
    </w:lvl>
    <w:lvl w:ilvl="1" w:tplc="D4FAFE8E">
      <w:start w:val="1"/>
      <w:numFmt w:val="bullet"/>
      <w:lvlText w:val="o"/>
      <w:lvlJc w:val="left"/>
      <w:pPr>
        <w:ind w:left="1440" w:hanging="360"/>
      </w:pPr>
      <w:rPr>
        <w:rFonts w:ascii="Courier New" w:hAnsi="Courier New" w:cs="Courier New" w:hint="default"/>
        <w:sz w:val="2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3C6C33F7"/>
    <w:multiLevelType w:val="hybridMultilevel"/>
    <w:tmpl w:val="28E8B3F4"/>
    <w:lvl w:ilvl="0" w:tplc="8302493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5" w15:restartNumberingAfterBreak="0">
    <w:nsid w:val="3D801235"/>
    <w:multiLevelType w:val="hybridMultilevel"/>
    <w:tmpl w:val="BFDE5654"/>
    <w:lvl w:ilvl="0" w:tplc="04100001">
      <w:start w:val="1"/>
      <w:numFmt w:val="bullet"/>
      <w:pStyle w:val="Tablebullet"/>
      <w:lvlText w:val=""/>
      <w:lvlJc w:val="left"/>
      <w:pPr>
        <w:ind w:left="720" w:hanging="360"/>
      </w:pPr>
      <w:rPr>
        <w:rFonts w:ascii="Wingdings" w:hAnsi="Wingdings" w:hint="default"/>
        <w:color w:val="FFC000"/>
        <w:sz w:val="1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3E185FE3"/>
    <w:multiLevelType w:val="hybridMultilevel"/>
    <w:tmpl w:val="891C9106"/>
    <w:lvl w:ilvl="0" w:tplc="20327C80">
      <w:start w:val="1"/>
      <w:numFmt w:val="bullet"/>
      <w:lvlText w:val=""/>
      <w:lvlJc w:val="left"/>
      <w:pPr>
        <w:ind w:left="720" w:hanging="360"/>
      </w:pPr>
      <w:rPr>
        <w:rFonts w:ascii="Symbol" w:hAnsi="Symbol" w:hint="default"/>
        <w:color w:val="auto"/>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EFD3D46"/>
    <w:multiLevelType w:val="hybridMultilevel"/>
    <w:tmpl w:val="E6DABF24"/>
    <w:lvl w:ilvl="0" w:tplc="08090001">
      <w:start w:val="1"/>
      <w:numFmt w:val="bullet"/>
      <w:lvlText w:val=""/>
      <w:lvlJc w:val="left"/>
      <w:pPr>
        <w:ind w:left="2160" w:hanging="360"/>
      </w:pPr>
      <w:rPr>
        <w:rFonts w:ascii="Symbol" w:hAnsi="Symbol" w:hint="default"/>
        <w:sz w:val="16"/>
        <w:szCs w:val="16"/>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78" w15:restartNumberingAfterBreak="0">
    <w:nsid w:val="3F4F741C"/>
    <w:multiLevelType w:val="hybridMultilevel"/>
    <w:tmpl w:val="1528DCAE"/>
    <w:lvl w:ilvl="0" w:tplc="C3481FD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F94483F"/>
    <w:multiLevelType w:val="hybridMultilevel"/>
    <w:tmpl w:val="CBAAEFAE"/>
    <w:lvl w:ilvl="0" w:tplc="BB4013FC">
      <w:start w:val="1"/>
      <w:numFmt w:val="bullet"/>
      <w:lvlText w:val=""/>
      <w:lvlJc w:val="left"/>
      <w:pPr>
        <w:ind w:left="538" w:hanging="360"/>
      </w:pPr>
      <w:rPr>
        <w:rFonts w:ascii="Symbol" w:hAnsi="Symbol" w:hint="default"/>
        <w:sz w:val="20"/>
        <w:szCs w:val="20"/>
      </w:rPr>
    </w:lvl>
    <w:lvl w:ilvl="1" w:tplc="E14A78E4">
      <w:start w:val="1"/>
      <w:numFmt w:val="bullet"/>
      <w:lvlText w:val="o"/>
      <w:lvlJc w:val="left"/>
      <w:pPr>
        <w:ind w:left="1258" w:hanging="360"/>
      </w:pPr>
      <w:rPr>
        <w:rFonts w:ascii="Courier New" w:hAnsi="Courier New" w:cs="Courier New" w:hint="default"/>
        <w:sz w:val="16"/>
        <w:szCs w:val="16"/>
      </w:rPr>
    </w:lvl>
    <w:lvl w:ilvl="2" w:tplc="04070005">
      <w:start w:val="1"/>
      <w:numFmt w:val="bullet"/>
      <w:lvlText w:val=""/>
      <w:lvlJc w:val="left"/>
      <w:pPr>
        <w:ind w:left="1978" w:hanging="360"/>
      </w:pPr>
      <w:rPr>
        <w:rFonts w:ascii="Wingdings" w:hAnsi="Wingdings" w:hint="default"/>
      </w:rPr>
    </w:lvl>
    <w:lvl w:ilvl="3" w:tplc="04070001" w:tentative="1">
      <w:start w:val="1"/>
      <w:numFmt w:val="bullet"/>
      <w:lvlText w:val=""/>
      <w:lvlJc w:val="left"/>
      <w:pPr>
        <w:ind w:left="2698" w:hanging="360"/>
      </w:pPr>
      <w:rPr>
        <w:rFonts w:ascii="Symbol" w:hAnsi="Symbol" w:hint="default"/>
      </w:rPr>
    </w:lvl>
    <w:lvl w:ilvl="4" w:tplc="04070003" w:tentative="1">
      <w:start w:val="1"/>
      <w:numFmt w:val="bullet"/>
      <w:lvlText w:val="o"/>
      <w:lvlJc w:val="left"/>
      <w:pPr>
        <w:ind w:left="3418" w:hanging="360"/>
      </w:pPr>
      <w:rPr>
        <w:rFonts w:ascii="Courier New" w:hAnsi="Courier New" w:cs="Courier New" w:hint="default"/>
      </w:rPr>
    </w:lvl>
    <w:lvl w:ilvl="5" w:tplc="04070005" w:tentative="1">
      <w:start w:val="1"/>
      <w:numFmt w:val="bullet"/>
      <w:lvlText w:val=""/>
      <w:lvlJc w:val="left"/>
      <w:pPr>
        <w:ind w:left="4138" w:hanging="360"/>
      </w:pPr>
      <w:rPr>
        <w:rFonts w:ascii="Wingdings" w:hAnsi="Wingdings" w:hint="default"/>
      </w:rPr>
    </w:lvl>
    <w:lvl w:ilvl="6" w:tplc="04070001" w:tentative="1">
      <w:start w:val="1"/>
      <w:numFmt w:val="bullet"/>
      <w:lvlText w:val=""/>
      <w:lvlJc w:val="left"/>
      <w:pPr>
        <w:ind w:left="4858" w:hanging="360"/>
      </w:pPr>
      <w:rPr>
        <w:rFonts w:ascii="Symbol" w:hAnsi="Symbol" w:hint="default"/>
      </w:rPr>
    </w:lvl>
    <w:lvl w:ilvl="7" w:tplc="04070003" w:tentative="1">
      <w:start w:val="1"/>
      <w:numFmt w:val="bullet"/>
      <w:lvlText w:val="o"/>
      <w:lvlJc w:val="left"/>
      <w:pPr>
        <w:ind w:left="5578" w:hanging="360"/>
      </w:pPr>
      <w:rPr>
        <w:rFonts w:ascii="Courier New" w:hAnsi="Courier New" w:cs="Courier New" w:hint="default"/>
      </w:rPr>
    </w:lvl>
    <w:lvl w:ilvl="8" w:tplc="04070005" w:tentative="1">
      <w:start w:val="1"/>
      <w:numFmt w:val="bullet"/>
      <w:lvlText w:val=""/>
      <w:lvlJc w:val="left"/>
      <w:pPr>
        <w:ind w:left="6298" w:hanging="360"/>
      </w:pPr>
      <w:rPr>
        <w:rFonts w:ascii="Wingdings" w:hAnsi="Wingdings" w:hint="default"/>
      </w:rPr>
    </w:lvl>
  </w:abstractNum>
  <w:abstractNum w:abstractNumId="80" w15:restartNumberingAfterBreak="0">
    <w:nsid w:val="40372EA3"/>
    <w:multiLevelType w:val="multilevel"/>
    <w:tmpl w:val="A030DA6E"/>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1DB2FC6"/>
    <w:multiLevelType w:val="hybridMultilevel"/>
    <w:tmpl w:val="E324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2044C01"/>
    <w:multiLevelType w:val="hybridMultilevel"/>
    <w:tmpl w:val="FDDC753E"/>
    <w:lvl w:ilvl="0" w:tplc="FFFFFFFF">
      <w:start w:val="1"/>
      <w:numFmt w:val="bullet"/>
      <w:pStyle w:val="Lettrepuce2"/>
      <w:lvlText w:val="–"/>
      <w:lvlJc w:val="left"/>
      <w:pPr>
        <w:tabs>
          <w:tab w:val="num" w:pos="1364"/>
        </w:tabs>
        <w:ind w:left="1364" w:hanging="284"/>
      </w:pPr>
      <w:rPr>
        <w:rFonts w:ascii="Franklin Gothic Medium" w:hAnsi="Franklin Gothic Medium" w:cs="Franklin Gothic Medium" w:hint="default"/>
        <w:b w:val="0"/>
        <w:i w:val="0"/>
        <w:color w:val="auto"/>
        <w:sz w:val="12"/>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2283729"/>
    <w:multiLevelType w:val="multilevel"/>
    <w:tmpl w:val="93745176"/>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3694431"/>
    <w:multiLevelType w:val="hybridMultilevel"/>
    <w:tmpl w:val="7BD8A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436B2187"/>
    <w:multiLevelType w:val="hybridMultilevel"/>
    <w:tmpl w:val="0AA603F0"/>
    <w:lvl w:ilvl="0" w:tplc="58647FCE">
      <w:start w:val="1"/>
      <w:numFmt w:val="bullet"/>
      <w:pStyle w:val="Bullettable"/>
      <w:lvlText w:val=""/>
      <w:lvlJc w:val="left"/>
      <w:pPr>
        <w:ind w:left="720" w:hanging="360"/>
      </w:pPr>
      <w:rPr>
        <w:rFonts w:ascii="Symbol" w:hAnsi="Symbol"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87" w15:restartNumberingAfterBreak="0">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88" w15:restartNumberingAfterBreak="0">
    <w:nsid w:val="49B90011"/>
    <w:multiLevelType w:val="hybridMultilevel"/>
    <w:tmpl w:val="AD6448F6"/>
    <w:lvl w:ilvl="0" w:tplc="80CA6DB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B4A1CE1"/>
    <w:multiLevelType w:val="hybridMultilevel"/>
    <w:tmpl w:val="E20A55D4"/>
    <w:lvl w:ilvl="0" w:tplc="508EE518">
      <w:start w:val="1"/>
      <w:numFmt w:val="bullet"/>
      <w:pStyle w:val="BulletPoint2"/>
      <w:lvlText w:val=""/>
      <w:lvlJc w:val="left"/>
      <w:pPr>
        <w:ind w:left="1080" w:hanging="360"/>
      </w:pPr>
      <w:rPr>
        <w:rFonts w:ascii="Symbol" w:hAnsi="Symbol" w:hint="default"/>
        <w:color w:val="7F7F7F"/>
      </w:rPr>
    </w:lvl>
    <w:lvl w:ilvl="1" w:tplc="E5A4494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F07F70"/>
    <w:multiLevelType w:val="hybridMultilevel"/>
    <w:tmpl w:val="1352A8E4"/>
    <w:lvl w:ilvl="0" w:tplc="D8885DAA">
      <w:start w:val="1"/>
      <w:numFmt w:val="bullet"/>
      <w:lvlText w:val=""/>
      <w:lvlJc w:val="left"/>
      <w:pPr>
        <w:ind w:left="538" w:hanging="360"/>
      </w:pPr>
      <w:rPr>
        <w:rFonts w:ascii="Symbol" w:hAnsi="Symbol" w:hint="default"/>
        <w:color w:val="auto"/>
        <w:sz w:val="20"/>
      </w:rPr>
    </w:lvl>
    <w:lvl w:ilvl="1" w:tplc="04070003">
      <w:start w:val="1"/>
      <w:numFmt w:val="bullet"/>
      <w:lvlText w:val="o"/>
      <w:lvlJc w:val="left"/>
      <w:pPr>
        <w:ind w:left="1258" w:hanging="360"/>
      </w:pPr>
      <w:rPr>
        <w:rFonts w:ascii="Courier New" w:hAnsi="Courier New" w:cs="Courier New" w:hint="default"/>
      </w:rPr>
    </w:lvl>
    <w:lvl w:ilvl="2" w:tplc="04070005">
      <w:start w:val="1"/>
      <w:numFmt w:val="bullet"/>
      <w:lvlText w:val=""/>
      <w:lvlJc w:val="left"/>
      <w:pPr>
        <w:ind w:left="1978" w:hanging="360"/>
      </w:pPr>
      <w:rPr>
        <w:rFonts w:ascii="Wingdings" w:hAnsi="Wingdings" w:hint="default"/>
      </w:rPr>
    </w:lvl>
    <w:lvl w:ilvl="3" w:tplc="04070001">
      <w:start w:val="1"/>
      <w:numFmt w:val="bullet"/>
      <w:lvlText w:val=""/>
      <w:lvlJc w:val="left"/>
      <w:pPr>
        <w:ind w:left="2698" w:hanging="360"/>
      </w:pPr>
      <w:rPr>
        <w:rFonts w:ascii="Symbol" w:hAnsi="Symbol" w:hint="default"/>
      </w:rPr>
    </w:lvl>
    <w:lvl w:ilvl="4" w:tplc="04070003">
      <w:start w:val="1"/>
      <w:numFmt w:val="bullet"/>
      <w:lvlText w:val="o"/>
      <w:lvlJc w:val="left"/>
      <w:pPr>
        <w:ind w:left="3418" w:hanging="360"/>
      </w:pPr>
      <w:rPr>
        <w:rFonts w:ascii="Courier New" w:hAnsi="Courier New" w:cs="Courier New" w:hint="default"/>
      </w:rPr>
    </w:lvl>
    <w:lvl w:ilvl="5" w:tplc="04070005">
      <w:start w:val="1"/>
      <w:numFmt w:val="bullet"/>
      <w:lvlText w:val=""/>
      <w:lvlJc w:val="left"/>
      <w:pPr>
        <w:ind w:left="4138" w:hanging="360"/>
      </w:pPr>
      <w:rPr>
        <w:rFonts w:ascii="Wingdings" w:hAnsi="Wingdings" w:hint="default"/>
      </w:rPr>
    </w:lvl>
    <w:lvl w:ilvl="6" w:tplc="04070001">
      <w:start w:val="1"/>
      <w:numFmt w:val="bullet"/>
      <w:lvlText w:val=""/>
      <w:lvlJc w:val="left"/>
      <w:pPr>
        <w:ind w:left="4858" w:hanging="360"/>
      </w:pPr>
      <w:rPr>
        <w:rFonts w:ascii="Symbol" w:hAnsi="Symbol" w:hint="default"/>
      </w:rPr>
    </w:lvl>
    <w:lvl w:ilvl="7" w:tplc="04070003">
      <w:start w:val="1"/>
      <w:numFmt w:val="bullet"/>
      <w:lvlText w:val="o"/>
      <w:lvlJc w:val="left"/>
      <w:pPr>
        <w:ind w:left="5578" w:hanging="360"/>
      </w:pPr>
      <w:rPr>
        <w:rFonts w:ascii="Courier New" w:hAnsi="Courier New" w:cs="Courier New" w:hint="default"/>
      </w:rPr>
    </w:lvl>
    <w:lvl w:ilvl="8" w:tplc="04070005">
      <w:start w:val="1"/>
      <w:numFmt w:val="bullet"/>
      <w:lvlText w:val=""/>
      <w:lvlJc w:val="left"/>
      <w:pPr>
        <w:ind w:left="6298" w:hanging="360"/>
      </w:pPr>
      <w:rPr>
        <w:rFonts w:ascii="Wingdings" w:hAnsi="Wingdings" w:hint="default"/>
      </w:rPr>
    </w:lvl>
  </w:abstractNum>
  <w:abstractNum w:abstractNumId="91" w15:restartNumberingAfterBreak="0">
    <w:nsid w:val="4D515754"/>
    <w:multiLevelType w:val="hybridMultilevel"/>
    <w:tmpl w:val="3BFE0E82"/>
    <w:lvl w:ilvl="0" w:tplc="E878F554">
      <w:start w:val="1"/>
      <w:numFmt w:val="bullet"/>
      <w:lvlText w:val=""/>
      <w:lvlJc w:val="left"/>
      <w:pPr>
        <w:ind w:left="720" w:hanging="360"/>
      </w:pPr>
      <w:rPr>
        <w:rFonts w:ascii="Symbol" w:hAnsi="Symbol" w:hint="default"/>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2" w15:restartNumberingAfterBreak="0">
    <w:nsid w:val="4D806BD5"/>
    <w:multiLevelType w:val="multilevel"/>
    <w:tmpl w:val="3446B7FA"/>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94" w15:restartNumberingAfterBreak="0">
    <w:nsid w:val="509531AD"/>
    <w:multiLevelType w:val="hybridMultilevel"/>
    <w:tmpl w:val="ED1623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5" w15:restartNumberingAfterBreak="0">
    <w:nsid w:val="52012494"/>
    <w:multiLevelType w:val="hybridMultilevel"/>
    <w:tmpl w:val="49E070C2"/>
    <w:lvl w:ilvl="0" w:tplc="476ED87C">
      <w:start w:val="1"/>
      <w:numFmt w:val="bullet"/>
      <w:pStyle w:val="bullet1"/>
      <w:lvlText w:val="►"/>
      <w:lvlJc w:val="left"/>
      <w:pPr>
        <w:ind w:left="1667" w:hanging="360"/>
      </w:pPr>
      <w:rPr>
        <w:rFonts w:ascii="Arial" w:hAnsi="Arial" w:cs="Times New Roman" w:hint="default"/>
        <w:b/>
        <w:color w:val="FFD200"/>
        <w:sz w:val="16"/>
        <w:szCs w:val="18"/>
        <w:lang w:val="en-US"/>
      </w:rPr>
    </w:lvl>
    <w:lvl w:ilvl="1" w:tplc="04100003">
      <w:start w:val="1"/>
      <w:numFmt w:val="bullet"/>
      <w:lvlText w:val="o"/>
      <w:lvlJc w:val="left"/>
      <w:pPr>
        <w:ind w:left="2387" w:hanging="360"/>
      </w:pPr>
      <w:rPr>
        <w:rFonts w:ascii="Courier New" w:hAnsi="Courier New" w:cs="Courier New" w:hint="default"/>
      </w:rPr>
    </w:lvl>
    <w:lvl w:ilvl="2" w:tplc="04100005">
      <w:start w:val="1"/>
      <w:numFmt w:val="bullet"/>
      <w:lvlText w:val=""/>
      <w:lvlJc w:val="left"/>
      <w:pPr>
        <w:ind w:left="3107" w:hanging="360"/>
      </w:pPr>
      <w:rPr>
        <w:rFonts w:ascii="Wingdings" w:hAnsi="Wingdings" w:hint="default"/>
      </w:rPr>
    </w:lvl>
    <w:lvl w:ilvl="3" w:tplc="04100001">
      <w:start w:val="1"/>
      <w:numFmt w:val="bullet"/>
      <w:lvlText w:val=""/>
      <w:lvlJc w:val="left"/>
      <w:pPr>
        <w:ind w:left="3827" w:hanging="360"/>
      </w:pPr>
      <w:rPr>
        <w:rFonts w:ascii="Symbol" w:hAnsi="Symbol" w:hint="default"/>
      </w:rPr>
    </w:lvl>
    <w:lvl w:ilvl="4" w:tplc="04100003" w:tentative="1">
      <w:start w:val="1"/>
      <w:numFmt w:val="bullet"/>
      <w:lvlText w:val="o"/>
      <w:lvlJc w:val="left"/>
      <w:pPr>
        <w:ind w:left="4547" w:hanging="360"/>
      </w:pPr>
      <w:rPr>
        <w:rFonts w:ascii="Courier New" w:hAnsi="Courier New" w:cs="Courier New" w:hint="default"/>
      </w:rPr>
    </w:lvl>
    <w:lvl w:ilvl="5" w:tplc="04100005" w:tentative="1">
      <w:start w:val="1"/>
      <w:numFmt w:val="bullet"/>
      <w:lvlText w:val=""/>
      <w:lvlJc w:val="left"/>
      <w:pPr>
        <w:ind w:left="5267" w:hanging="360"/>
      </w:pPr>
      <w:rPr>
        <w:rFonts w:ascii="Wingdings" w:hAnsi="Wingdings" w:hint="default"/>
      </w:rPr>
    </w:lvl>
    <w:lvl w:ilvl="6" w:tplc="04100001" w:tentative="1">
      <w:start w:val="1"/>
      <w:numFmt w:val="bullet"/>
      <w:lvlText w:val=""/>
      <w:lvlJc w:val="left"/>
      <w:pPr>
        <w:ind w:left="5987" w:hanging="360"/>
      </w:pPr>
      <w:rPr>
        <w:rFonts w:ascii="Symbol" w:hAnsi="Symbol" w:hint="default"/>
      </w:rPr>
    </w:lvl>
    <w:lvl w:ilvl="7" w:tplc="04100003" w:tentative="1">
      <w:start w:val="1"/>
      <w:numFmt w:val="bullet"/>
      <w:lvlText w:val="o"/>
      <w:lvlJc w:val="left"/>
      <w:pPr>
        <w:ind w:left="6707" w:hanging="360"/>
      </w:pPr>
      <w:rPr>
        <w:rFonts w:ascii="Courier New" w:hAnsi="Courier New" w:cs="Courier New" w:hint="default"/>
      </w:rPr>
    </w:lvl>
    <w:lvl w:ilvl="8" w:tplc="04100005" w:tentative="1">
      <w:start w:val="1"/>
      <w:numFmt w:val="bullet"/>
      <w:lvlText w:val=""/>
      <w:lvlJc w:val="left"/>
      <w:pPr>
        <w:ind w:left="7427" w:hanging="360"/>
      </w:pPr>
      <w:rPr>
        <w:rFonts w:ascii="Wingdings" w:hAnsi="Wingdings" w:hint="default"/>
      </w:rPr>
    </w:lvl>
  </w:abstractNum>
  <w:abstractNum w:abstractNumId="96" w15:restartNumberingAfterBreak="0">
    <w:nsid w:val="522D5991"/>
    <w:multiLevelType w:val="hybridMultilevel"/>
    <w:tmpl w:val="8C70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25144E8"/>
    <w:multiLevelType w:val="hybridMultilevel"/>
    <w:tmpl w:val="4B6E1E0E"/>
    <w:lvl w:ilvl="0" w:tplc="5BA2CE6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29203E6"/>
    <w:multiLevelType w:val="hybridMultilevel"/>
    <w:tmpl w:val="73646194"/>
    <w:lvl w:ilvl="0" w:tplc="CFAA64A0">
      <w:start w:val="1"/>
      <w:numFmt w:val="decimal"/>
      <w:pStyle w:val="numbering"/>
      <w:lvlText w:val="%1."/>
      <w:lvlJc w:val="left"/>
      <w:pPr>
        <w:ind w:left="1069" w:hanging="360"/>
      </w:pPr>
      <w:rPr>
        <w:rFonts w:hint="default"/>
        <w:b w:val="0"/>
        <w:i w:val="0"/>
        <w:color w:val="FFC000"/>
        <w:sz w:val="18"/>
        <w:szCs w:val="16"/>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9" w15:restartNumberingAfterBreak="0">
    <w:nsid w:val="540C0911"/>
    <w:multiLevelType w:val="hybridMultilevel"/>
    <w:tmpl w:val="66322596"/>
    <w:lvl w:ilvl="0" w:tplc="CF56BDAE">
      <w:start w:val="1"/>
      <w:numFmt w:val="bullet"/>
      <w:lvlText w:val=""/>
      <w:lvlJc w:val="left"/>
      <w:pPr>
        <w:ind w:left="720" w:hanging="360"/>
      </w:pPr>
      <w:rPr>
        <w:rFonts w:ascii="Symbol" w:hAnsi="Symbol" w:hint="default"/>
        <w:color w:val="auto"/>
        <w:sz w:val="20"/>
      </w:rPr>
    </w:lvl>
    <w:lvl w:ilvl="1" w:tplc="340E8908">
      <w:start w:val="1"/>
      <w:numFmt w:val="bullet"/>
      <w:lvlText w:val="o"/>
      <w:lvlJc w:val="left"/>
      <w:pPr>
        <w:ind w:left="1440" w:hanging="360"/>
      </w:pPr>
      <w:rPr>
        <w:rFonts w:ascii="Courier New" w:hAnsi="Courier New" w:cs="Courier New" w:hint="default"/>
        <w:sz w:val="2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54273301"/>
    <w:multiLevelType w:val="hybridMultilevel"/>
    <w:tmpl w:val="F55A3DB0"/>
    <w:lvl w:ilvl="0" w:tplc="DA709E7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4B90280"/>
    <w:multiLevelType w:val="hybridMultilevel"/>
    <w:tmpl w:val="97B8DD46"/>
    <w:lvl w:ilvl="0" w:tplc="44922C14">
      <w:start w:val="1"/>
      <w:numFmt w:val="bullet"/>
      <w:lvlText w:val=""/>
      <w:lvlJc w:val="left"/>
      <w:pPr>
        <w:tabs>
          <w:tab w:val="num" w:pos="720"/>
        </w:tabs>
        <w:ind w:left="720" w:hanging="360"/>
      </w:pPr>
      <w:rPr>
        <w:rFonts w:ascii="Symbol" w:hAnsi="Symbol" w:hint="default"/>
        <w:color w:val="auto"/>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3BC0B8DA">
      <w:start w:val="1"/>
      <w:numFmt w:val="bullet"/>
      <w:lvlText w:val="•"/>
      <w:lvlJc w:val="left"/>
      <w:pPr>
        <w:tabs>
          <w:tab w:val="num" w:pos="2160"/>
        </w:tabs>
        <w:ind w:left="2160" w:hanging="360"/>
      </w:pPr>
      <w:rPr>
        <w:rFonts w:ascii="Arial" w:hAnsi="Arial" w:cs="Times New Roman" w:hint="default"/>
      </w:rPr>
    </w:lvl>
    <w:lvl w:ilvl="3" w:tplc="2348053C">
      <w:start w:val="1"/>
      <w:numFmt w:val="bullet"/>
      <w:lvlText w:val="•"/>
      <w:lvlJc w:val="left"/>
      <w:pPr>
        <w:tabs>
          <w:tab w:val="num" w:pos="2880"/>
        </w:tabs>
        <w:ind w:left="2880" w:hanging="360"/>
      </w:pPr>
      <w:rPr>
        <w:rFonts w:ascii="Arial" w:hAnsi="Arial" w:cs="Times New Roman" w:hint="default"/>
      </w:rPr>
    </w:lvl>
    <w:lvl w:ilvl="4" w:tplc="188E79B0">
      <w:start w:val="1"/>
      <w:numFmt w:val="bullet"/>
      <w:lvlText w:val="•"/>
      <w:lvlJc w:val="left"/>
      <w:pPr>
        <w:tabs>
          <w:tab w:val="num" w:pos="3600"/>
        </w:tabs>
        <w:ind w:left="3600" w:hanging="360"/>
      </w:pPr>
      <w:rPr>
        <w:rFonts w:ascii="Arial" w:hAnsi="Arial" w:cs="Times New Roman" w:hint="default"/>
      </w:rPr>
    </w:lvl>
    <w:lvl w:ilvl="5" w:tplc="AFC6E358">
      <w:start w:val="1"/>
      <w:numFmt w:val="bullet"/>
      <w:lvlText w:val="•"/>
      <w:lvlJc w:val="left"/>
      <w:pPr>
        <w:tabs>
          <w:tab w:val="num" w:pos="4320"/>
        </w:tabs>
        <w:ind w:left="4320" w:hanging="360"/>
      </w:pPr>
      <w:rPr>
        <w:rFonts w:ascii="Arial" w:hAnsi="Arial" w:cs="Times New Roman" w:hint="default"/>
      </w:rPr>
    </w:lvl>
    <w:lvl w:ilvl="6" w:tplc="516E6748">
      <w:start w:val="1"/>
      <w:numFmt w:val="bullet"/>
      <w:lvlText w:val="•"/>
      <w:lvlJc w:val="left"/>
      <w:pPr>
        <w:tabs>
          <w:tab w:val="num" w:pos="5040"/>
        </w:tabs>
        <w:ind w:left="5040" w:hanging="360"/>
      </w:pPr>
      <w:rPr>
        <w:rFonts w:ascii="Arial" w:hAnsi="Arial" w:cs="Times New Roman" w:hint="default"/>
      </w:rPr>
    </w:lvl>
    <w:lvl w:ilvl="7" w:tplc="9C527194">
      <w:start w:val="1"/>
      <w:numFmt w:val="bullet"/>
      <w:lvlText w:val="•"/>
      <w:lvlJc w:val="left"/>
      <w:pPr>
        <w:tabs>
          <w:tab w:val="num" w:pos="5760"/>
        </w:tabs>
        <w:ind w:left="5760" w:hanging="360"/>
      </w:pPr>
      <w:rPr>
        <w:rFonts w:ascii="Arial" w:hAnsi="Arial" w:cs="Times New Roman" w:hint="default"/>
      </w:rPr>
    </w:lvl>
    <w:lvl w:ilvl="8" w:tplc="B768B21C">
      <w:start w:val="1"/>
      <w:numFmt w:val="bullet"/>
      <w:lvlText w:val="•"/>
      <w:lvlJc w:val="left"/>
      <w:pPr>
        <w:tabs>
          <w:tab w:val="num" w:pos="6480"/>
        </w:tabs>
        <w:ind w:left="6480" w:hanging="360"/>
      </w:pPr>
      <w:rPr>
        <w:rFonts w:ascii="Arial" w:hAnsi="Arial" w:cs="Times New Roman" w:hint="default"/>
      </w:rPr>
    </w:lvl>
  </w:abstractNum>
  <w:abstractNum w:abstractNumId="10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03" w15:restartNumberingAfterBreak="0">
    <w:nsid w:val="553B7A0B"/>
    <w:multiLevelType w:val="hybridMultilevel"/>
    <w:tmpl w:val="A00C8A62"/>
    <w:lvl w:ilvl="0" w:tplc="769CA8C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56820B42"/>
    <w:multiLevelType w:val="hybridMultilevel"/>
    <w:tmpl w:val="F448F16A"/>
    <w:lvl w:ilvl="0" w:tplc="01FC8516">
      <w:start w:val="1"/>
      <w:numFmt w:val="decimal"/>
      <w:pStyle w:val="1tabletbullet"/>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56DD1C1D"/>
    <w:multiLevelType w:val="hybridMultilevel"/>
    <w:tmpl w:val="25189414"/>
    <w:lvl w:ilvl="0" w:tplc="9F449E3E">
      <w:start w:val="1"/>
      <w:numFmt w:val="bullet"/>
      <w:pStyle w:val="Bullet3"/>
      <w:lvlText w:val=""/>
      <w:lvlJc w:val="left"/>
      <w:pPr>
        <w:ind w:left="360" w:hanging="360"/>
      </w:pPr>
      <w:rPr>
        <w:rFonts w:ascii="Symbol" w:hAnsi="Symbol" w:hint="default"/>
        <w:color w:val="00B0F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57646DFB"/>
    <w:multiLevelType w:val="hybridMultilevel"/>
    <w:tmpl w:val="1EFA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E429B8"/>
    <w:multiLevelType w:val="hybridMultilevel"/>
    <w:tmpl w:val="66646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5D3A437B"/>
    <w:multiLevelType w:val="hybridMultilevel"/>
    <w:tmpl w:val="D1A8A2B6"/>
    <w:lvl w:ilvl="0" w:tplc="CF50E716">
      <w:start w:val="1"/>
      <w:numFmt w:val="bullet"/>
      <w:pStyle w:val="Style6"/>
      <w:lvlText w:val="►"/>
      <w:lvlJc w:val="left"/>
      <w:pPr>
        <w:ind w:left="360" w:hanging="360"/>
      </w:pPr>
      <w:rPr>
        <w:rFonts w:ascii="Arial" w:hAnsi="Arial" w:hint="default"/>
        <w:b w:val="0"/>
        <w:bCs w:val="0"/>
        <w:i w:val="0"/>
        <w:iCs w:val="0"/>
        <w:caps w:val="0"/>
        <w:strike w:val="0"/>
        <w:dstrike w:val="0"/>
        <w:vanish w:val="0"/>
        <w:color w:val="FFD400"/>
        <w:spacing w:val="0"/>
        <w:kern w:val="0"/>
        <w:position w:val="0"/>
        <w:sz w:val="20"/>
        <w:u w:val="none"/>
        <w:vertAlign w:val="baseline"/>
        <w:em w:val="none"/>
        <w:lang w:val="en-US"/>
      </w:rPr>
    </w:lvl>
    <w:lvl w:ilvl="1" w:tplc="C504E796">
      <w:start w:val="1"/>
      <w:numFmt w:val="bullet"/>
      <w:lvlText w:val="o"/>
      <w:lvlJc w:val="left"/>
      <w:pPr>
        <w:ind w:left="1440" w:hanging="360"/>
      </w:pPr>
      <w:rPr>
        <w:rFonts w:ascii="Courier New" w:hAnsi="Courier New" w:cs="EYInterstate Light" w:hint="default"/>
      </w:rPr>
    </w:lvl>
    <w:lvl w:ilvl="2" w:tplc="03202698">
      <w:start w:val="1"/>
      <w:numFmt w:val="bullet"/>
      <w:lvlText w:val=""/>
      <w:lvlJc w:val="left"/>
      <w:pPr>
        <w:ind w:left="2160" w:hanging="360"/>
      </w:pPr>
      <w:rPr>
        <w:rFonts w:ascii="Wingdings" w:hAnsi="Wingdings" w:hint="default"/>
      </w:rPr>
    </w:lvl>
    <w:lvl w:ilvl="3" w:tplc="1AD6EE30" w:tentative="1">
      <w:start w:val="1"/>
      <w:numFmt w:val="bullet"/>
      <w:lvlText w:val=""/>
      <w:lvlJc w:val="left"/>
      <w:pPr>
        <w:ind w:left="2880" w:hanging="360"/>
      </w:pPr>
      <w:rPr>
        <w:rFonts w:ascii="Symbol" w:hAnsi="Symbol" w:hint="default"/>
      </w:rPr>
    </w:lvl>
    <w:lvl w:ilvl="4" w:tplc="4ADAED4E" w:tentative="1">
      <w:start w:val="1"/>
      <w:numFmt w:val="bullet"/>
      <w:lvlText w:val="o"/>
      <w:lvlJc w:val="left"/>
      <w:pPr>
        <w:ind w:left="3600" w:hanging="360"/>
      </w:pPr>
      <w:rPr>
        <w:rFonts w:ascii="Courier New" w:hAnsi="Courier New" w:cs="EYInterstate Light" w:hint="default"/>
      </w:rPr>
    </w:lvl>
    <w:lvl w:ilvl="5" w:tplc="70E68E44" w:tentative="1">
      <w:start w:val="1"/>
      <w:numFmt w:val="bullet"/>
      <w:lvlText w:val=""/>
      <w:lvlJc w:val="left"/>
      <w:pPr>
        <w:ind w:left="4320" w:hanging="360"/>
      </w:pPr>
      <w:rPr>
        <w:rFonts w:ascii="Wingdings" w:hAnsi="Wingdings" w:hint="default"/>
      </w:rPr>
    </w:lvl>
    <w:lvl w:ilvl="6" w:tplc="37705216" w:tentative="1">
      <w:start w:val="1"/>
      <w:numFmt w:val="bullet"/>
      <w:lvlText w:val=""/>
      <w:lvlJc w:val="left"/>
      <w:pPr>
        <w:ind w:left="5040" w:hanging="360"/>
      </w:pPr>
      <w:rPr>
        <w:rFonts w:ascii="Symbol" w:hAnsi="Symbol" w:hint="default"/>
      </w:rPr>
    </w:lvl>
    <w:lvl w:ilvl="7" w:tplc="7E7846C0" w:tentative="1">
      <w:start w:val="1"/>
      <w:numFmt w:val="bullet"/>
      <w:lvlText w:val="o"/>
      <w:lvlJc w:val="left"/>
      <w:pPr>
        <w:ind w:left="5760" w:hanging="360"/>
      </w:pPr>
      <w:rPr>
        <w:rFonts w:ascii="Courier New" w:hAnsi="Courier New" w:cs="EYInterstate Light" w:hint="default"/>
      </w:rPr>
    </w:lvl>
    <w:lvl w:ilvl="8" w:tplc="B5ECA5C4" w:tentative="1">
      <w:start w:val="1"/>
      <w:numFmt w:val="bullet"/>
      <w:lvlText w:val=""/>
      <w:lvlJc w:val="left"/>
      <w:pPr>
        <w:ind w:left="6480" w:hanging="360"/>
      </w:pPr>
      <w:rPr>
        <w:rFonts w:ascii="Wingdings" w:hAnsi="Wingdings" w:hint="default"/>
      </w:rPr>
    </w:lvl>
  </w:abstractNum>
  <w:abstractNum w:abstractNumId="109" w15:restartNumberingAfterBreak="0">
    <w:nsid w:val="5D862CFE"/>
    <w:multiLevelType w:val="hybridMultilevel"/>
    <w:tmpl w:val="37E47B58"/>
    <w:lvl w:ilvl="0" w:tplc="3A84435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DBE018C"/>
    <w:multiLevelType w:val="hybridMultilevel"/>
    <w:tmpl w:val="7A3609C2"/>
    <w:lvl w:ilvl="0" w:tplc="D746432E">
      <w:start w:val="1"/>
      <w:numFmt w:val="bullet"/>
      <w:lvlText w:val=""/>
      <w:lvlJc w:val="left"/>
      <w:pPr>
        <w:ind w:left="780" w:hanging="360"/>
      </w:pPr>
      <w:rPr>
        <w:rFonts w:ascii="Symbol" w:hAnsi="Symbol" w:hint="default"/>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12" w15:restartNumberingAfterBreak="0">
    <w:nsid w:val="5E4D6B53"/>
    <w:multiLevelType w:val="hybridMultilevel"/>
    <w:tmpl w:val="BE0676AC"/>
    <w:lvl w:ilvl="0" w:tplc="06E26BA0">
      <w:start w:val="1"/>
      <w:numFmt w:val="bullet"/>
      <w:lvlText w:val=""/>
      <w:lvlJc w:val="left"/>
      <w:pPr>
        <w:ind w:left="720" w:hanging="360"/>
      </w:pPr>
      <w:rPr>
        <w:rFonts w:ascii="Symbol" w:hAnsi="Symbol" w:hint="default"/>
        <w:sz w:val="20"/>
      </w:rPr>
    </w:lvl>
    <w:lvl w:ilvl="1" w:tplc="6E6CACF6">
      <w:start w:val="1"/>
      <w:numFmt w:val="bullet"/>
      <w:lvlText w:val="o"/>
      <w:lvlJc w:val="left"/>
      <w:pPr>
        <w:ind w:left="1440" w:hanging="360"/>
      </w:pPr>
      <w:rPr>
        <w:rFonts w:ascii="Courier New" w:hAnsi="Courier New" w:cs="Courier New" w:hint="default"/>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F213035"/>
    <w:multiLevelType w:val="hybridMultilevel"/>
    <w:tmpl w:val="DB18A9CC"/>
    <w:lvl w:ilvl="0" w:tplc="6618222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F934AE1"/>
    <w:multiLevelType w:val="hybridMultilevel"/>
    <w:tmpl w:val="BBD2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F9A6020"/>
    <w:multiLevelType w:val="hybridMultilevel"/>
    <w:tmpl w:val="F5B4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0530FC6"/>
    <w:multiLevelType w:val="hybridMultilevel"/>
    <w:tmpl w:val="40D6D1FE"/>
    <w:lvl w:ilvl="0" w:tplc="7D50EB0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8" w15:restartNumberingAfterBreak="0">
    <w:nsid w:val="60AA378E"/>
    <w:multiLevelType w:val="multilevel"/>
    <w:tmpl w:val="50868F7E"/>
    <w:lvl w:ilvl="0">
      <w:start w:val="1"/>
      <w:numFmt w:val="bullet"/>
      <w:lvlText w:val="•"/>
      <w:lvlJc w:val="left"/>
      <w:rPr>
        <w:rFonts w:ascii="Verdana" w:eastAsia="Verdana" w:hAnsi="Verdana" w:cs="Verdana"/>
        <w:b w:val="0"/>
        <w:bCs w:val="0"/>
        <w:i w:val="0"/>
        <w:iCs w:val="0"/>
        <w:smallCaps w:val="0"/>
        <w:strike w:val="0"/>
        <w:color w:val="auto"/>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16E0544"/>
    <w:multiLevelType w:val="hybridMultilevel"/>
    <w:tmpl w:val="1EFA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21" w15:restartNumberingAfterBreak="0">
    <w:nsid w:val="62552538"/>
    <w:multiLevelType w:val="hybridMultilevel"/>
    <w:tmpl w:val="63508D7A"/>
    <w:lvl w:ilvl="0" w:tplc="2B90BEC2">
      <w:start w:val="1"/>
      <w:numFmt w:val="bullet"/>
      <w:lvlText w:val=""/>
      <w:lvlJc w:val="left"/>
      <w:pPr>
        <w:ind w:left="720" w:hanging="360"/>
      </w:pPr>
      <w:rPr>
        <w:rFonts w:ascii="Symbol" w:hAnsi="Symbol" w:hint="default"/>
        <w:color w:val="auto"/>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62C44C73"/>
    <w:multiLevelType w:val="hybridMultilevel"/>
    <w:tmpl w:val="5E34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33E0FD5"/>
    <w:multiLevelType w:val="hybridMultilevel"/>
    <w:tmpl w:val="25742190"/>
    <w:lvl w:ilvl="0" w:tplc="8716DC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3422D1F"/>
    <w:multiLevelType w:val="hybridMultilevel"/>
    <w:tmpl w:val="B704A8BE"/>
    <w:lvl w:ilvl="0" w:tplc="08090001">
      <w:start w:val="1"/>
      <w:numFmt w:val="bullet"/>
      <w:lvlText w:val=""/>
      <w:lvlJc w:val="left"/>
      <w:pPr>
        <w:tabs>
          <w:tab w:val="num" w:pos="720"/>
        </w:tabs>
        <w:ind w:left="720" w:hanging="360"/>
      </w:pPr>
      <w:rPr>
        <w:rFonts w:ascii="Symbol" w:hAnsi="Symbol" w:hint="default"/>
        <w:sz w:val="20"/>
        <w:szCs w:val="20"/>
      </w:rPr>
    </w:lvl>
    <w:lvl w:ilvl="1" w:tplc="B44092F8">
      <w:start w:val="1"/>
      <w:numFmt w:val="bullet"/>
      <w:lvlText w:val="o"/>
      <w:lvlJc w:val="left"/>
      <w:pPr>
        <w:tabs>
          <w:tab w:val="num" w:pos="1440"/>
        </w:tabs>
        <w:ind w:left="1440" w:hanging="360"/>
      </w:pPr>
      <w:rPr>
        <w:rFonts w:ascii="Courier New" w:hAnsi="Courier New" w:cs="Courier New" w:hint="default"/>
        <w:sz w:val="16"/>
        <w:szCs w:val="16"/>
      </w:rPr>
    </w:lvl>
    <w:lvl w:ilvl="2" w:tplc="2A127592">
      <w:start w:val="10"/>
      <w:numFmt w:val="bullet"/>
      <w:lvlText w:val="-"/>
      <w:lvlJc w:val="left"/>
      <w:pPr>
        <w:ind w:left="2160" w:hanging="360"/>
      </w:pPr>
      <w:rPr>
        <w:rFonts w:ascii="Times New Roman" w:eastAsiaTheme="minorHAnsi" w:hAnsi="Times New Roman" w:cs="Times New Roman" w:hint="default"/>
        <w:b w:val="0"/>
      </w:rPr>
    </w:lvl>
    <w:lvl w:ilvl="3" w:tplc="2348053C" w:tentative="1">
      <w:start w:val="1"/>
      <w:numFmt w:val="bullet"/>
      <w:lvlText w:val="•"/>
      <w:lvlJc w:val="left"/>
      <w:pPr>
        <w:tabs>
          <w:tab w:val="num" w:pos="2880"/>
        </w:tabs>
        <w:ind w:left="2880" w:hanging="360"/>
      </w:pPr>
      <w:rPr>
        <w:rFonts w:ascii="Arial" w:hAnsi="Arial" w:hint="default"/>
      </w:rPr>
    </w:lvl>
    <w:lvl w:ilvl="4" w:tplc="188E79B0" w:tentative="1">
      <w:start w:val="1"/>
      <w:numFmt w:val="bullet"/>
      <w:lvlText w:val="•"/>
      <w:lvlJc w:val="left"/>
      <w:pPr>
        <w:tabs>
          <w:tab w:val="num" w:pos="3600"/>
        </w:tabs>
        <w:ind w:left="3600" w:hanging="360"/>
      </w:pPr>
      <w:rPr>
        <w:rFonts w:ascii="Arial" w:hAnsi="Arial" w:hint="default"/>
      </w:rPr>
    </w:lvl>
    <w:lvl w:ilvl="5" w:tplc="AFC6E358" w:tentative="1">
      <w:start w:val="1"/>
      <w:numFmt w:val="bullet"/>
      <w:lvlText w:val="•"/>
      <w:lvlJc w:val="left"/>
      <w:pPr>
        <w:tabs>
          <w:tab w:val="num" w:pos="4320"/>
        </w:tabs>
        <w:ind w:left="4320" w:hanging="360"/>
      </w:pPr>
      <w:rPr>
        <w:rFonts w:ascii="Arial" w:hAnsi="Arial" w:hint="default"/>
      </w:rPr>
    </w:lvl>
    <w:lvl w:ilvl="6" w:tplc="516E6748" w:tentative="1">
      <w:start w:val="1"/>
      <w:numFmt w:val="bullet"/>
      <w:lvlText w:val="•"/>
      <w:lvlJc w:val="left"/>
      <w:pPr>
        <w:tabs>
          <w:tab w:val="num" w:pos="5040"/>
        </w:tabs>
        <w:ind w:left="5040" w:hanging="360"/>
      </w:pPr>
      <w:rPr>
        <w:rFonts w:ascii="Arial" w:hAnsi="Arial" w:hint="default"/>
      </w:rPr>
    </w:lvl>
    <w:lvl w:ilvl="7" w:tplc="9C527194" w:tentative="1">
      <w:start w:val="1"/>
      <w:numFmt w:val="bullet"/>
      <w:lvlText w:val="•"/>
      <w:lvlJc w:val="left"/>
      <w:pPr>
        <w:tabs>
          <w:tab w:val="num" w:pos="5760"/>
        </w:tabs>
        <w:ind w:left="5760" w:hanging="360"/>
      </w:pPr>
      <w:rPr>
        <w:rFonts w:ascii="Arial" w:hAnsi="Arial" w:hint="default"/>
      </w:rPr>
    </w:lvl>
    <w:lvl w:ilvl="8" w:tplc="B768B21C"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644C724C"/>
    <w:multiLevelType w:val="hybridMultilevel"/>
    <w:tmpl w:val="2FB49AB0"/>
    <w:lvl w:ilvl="0" w:tplc="D29E9C56">
      <w:start w:val="1"/>
      <w:numFmt w:val="decimal"/>
      <w:pStyle w:val="finding"/>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655B0F18"/>
    <w:multiLevelType w:val="multilevel"/>
    <w:tmpl w:val="6D94452A"/>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5677757"/>
    <w:multiLevelType w:val="hybridMultilevel"/>
    <w:tmpl w:val="106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6FF037B"/>
    <w:multiLevelType w:val="hybridMultilevel"/>
    <w:tmpl w:val="6302A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7795FB0"/>
    <w:multiLevelType w:val="hybridMultilevel"/>
    <w:tmpl w:val="53D80E80"/>
    <w:lvl w:ilvl="0" w:tplc="8AA6936E">
      <w:start w:val="1"/>
      <w:numFmt w:val="bullet"/>
      <w:lvlText w:val=""/>
      <w:lvlJc w:val="left"/>
      <w:pPr>
        <w:ind w:left="720" w:hanging="360"/>
      </w:pPr>
      <w:rPr>
        <w:rFonts w:ascii="Symbol" w:hAnsi="Symbol" w:hint="default"/>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0" w15:restartNumberingAfterBreak="0">
    <w:nsid w:val="67A57F18"/>
    <w:multiLevelType w:val="hybridMultilevel"/>
    <w:tmpl w:val="B5506A94"/>
    <w:lvl w:ilvl="0" w:tplc="3C38CA4C">
      <w:start w:val="1"/>
      <w:numFmt w:val="decimal"/>
      <w:pStyle w:val="TableListNumber"/>
      <w:lvlText w:val="%1."/>
      <w:lvlJc w:val="left"/>
      <w:pPr>
        <w:tabs>
          <w:tab w:val="num" w:pos="181"/>
        </w:tabs>
        <w:ind w:left="181" w:hanging="181"/>
      </w:pPr>
      <w:rPr>
        <w:rFonts w:hint="default"/>
      </w:rPr>
    </w:lvl>
    <w:lvl w:ilvl="1" w:tplc="C1A46540" w:tentative="1">
      <w:start w:val="1"/>
      <w:numFmt w:val="lowerLetter"/>
      <w:lvlText w:val="%2."/>
      <w:lvlJc w:val="left"/>
      <w:pPr>
        <w:tabs>
          <w:tab w:val="num" w:pos="1440"/>
        </w:tabs>
        <w:ind w:left="1440" w:hanging="360"/>
      </w:pPr>
    </w:lvl>
    <w:lvl w:ilvl="2" w:tplc="B2D03FDE" w:tentative="1">
      <w:start w:val="1"/>
      <w:numFmt w:val="lowerRoman"/>
      <w:lvlText w:val="%3."/>
      <w:lvlJc w:val="right"/>
      <w:pPr>
        <w:tabs>
          <w:tab w:val="num" w:pos="2160"/>
        </w:tabs>
        <w:ind w:left="2160" w:hanging="180"/>
      </w:pPr>
    </w:lvl>
    <w:lvl w:ilvl="3" w:tplc="13B24DC6" w:tentative="1">
      <w:start w:val="1"/>
      <w:numFmt w:val="decimal"/>
      <w:lvlText w:val="%4."/>
      <w:lvlJc w:val="left"/>
      <w:pPr>
        <w:tabs>
          <w:tab w:val="num" w:pos="2880"/>
        </w:tabs>
        <w:ind w:left="2880" w:hanging="360"/>
      </w:pPr>
    </w:lvl>
    <w:lvl w:ilvl="4" w:tplc="30880A44" w:tentative="1">
      <w:start w:val="1"/>
      <w:numFmt w:val="lowerLetter"/>
      <w:lvlText w:val="%5."/>
      <w:lvlJc w:val="left"/>
      <w:pPr>
        <w:tabs>
          <w:tab w:val="num" w:pos="3600"/>
        </w:tabs>
        <w:ind w:left="3600" w:hanging="360"/>
      </w:pPr>
    </w:lvl>
    <w:lvl w:ilvl="5" w:tplc="E1B62FEC" w:tentative="1">
      <w:start w:val="1"/>
      <w:numFmt w:val="lowerRoman"/>
      <w:lvlText w:val="%6."/>
      <w:lvlJc w:val="right"/>
      <w:pPr>
        <w:tabs>
          <w:tab w:val="num" w:pos="4320"/>
        </w:tabs>
        <w:ind w:left="4320" w:hanging="180"/>
      </w:pPr>
    </w:lvl>
    <w:lvl w:ilvl="6" w:tplc="47C48CCE" w:tentative="1">
      <w:start w:val="1"/>
      <w:numFmt w:val="decimal"/>
      <w:lvlText w:val="%7."/>
      <w:lvlJc w:val="left"/>
      <w:pPr>
        <w:tabs>
          <w:tab w:val="num" w:pos="5040"/>
        </w:tabs>
        <w:ind w:left="5040" w:hanging="360"/>
      </w:pPr>
    </w:lvl>
    <w:lvl w:ilvl="7" w:tplc="3D8E7C04" w:tentative="1">
      <w:start w:val="1"/>
      <w:numFmt w:val="lowerLetter"/>
      <w:lvlText w:val="%8."/>
      <w:lvlJc w:val="left"/>
      <w:pPr>
        <w:tabs>
          <w:tab w:val="num" w:pos="5760"/>
        </w:tabs>
        <w:ind w:left="5760" w:hanging="360"/>
      </w:pPr>
    </w:lvl>
    <w:lvl w:ilvl="8" w:tplc="D6FAEDDC" w:tentative="1">
      <w:start w:val="1"/>
      <w:numFmt w:val="lowerRoman"/>
      <w:lvlText w:val="%9."/>
      <w:lvlJc w:val="right"/>
      <w:pPr>
        <w:tabs>
          <w:tab w:val="num" w:pos="6480"/>
        </w:tabs>
        <w:ind w:left="6480" w:hanging="180"/>
      </w:pPr>
    </w:lvl>
  </w:abstractNum>
  <w:abstractNum w:abstractNumId="131" w15:restartNumberingAfterBreak="0">
    <w:nsid w:val="6A162CEF"/>
    <w:multiLevelType w:val="multilevel"/>
    <w:tmpl w:val="F55E9B26"/>
    <w:lvl w:ilvl="0">
      <w:start w:val="1"/>
      <w:numFmt w:val="bullet"/>
      <w:pStyle w:val="BulletPSP"/>
      <w:lvlText w:val=""/>
      <w:lvlJc w:val="left"/>
      <w:pPr>
        <w:ind w:left="567" w:hanging="283"/>
      </w:pPr>
      <w:rPr>
        <w:rFonts w:ascii="Symbol" w:hAnsi="Symbol" w:hint="default"/>
        <w:color w:val="5B9BD5" w:themeColor="accent1"/>
      </w:rPr>
    </w:lvl>
    <w:lvl w:ilvl="1">
      <w:start w:val="1"/>
      <w:numFmt w:val="bullet"/>
      <w:lvlText w:val=""/>
      <w:lvlJc w:val="left"/>
      <w:pPr>
        <w:ind w:left="709" w:hanging="283"/>
      </w:pPr>
      <w:rPr>
        <w:rFonts w:ascii="Symbol" w:hAnsi="Symbol" w:hint="default"/>
        <w:color w:val="44546A" w:themeColor="text2"/>
      </w:rPr>
    </w:lvl>
    <w:lvl w:ilvl="2">
      <w:start w:val="1"/>
      <w:numFmt w:val="bullet"/>
      <w:lvlText w:val=""/>
      <w:lvlJc w:val="left"/>
      <w:pPr>
        <w:ind w:left="1135" w:hanging="283"/>
      </w:pPr>
      <w:rPr>
        <w:rFonts w:ascii="Symbol" w:hAnsi="Symbol" w:hint="default"/>
        <w:color w:val="4472C4" w:themeColor="accent5"/>
      </w:rPr>
    </w:lvl>
    <w:lvl w:ilvl="3">
      <w:start w:val="1"/>
      <w:numFmt w:val="bullet"/>
      <w:lvlText w:val=""/>
      <w:lvlJc w:val="left"/>
      <w:pPr>
        <w:ind w:left="1419" w:hanging="283"/>
      </w:pPr>
      <w:rPr>
        <w:rFonts w:ascii="Symbol" w:hAnsi="Symbol" w:hint="default"/>
        <w:color w:val="ED7D31" w:themeColor="accent2"/>
      </w:rPr>
    </w:lvl>
    <w:lvl w:ilvl="4">
      <w:start w:val="1"/>
      <w:numFmt w:val="bullet"/>
      <w:lvlText w:val=""/>
      <w:lvlJc w:val="left"/>
      <w:pPr>
        <w:ind w:left="1703" w:hanging="283"/>
      </w:pPr>
      <w:rPr>
        <w:rFonts w:ascii="Symbol" w:hAnsi="Symbol" w:hint="default"/>
        <w:color w:val="000000" w:themeColor="text1"/>
      </w:rPr>
    </w:lvl>
    <w:lvl w:ilvl="5">
      <w:start w:val="1"/>
      <w:numFmt w:val="bullet"/>
      <w:lvlText w:val=""/>
      <w:lvlJc w:val="left"/>
      <w:pPr>
        <w:ind w:left="1987" w:hanging="283"/>
      </w:pPr>
      <w:rPr>
        <w:rFonts w:ascii="Symbol" w:hAnsi="Symbol" w:hint="default"/>
        <w:color w:val="FFC000" w:themeColor="accent4"/>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13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3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34" w15:restartNumberingAfterBreak="0">
    <w:nsid w:val="6FD62CF5"/>
    <w:multiLevelType w:val="hybridMultilevel"/>
    <w:tmpl w:val="1EFA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08323F4"/>
    <w:multiLevelType w:val="hybridMultilevel"/>
    <w:tmpl w:val="F2F41894"/>
    <w:lvl w:ilvl="0" w:tplc="5C80238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1E4056F"/>
    <w:multiLevelType w:val="hybridMultilevel"/>
    <w:tmpl w:val="2968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723B1599"/>
    <w:multiLevelType w:val="hybridMultilevel"/>
    <w:tmpl w:val="C6820B58"/>
    <w:lvl w:ilvl="0" w:tplc="7EBC8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2D809BC"/>
    <w:multiLevelType w:val="hybridMultilevel"/>
    <w:tmpl w:val="66369B2E"/>
    <w:lvl w:ilvl="0" w:tplc="BFDCEA8E">
      <w:start w:val="1"/>
      <w:numFmt w:val="bullet"/>
      <w:lvlText w:val=""/>
      <w:lvlJc w:val="left"/>
      <w:pPr>
        <w:tabs>
          <w:tab w:val="num" w:pos="720"/>
        </w:tabs>
        <w:ind w:left="720" w:hanging="360"/>
      </w:pPr>
      <w:rPr>
        <w:rFonts w:ascii="Symbol" w:hAnsi="Symbol" w:hint="default"/>
        <w:color w:val="auto"/>
        <w:sz w:val="20"/>
      </w:rPr>
    </w:lvl>
    <w:lvl w:ilvl="1" w:tplc="04070001">
      <w:start w:val="1"/>
      <w:numFmt w:val="bullet"/>
      <w:lvlText w:val=""/>
      <w:lvlJc w:val="left"/>
      <w:pPr>
        <w:tabs>
          <w:tab w:val="num" w:pos="1440"/>
        </w:tabs>
        <w:ind w:left="1440" w:hanging="360"/>
      </w:pPr>
      <w:rPr>
        <w:rFonts w:ascii="Symbol" w:hAnsi="Symbol" w:hint="default"/>
      </w:rPr>
    </w:lvl>
    <w:lvl w:ilvl="2" w:tplc="0524B9CA">
      <w:start w:val="1"/>
      <w:numFmt w:val="bullet"/>
      <w:lvlText w:val="o"/>
      <w:lvlJc w:val="left"/>
      <w:pPr>
        <w:tabs>
          <w:tab w:val="num" w:pos="2160"/>
        </w:tabs>
        <w:ind w:left="2160" w:hanging="360"/>
      </w:pPr>
      <w:rPr>
        <w:rFonts w:ascii="Courier New" w:hAnsi="Courier New" w:cs="Times New Roman" w:hint="default"/>
      </w:rPr>
    </w:lvl>
    <w:lvl w:ilvl="3" w:tplc="1AACB670">
      <w:start w:val="1"/>
      <w:numFmt w:val="bullet"/>
      <w:lvlText w:val="o"/>
      <w:lvlJc w:val="left"/>
      <w:pPr>
        <w:tabs>
          <w:tab w:val="num" w:pos="2880"/>
        </w:tabs>
        <w:ind w:left="2880" w:hanging="360"/>
      </w:pPr>
      <w:rPr>
        <w:rFonts w:ascii="Courier New" w:hAnsi="Courier New" w:cs="Times New Roman" w:hint="default"/>
      </w:rPr>
    </w:lvl>
    <w:lvl w:ilvl="4" w:tplc="5506232C">
      <w:start w:val="1"/>
      <w:numFmt w:val="bullet"/>
      <w:lvlText w:val="o"/>
      <w:lvlJc w:val="left"/>
      <w:pPr>
        <w:tabs>
          <w:tab w:val="num" w:pos="3600"/>
        </w:tabs>
        <w:ind w:left="3600" w:hanging="360"/>
      </w:pPr>
      <w:rPr>
        <w:rFonts w:ascii="Courier New" w:hAnsi="Courier New" w:cs="Times New Roman" w:hint="default"/>
      </w:rPr>
    </w:lvl>
    <w:lvl w:ilvl="5" w:tplc="9BCEA8F0">
      <w:start w:val="1"/>
      <w:numFmt w:val="bullet"/>
      <w:lvlText w:val="o"/>
      <w:lvlJc w:val="left"/>
      <w:pPr>
        <w:tabs>
          <w:tab w:val="num" w:pos="4320"/>
        </w:tabs>
        <w:ind w:left="4320" w:hanging="360"/>
      </w:pPr>
      <w:rPr>
        <w:rFonts w:ascii="Courier New" w:hAnsi="Courier New" w:cs="Times New Roman" w:hint="default"/>
      </w:rPr>
    </w:lvl>
    <w:lvl w:ilvl="6" w:tplc="77BE23D6">
      <w:start w:val="1"/>
      <w:numFmt w:val="bullet"/>
      <w:lvlText w:val="o"/>
      <w:lvlJc w:val="left"/>
      <w:pPr>
        <w:tabs>
          <w:tab w:val="num" w:pos="5040"/>
        </w:tabs>
        <w:ind w:left="5040" w:hanging="360"/>
      </w:pPr>
      <w:rPr>
        <w:rFonts w:ascii="Courier New" w:hAnsi="Courier New" w:cs="Times New Roman" w:hint="default"/>
      </w:rPr>
    </w:lvl>
    <w:lvl w:ilvl="7" w:tplc="3842AD0E">
      <w:start w:val="1"/>
      <w:numFmt w:val="bullet"/>
      <w:lvlText w:val="o"/>
      <w:lvlJc w:val="left"/>
      <w:pPr>
        <w:tabs>
          <w:tab w:val="num" w:pos="5760"/>
        </w:tabs>
        <w:ind w:left="5760" w:hanging="360"/>
      </w:pPr>
      <w:rPr>
        <w:rFonts w:ascii="Courier New" w:hAnsi="Courier New" w:cs="Times New Roman" w:hint="default"/>
      </w:rPr>
    </w:lvl>
    <w:lvl w:ilvl="8" w:tplc="9728458E">
      <w:start w:val="1"/>
      <w:numFmt w:val="bullet"/>
      <w:lvlText w:val="o"/>
      <w:lvlJc w:val="left"/>
      <w:pPr>
        <w:tabs>
          <w:tab w:val="num" w:pos="6480"/>
        </w:tabs>
        <w:ind w:left="6480" w:hanging="360"/>
      </w:pPr>
      <w:rPr>
        <w:rFonts w:ascii="Courier New" w:hAnsi="Courier New" w:cs="Times New Roman" w:hint="default"/>
      </w:rPr>
    </w:lvl>
  </w:abstractNum>
  <w:abstractNum w:abstractNumId="140" w15:restartNumberingAfterBreak="0">
    <w:nsid w:val="732C4231"/>
    <w:multiLevelType w:val="hybridMultilevel"/>
    <w:tmpl w:val="7C068570"/>
    <w:lvl w:ilvl="0" w:tplc="B82C29DE">
      <w:start w:val="1"/>
      <w:numFmt w:val="bullet"/>
      <w:lvlText w:val=""/>
      <w:lvlJc w:val="left"/>
      <w:pPr>
        <w:ind w:left="720" w:hanging="360"/>
      </w:pPr>
      <w:rPr>
        <w:rFonts w:ascii="Symbol" w:hAnsi="Symbol" w:hint="default"/>
        <w:color w:val="auto"/>
        <w:sz w:val="20"/>
      </w:rPr>
    </w:lvl>
    <w:lvl w:ilvl="1" w:tplc="9F82B1CC">
      <w:start w:val="1"/>
      <w:numFmt w:val="bullet"/>
      <w:lvlText w:val="o"/>
      <w:lvlJc w:val="left"/>
      <w:pPr>
        <w:ind w:left="1440" w:hanging="360"/>
      </w:pPr>
      <w:rPr>
        <w:rFonts w:ascii="Courier New" w:hAnsi="Courier New" w:cs="Courier New" w:hint="default"/>
        <w:sz w:val="2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73C53073"/>
    <w:multiLevelType w:val="hybridMultilevel"/>
    <w:tmpl w:val="D1566108"/>
    <w:lvl w:ilvl="0" w:tplc="E16A42C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744B3035"/>
    <w:multiLevelType w:val="hybridMultilevel"/>
    <w:tmpl w:val="50704D2C"/>
    <w:lvl w:ilvl="0" w:tplc="EE76D04C">
      <w:start w:val="1"/>
      <w:numFmt w:val="bullet"/>
      <w:lvlText w:val=""/>
      <w:lvlJc w:val="left"/>
      <w:pPr>
        <w:ind w:left="720" w:hanging="360"/>
      </w:pPr>
      <w:rPr>
        <w:rFonts w:ascii="Symbol" w:hAnsi="Symbol" w:hint="default"/>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3" w15:restartNumberingAfterBreak="0">
    <w:nsid w:val="768409A6"/>
    <w:multiLevelType w:val="hybridMultilevel"/>
    <w:tmpl w:val="713C9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7F412BC"/>
    <w:multiLevelType w:val="hybridMultilevel"/>
    <w:tmpl w:val="99BADB36"/>
    <w:lvl w:ilvl="0" w:tplc="87C40CB4">
      <w:start w:val="1"/>
      <w:numFmt w:val="decimal"/>
      <w:pStyle w:val="Question"/>
      <w:lvlText w:val="%1."/>
      <w:lvlJc w:val="left"/>
      <w:pPr>
        <w:ind w:left="360" w:hanging="360"/>
      </w:pPr>
      <w:rPr>
        <w:rFonts w:hint="default"/>
      </w:rPr>
    </w:lvl>
    <w:lvl w:ilvl="1" w:tplc="FD4E4604">
      <w:numFmt w:val="bullet"/>
      <w:lvlText w:val="-"/>
      <w:lvlJc w:val="left"/>
      <w:pPr>
        <w:ind w:left="284" w:hanging="284"/>
      </w:pPr>
      <w:rPr>
        <w:rFonts w:ascii="Calibri" w:eastAsiaTheme="minorHAnsi" w:hAnsi="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A752FF0"/>
    <w:multiLevelType w:val="hybridMultilevel"/>
    <w:tmpl w:val="A468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AB24E67"/>
    <w:multiLevelType w:val="hybridMultilevel"/>
    <w:tmpl w:val="F71EF012"/>
    <w:lvl w:ilvl="0" w:tplc="89F4C172">
      <w:start w:val="1"/>
      <w:numFmt w:val="bullet"/>
      <w:pStyle w:val="TableListBullet"/>
      <w:lvlText w:val=""/>
      <w:lvlJc w:val="left"/>
      <w:pPr>
        <w:tabs>
          <w:tab w:val="num" w:pos="181"/>
        </w:tabs>
        <w:ind w:left="181" w:hanging="181"/>
      </w:pPr>
      <w:rPr>
        <w:rFonts w:ascii="Symbol" w:hAnsi="Symbol" w:hint="default"/>
        <w:color w:val="FF0000"/>
      </w:rPr>
    </w:lvl>
    <w:lvl w:ilvl="1" w:tplc="B268EF60" w:tentative="1">
      <w:start w:val="1"/>
      <w:numFmt w:val="bullet"/>
      <w:lvlText w:val="o"/>
      <w:lvlJc w:val="left"/>
      <w:pPr>
        <w:tabs>
          <w:tab w:val="num" w:pos="1440"/>
        </w:tabs>
        <w:ind w:left="1440" w:hanging="360"/>
      </w:pPr>
      <w:rPr>
        <w:rFonts w:ascii="Courier New" w:hAnsi="Courier New" w:cs="EYInterstate Light" w:hint="default"/>
      </w:rPr>
    </w:lvl>
    <w:lvl w:ilvl="2" w:tplc="EBC80D14" w:tentative="1">
      <w:start w:val="1"/>
      <w:numFmt w:val="bullet"/>
      <w:lvlText w:val=""/>
      <w:lvlJc w:val="left"/>
      <w:pPr>
        <w:tabs>
          <w:tab w:val="num" w:pos="2160"/>
        </w:tabs>
        <w:ind w:left="2160" w:hanging="360"/>
      </w:pPr>
      <w:rPr>
        <w:rFonts w:ascii="Wingdings" w:hAnsi="Wingdings" w:hint="default"/>
      </w:rPr>
    </w:lvl>
    <w:lvl w:ilvl="3" w:tplc="FD10E3CA" w:tentative="1">
      <w:start w:val="1"/>
      <w:numFmt w:val="bullet"/>
      <w:lvlText w:val=""/>
      <w:lvlJc w:val="left"/>
      <w:pPr>
        <w:tabs>
          <w:tab w:val="num" w:pos="2880"/>
        </w:tabs>
        <w:ind w:left="2880" w:hanging="360"/>
      </w:pPr>
      <w:rPr>
        <w:rFonts w:ascii="Symbol" w:hAnsi="Symbol" w:hint="default"/>
      </w:rPr>
    </w:lvl>
    <w:lvl w:ilvl="4" w:tplc="82CEC25E" w:tentative="1">
      <w:start w:val="1"/>
      <w:numFmt w:val="bullet"/>
      <w:lvlText w:val="o"/>
      <w:lvlJc w:val="left"/>
      <w:pPr>
        <w:tabs>
          <w:tab w:val="num" w:pos="3600"/>
        </w:tabs>
        <w:ind w:left="3600" w:hanging="360"/>
      </w:pPr>
      <w:rPr>
        <w:rFonts w:ascii="Courier New" w:hAnsi="Courier New" w:cs="EYInterstate Light" w:hint="default"/>
      </w:rPr>
    </w:lvl>
    <w:lvl w:ilvl="5" w:tplc="22B0391E" w:tentative="1">
      <w:start w:val="1"/>
      <w:numFmt w:val="bullet"/>
      <w:lvlText w:val=""/>
      <w:lvlJc w:val="left"/>
      <w:pPr>
        <w:tabs>
          <w:tab w:val="num" w:pos="4320"/>
        </w:tabs>
        <w:ind w:left="4320" w:hanging="360"/>
      </w:pPr>
      <w:rPr>
        <w:rFonts w:ascii="Wingdings" w:hAnsi="Wingdings" w:hint="default"/>
      </w:rPr>
    </w:lvl>
    <w:lvl w:ilvl="6" w:tplc="995AAE64" w:tentative="1">
      <w:start w:val="1"/>
      <w:numFmt w:val="bullet"/>
      <w:lvlText w:val=""/>
      <w:lvlJc w:val="left"/>
      <w:pPr>
        <w:tabs>
          <w:tab w:val="num" w:pos="5040"/>
        </w:tabs>
        <w:ind w:left="5040" w:hanging="360"/>
      </w:pPr>
      <w:rPr>
        <w:rFonts w:ascii="Symbol" w:hAnsi="Symbol" w:hint="default"/>
      </w:rPr>
    </w:lvl>
    <w:lvl w:ilvl="7" w:tplc="D58A8958" w:tentative="1">
      <w:start w:val="1"/>
      <w:numFmt w:val="bullet"/>
      <w:lvlText w:val="o"/>
      <w:lvlJc w:val="left"/>
      <w:pPr>
        <w:tabs>
          <w:tab w:val="num" w:pos="5760"/>
        </w:tabs>
        <w:ind w:left="5760" w:hanging="360"/>
      </w:pPr>
      <w:rPr>
        <w:rFonts w:ascii="Courier New" w:hAnsi="Courier New" w:cs="EYInterstate Light" w:hint="default"/>
      </w:rPr>
    </w:lvl>
    <w:lvl w:ilvl="8" w:tplc="7456891E"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AC359E9"/>
    <w:multiLevelType w:val="hybridMultilevel"/>
    <w:tmpl w:val="8C10DD6C"/>
    <w:lvl w:ilvl="0" w:tplc="D398EA5C">
      <w:start w:val="1"/>
      <w:numFmt w:val="decimal"/>
      <w:pStyle w:val="Tablenumber1"/>
      <w:lvlText w:val="%1."/>
      <w:lvlJc w:val="left"/>
      <w:pPr>
        <w:ind w:left="357" w:hanging="357"/>
      </w:pPr>
      <w:rPr>
        <w:rFonts w:hint="default"/>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9665096">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8" w15:restartNumberingAfterBreak="0">
    <w:nsid w:val="7B5A6C00"/>
    <w:multiLevelType w:val="hybridMultilevel"/>
    <w:tmpl w:val="C99041D2"/>
    <w:lvl w:ilvl="0" w:tplc="8BD60FF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B6E78DB"/>
    <w:multiLevelType w:val="hybridMultilevel"/>
    <w:tmpl w:val="26C0F23E"/>
    <w:lvl w:ilvl="0" w:tplc="D908AFC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B93782F"/>
    <w:multiLevelType w:val="hybridMultilevel"/>
    <w:tmpl w:val="705CFC9E"/>
    <w:lvl w:ilvl="0" w:tplc="F4C83F20">
      <w:start w:val="1"/>
      <w:numFmt w:val="bullet"/>
      <w:lvlText w:val=""/>
      <w:lvlJc w:val="left"/>
      <w:pPr>
        <w:ind w:left="1437" w:hanging="360"/>
      </w:pPr>
      <w:rPr>
        <w:rFonts w:ascii="Symbol" w:hAnsi="Symbol" w:hint="default"/>
        <w:color w:val="5B9BD5" w:themeColor="accent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1" w15:restartNumberingAfterBreak="0">
    <w:nsid w:val="7C8A180F"/>
    <w:multiLevelType w:val="hybridMultilevel"/>
    <w:tmpl w:val="AD8C60AE"/>
    <w:lvl w:ilvl="0" w:tplc="7854A104">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EC222E6"/>
    <w:multiLevelType w:val="hybridMultilevel"/>
    <w:tmpl w:val="62023AE4"/>
    <w:lvl w:ilvl="0" w:tplc="9AEE1C0E">
      <w:start w:val="1"/>
      <w:numFmt w:val="bullet"/>
      <w:lvlText w:val=""/>
      <w:lvlJc w:val="left"/>
      <w:pPr>
        <w:ind w:left="360" w:hanging="360"/>
      </w:pPr>
      <w:rPr>
        <w:rFonts w:ascii="Symbol" w:hAnsi="Symbol" w:hint="default"/>
        <w:sz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7F7031C3"/>
    <w:multiLevelType w:val="hybridMultilevel"/>
    <w:tmpl w:val="7EB6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4"/>
  </w:num>
  <w:num w:numId="2">
    <w:abstractNumId w:val="117"/>
  </w:num>
  <w:num w:numId="3">
    <w:abstractNumId w:val="43"/>
  </w:num>
  <w:num w:numId="4">
    <w:abstractNumId w:val="132"/>
  </w:num>
  <w:num w:numId="5">
    <w:abstractNumId w:val="20"/>
  </w:num>
  <w:num w:numId="6">
    <w:abstractNumId w:val="98"/>
  </w:num>
  <w:num w:numId="7">
    <w:abstractNumId w:val="71"/>
  </w:num>
  <w:num w:numId="8">
    <w:abstractNumId w:val="14"/>
  </w:num>
  <w:num w:numId="9">
    <w:abstractNumId w:val="152"/>
  </w:num>
  <w:num w:numId="10">
    <w:abstractNumId w:val="38"/>
  </w:num>
  <w:num w:numId="11">
    <w:abstractNumId w:val="103"/>
  </w:num>
  <w:num w:numId="12">
    <w:abstractNumId w:val="19"/>
  </w:num>
  <w:num w:numId="13">
    <w:abstractNumId w:val="141"/>
  </w:num>
  <w:num w:numId="14">
    <w:abstractNumId w:val="29"/>
  </w:num>
  <w:num w:numId="15">
    <w:abstractNumId w:val="54"/>
  </w:num>
  <w:num w:numId="16">
    <w:abstractNumId w:val="6"/>
  </w:num>
  <w:num w:numId="17">
    <w:abstractNumId w:val="18"/>
  </w:num>
  <w:num w:numId="18">
    <w:abstractNumId w:val="113"/>
  </w:num>
  <w:num w:numId="19">
    <w:abstractNumId w:val="22"/>
  </w:num>
  <w:num w:numId="20">
    <w:abstractNumId w:val="79"/>
  </w:num>
  <w:num w:numId="21">
    <w:abstractNumId w:val="124"/>
  </w:num>
  <w:num w:numId="22">
    <w:abstractNumId w:val="97"/>
  </w:num>
  <w:num w:numId="23">
    <w:abstractNumId w:val="59"/>
  </w:num>
  <w:num w:numId="24">
    <w:abstractNumId w:val="88"/>
  </w:num>
  <w:num w:numId="25">
    <w:abstractNumId w:val="135"/>
  </w:num>
  <w:num w:numId="26">
    <w:abstractNumId w:val="58"/>
  </w:num>
  <w:num w:numId="27">
    <w:abstractNumId w:val="50"/>
  </w:num>
  <w:num w:numId="28">
    <w:abstractNumId w:val="109"/>
  </w:num>
  <w:num w:numId="29">
    <w:abstractNumId w:val="17"/>
  </w:num>
  <w:num w:numId="30">
    <w:abstractNumId w:val="77"/>
  </w:num>
  <w:num w:numId="31">
    <w:abstractNumId w:val="149"/>
  </w:num>
  <w:num w:numId="32">
    <w:abstractNumId w:val="24"/>
  </w:num>
  <w:num w:numId="33">
    <w:abstractNumId w:val="148"/>
  </w:num>
  <w:num w:numId="34">
    <w:abstractNumId w:val="131"/>
  </w:num>
  <w:num w:numId="35">
    <w:abstractNumId w:val="63"/>
  </w:num>
  <w:num w:numId="36">
    <w:abstractNumId w:val="107"/>
  </w:num>
  <w:num w:numId="37">
    <w:abstractNumId w:val="40"/>
  </w:num>
  <w:num w:numId="38">
    <w:abstractNumId w:val="110"/>
  </w:num>
  <w:num w:numId="39">
    <w:abstractNumId w:val="134"/>
  </w:num>
  <w:num w:numId="40">
    <w:abstractNumId w:val="119"/>
  </w:num>
  <w:num w:numId="41">
    <w:abstractNumId w:val="106"/>
  </w:num>
  <w:num w:numId="42">
    <w:abstractNumId w:val="76"/>
  </w:num>
  <w:num w:numId="43">
    <w:abstractNumId w:val="3"/>
  </w:num>
  <w:num w:numId="44">
    <w:abstractNumId w:val="121"/>
  </w:num>
  <w:num w:numId="45">
    <w:abstractNumId w:val="12"/>
  </w:num>
  <w:num w:numId="46">
    <w:abstractNumId w:val="84"/>
  </w:num>
  <w:num w:numId="47">
    <w:abstractNumId w:val="128"/>
  </w:num>
  <w:num w:numId="48">
    <w:abstractNumId w:val="25"/>
  </w:num>
  <w:num w:numId="49">
    <w:abstractNumId w:val="60"/>
  </w:num>
  <w:num w:numId="50">
    <w:abstractNumId w:val="143"/>
  </w:num>
  <w:num w:numId="51">
    <w:abstractNumId w:val="44"/>
  </w:num>
  <w:num w:numId="52">
    <w:abstractNumId w:val="68"/>
  </w:num>
  <w:num w:numId="53">
    <w:abstractNumId w:val="85"/>
  </w:num>
  <w:num w:numId="54">
    <w:abstractNumId w:val="75"/>
  </w:num>
  <w:num w:numId="55">
    <w:abstractNumId w:val="118"/>
  </w:num>
  <w:num w:numId="56">
    <w:abstractNumId w:val="52"/>
  </w:num>
  <w:num w:numId="57">
    <w:abstractNumId w:val="92"/>
  </w:num>
  <w:num w:numId="58">
    <w:abstractNumId w:val="80"/>
  </w:num>
  <w:num w:numId="59">
    <w:abstractNumId w:val="64"/>
  </w:num>
  <w:num w:numId="60">
    <w:abstractNumId w:val="36"/>
  </w:num>
  <w:num w:numId="61">
    <w:abstractNumId w:val="126"/>
  </w:num>
  <w:num w:numId="62">
    <w:abstractNumId w:val="4"/>
  </w:num>
  <w:num w:numId="63">
    <w:abstractNumId w:val="11"/>
  </w:num>
  <w:num w:numId="64">
    <w:abstractNumId w:val="13"/>
  </w:num>
  <w:num w:numId="65">
    <w:abstractNumId w:val="96"/>
  </w:num>
  <w:num w:numId="66">
    <w:abstractNumId w:val="145"/>
  </w:num>
  <w:num w:numId="67">
    <w:abstractNumId w:val="127"/>
  </w:num>
  <w:num w:numId="68">
    <w:abstractNumId w:val="9"/>
  </w:num>
  <w:num w:numId="69">
    <w:abstractNumId w:val="30"/>
  </w:num>
  <w:num w:numId="70">
    <w:abstractNumId w:val="115"/>
  </w:num>
  <w:num w:numId="71">
    <w:abstractNumId w:val="136"/>
  </w:num>
  <w:num w:numId="72">
    <w:abstractNumId w:val="81"/>
  </w:num>
  <w:num w:numId="73">
    <w:abstractNumId w:val="51"/>
  </w:num>
  <w:num w:numId="74">
    <w:abstractNumId w:val="27"/>
  </w:num>
  <w:num w:numId="75">
    <w:abstractNumId w:val="45"/>
  </w:num>
  <w:num w:numId="76">
    <w:abstractNumId w:val="41"/>
  </w:num>
  <w:num w:numId="77">
    <w:abstractNumId w:val="83"/>
  </w:num>
  <w:num w:numId="78">
    <w:abstractNumId w:val="34"/>
  </w:num>
  <w:num w:numId="79">
    <w:abstractNumId w:val="69"/>
  </w:num>
  <w:num w:numId="80">
    <w:abstractNumId w:val="116"/>
  </w:num>
  <w:num w:numId="81">
    <w:abstractNumId w:val="10"/>
  </w:num>
  <w:num w:numId="82">
    <w:abstractNumId w:val="15"/>
  </w:num>
  <w:num w:numId="83">
    <w:abstractNumId w:val="49"/>
  </w:num>
  <w:num w:numId="84">
    <w:abstractNumId w:val="78"/>
  </w:num>
  <w:num w:numId="85">
    <w:abstractNumId w:val="94"/>
  </w:num>
  <w:num w:numId="86">
    <w:abstractNumId w:val="32"/>
  </w:num>
  <w:num w:numId="87">
    <w:abstractNumId w:val="61"/>
  </w:num>
  <w:num w:numId="88">
    <w:abstractNumId w:val="1"/>
  </w:num>
  <w:num w:numId="89">
    <w:abstractNumId w:val="0"/>
  </w:num>
  <w:num w:numId="90">
    <w:abstractNumId w:val="56"/>
  </w:num>
  <w:num w:numId="91">
    <w:abstractNumId w:val="120"/>
  </w:num>
  <w:num w:numId="92">
    <w:abstractNumId w:val="133"/>
  </w:num>
  <w:num w:numId="93">
    <w:abstractNumId w:val="67"/>
  </w:num>
  <w:num w:numId="94">
    <w:abstractNumId w:val="111"/>
  </w:num>
  <w:num w:numId="95">
    <w:abstractNumId w:val="86"/>
  </w:num>
  <w:num w:numId="96">
    <w:abstractNumId w:val="102"/>
  </w:num>
  <w:num w:numId="97">
    <w:abstractNumId w:val="46"/>
  </w:num>
  <w:num w:numId="98">
    <w:abstractNumId w:val="70"/>
  </w:num>
  <w:num w:numId="99">
    <w:abstractNumId w:val="35"/>
  </w:num>
  <w:num w:numId="100">
    <w:abstractNumId w:val="57"/>
  </w:num>
  <w:num w:numId="101">
    <w:abstractNumId w:val="137"/>
  </w:num>
  <w:num w:numId="102">
    <w:abstractNumId w:val="93"/>
  </w:num>
  <w:num w:numId="103">
    <w:abstractNumId w:val="105"/>
  </w:num>
  <w:num w:numId="104">
    <w:abstractNumId w:val="125"/>
  </w:num>
  <w:num w:numId="105">
    <w:abstractNumId w:val="47"/>
  </w:num>
  <w:num w:numId="106">
    <w:abstractNumId w:val="66"/>
  </w:num>
  <w:num w:numId="107">
    <w:abstractNumId w:val="146"/>
  </w:num>
  <w:num w:numId="108">
    <w:abstractNumId w:val="21"/>
  </w:num>
  <w:num w:numId="109">
    <w:abstractNumId w:val="130"/>
  </w:num>
  <w:num w:numId="110">
    <w:abstractNumId w:val="33"/>
  </w:num>
  <w:num w:numId="111">
    <w:abstractNumId w:val="108"/>
  </w:num>
  <w:num w:numId="112">
    <w:abstractNumId w:val="104"/>
  </w:num>
  <w:num w:numId="113">
    <w:abstractNumId w:val="2"/>
  </w:num>
  <w:num w:numId="114">
    <w:abstractNumId w:val="8"/>
  </w:num>
  <w:num w:numId="115">
    <w:abstractNumId w:val="37"/>
  </w:num>
  <w:num w:numId="116">
    <w:abstractNumId w:val="87"/>
  </w:num>
  <w:num w:numId="117">
    <w:abstractNumId w:val="147"/>
  </w:num>
  <w:num w:numId="118">
    <w:abstractNumId w:val="42"/>
  </w:num>
  <w:num w:numId="119">
    <w:abstractNumId w:val="55"/>
  </w:num>
  <w:num w:numId="120">
    <w:abstractNumId w:val="82"/>
  </w:num>
  <w:num w:numId="121">
    <w:abstractNumId w:val="53"/>
  </w:num>
  <w:num w:numId="122">
    <w:abstractNumId w:val="89"/>
  </w:num>
  <w:num w:numId="123">
    <w:abstractNumId w:val="95"/>
  </w:num>
  <w:num w:numId="124">
    <w:abstractNumId w:val="39"/>
  </w:num>
  <w:num w:numId="125">
    <w:abstractNumId w:val="144"/>
  </w:num>
  <w:num w:numId="126">
    <w:abstractNumId w:val="31"/>
  </w:num>
  <w:num w:numId="127">
    <w:abstractNumId w:val="28"/>
  </w:num>
  <w:num w:numId="128">
    <w:abstractNumId w:val="129"/>
  </w:num>
  <w:num w:numId="129">
    <w:abstractNumId w:val="139"/>
  </w:num>
  <w:num w:numId="130">
    <w:abstractNumId w:val="62"/>
  </w:num>
  <w:num w:numId="131">
    <w:abstractNumId w:val="101"/>
  </w:num>
  <w:num w:numId="132">
    <w:abstractNumId w:val="16"/>
  </w:num>
  <w:num w:numId="133">
    <w:abstractNumId w:val="90"/>
  </w:num>
  <w:num w:numId="134">
    <w:abstractNumId w:val="142"/>
  </w:num>
  <w:num w:numId="135">
    <w:abstractNumId w:val="65"/>
  </w:num>
  <w:num w:numId="136">
    <w:abstractNumId w:val="140"/>
  </w:num>
  <w:num w:numId="137">
    <w:abstractNumId w:val="7"/>
  </w:num>
  <w:num w:numId="138">
    <w:abstractNumId w:val="91"/>
  </w:num>
  <w:num w:numId="139">
    <w:abstractNumId w:val="99"/>
  </w:num>
  <w:num w:numId="140">
    <w:abstractNumId w:val="23"/>
  </w:num>
  <w:num w:numId="141">
    <w:abstractNumId w:val="122"/>
  </w:num>
  <w:num w:numId="142">
    <w:abstractNumId w:val="48"/>
  </w:num>
  <w:num w:numId="143">
    <w:abstractNumId w:val="43"/>
  </w:num>
  <w:num w:numId="144">
    <w:abstractNumId w:val="83"/>
  </w:num>
  <w:num w:numId="145">
    <w:abstractNumId w:val="83"/>
  </w:num>
  <w:num w:numId="146">
    <w:abstractNumId w:val="83"/>
  </w:num>
  <w:num w:numId="147">
    <w:abstractNumId w:val="43"/>
  </w:num>
  <w:num w:numId="148">
    <w:abstractNumId w:val="83"/>
  </w:num>
  <w:num w:numId="149">
    <w:abstractNumId w:val="83"/>
  </w:num>
  <w:num w:numId="150">
    <w:abstractNumId w:val="43"/>
  </w:num>
  <w:num w:numId="151">
    <w:abstractNumId w:val="83"/>
  </w:num>
  <w:num w:numId="152">
    <w:abstractNumId w:val="5"/>
  </w:num>
  <w:num w:numId="153">
    <w:abstractNumId w:val="26"/>
  </w:num>
  <w:num w:numId="154">
    <w:abstractNumId w:val="153"/>
  </w:num>
  <w:num w:numId="155">
    <w:abstractNumId w:val="114"/>
  </w:num>
  <w:num w:numId="156">
    <w:abstractNumId w:val="100"/>
  </w:num>
  <w:num w:numId="157">
    <w:abstractNumId w:val="73"/>
  </w:num>
  <w:num w:numId="158">
    <w:abstractNumId w:val="138"/>
  </w:num>
  <w:num w:numId="159">
    <w:abstractNumId w:val="72"/>
  </w:num>
  <w:num w:numId="160">
    <w:abstractNumId w:val="151"/>
  </w:num>
  <w:num w:numId="161">
    <w:abstractNumId w:val="150"/>
  </w:num>
  <w:num w:numId="162">
    <w:abstractNumId w:val="123"/>
  </w:num>
  <w:num w:numId="163">
    <w:abstractNumId w:val="11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de-DE" w:vendorID="64" w:dllVersion="131078" w:nlCheck="1" w:checkStyle="0"/>
  <w:activeWritingStyle w:appName="MSWord" w:lang="nl-BE"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fi-FI" w:vendorID="64" w:dllVersion="131078" w:nlCheck="1" w:checkStyle="0"/>
  <w:activeWritingStyle w:appName="MSWord" w:lang="en-IE" w:vendorID="64" w:dllVersion="131078" w:nlCheck="1" w:checkStyle="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revisionView w:markup="0"/>
  <w:defaultTabStop w:val="720"/>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E357BD12-0662-41D8-95D2-154F6F9D8680"/>
    <w:docVar w:name="LW_COVERPAGE_TYPE" w:val="1"/>
    <w:docVar w:name="LW_CROSSREFERENCE" w:val="{COM(2021) 782 final} - {SEC(2021) 420 final} - {SWD(2021) 377 final}"/>
    <w:docVar w:name="LW_DocType" w:val="NORMAL"/>
    <w:docVar w:name="LW_EMISSION" w:val="8.12.2021"/>
    <w:docVar w:name="LW_EMISSION_ISODATE" w:val="2021-12-08"/>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lt;FMT:Bold&gt;on information exchange between law enforcement authorities of Member States, repealing Council Framework Decision 2006/960/JHA&lt;/FMT&gt;_x000d__x000d__x000d__x000d__x000b_"/>
    <w:docVar w:name="LW_PART_NBR" w:val="1"/>
    <w:docVar w:name="LW_PART_NBR_TOTAL" w:val="1"/>
    <w:docVar w:name="LW_REF.INST.NEW" w:val="SWD"/>
    <w:docVar w:name="LW_REF.INST.NEW_ADOPTED" w:val="final"/>
    <w:docVar w:name="LW_REF.INST.NEW_TEXT" w:val="(2021) 3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 REPORT_x000b_"/>
    <w:docVar w:name="LW_TYPEACTEPRINCIPAL.CP" w:val="DIRECTIVE OF THE EUROPEAN PARLIAMENT AND OF THE COUNCIL"/>
    <w:docVar w:name="LwApiVersions" w:val="LW4CoDe 1.23.2.0; LW 8.0, Build 20211117"/>
  </w:docVars>
  <w:rsids>
    <w:rsidRoot w:val="00E025FB"/>
    <w:rsid w:val="00000052"/>
    <w:rsid w:val="000001C0"/>
    <w:rsid w:val="000009F9"/>
    <w:rsid w:val="00000BB3"/>
    <w:rsid w:val="00001336"/>
    <w:rsid w:val="00001BB8"/>
    <w:rsid w:val="0000297C"/>
    <w:rsid w:val="0000380C"/>
    <w:rsid w:val="00005241"/>
    <w:rsid w:val="00005683"/>
    <w:rsid w:val="00005AEB"/>
    <w:rsid w:val="0000699D"/>
    <w:rsid w:val="00007CC6"/>
    <w:rsid w:val="000106A2"/>
    <w:rsid w:val="00010C9F"/>
    <w:rsid w:val="000118D0"/>
    <w:rsid w:val="000124D1"/>
    <w:rsid w:val="0001329B"/>
    <w:rsid w:val="00013418"/>
    <w:rsid w:val="00013678"/>
    <w:rsid w:val="00013696"/>
    <w:rsid w:val="00013D37"/>
    <w:rsid w:val="0001435D"/>
    <w:rsid w:val="00014F3E"/>
    <w:rsid w:val="00015442"/>
    <w:rsid w:val="000155D0"/>
    <w:rsid w:val="00015C13"/>
    <w:rsid w:val="0001627F"/>
    <w:rsid w:val="00017435"/>
    <w:rsid w:val="00017468"/>
    <w:rsid w:val="00017469"/>
    <w:rsid w:val="00017EF8"/>
    <w:rsid w:val="000203D4"/>
    <w:rsid w:val="0002083C"/>
    <w:rsid w:val="00022A77"/>
    <w:rsid w:val="00022E1D"/>
    <w:rsid w:val="00024744"/>
    <w:rsid w:val="00024D01"/>
    <w:rsid w:val="00025D2A"/>
    <w:rsid w:val="0002665A"/>
    <w:rsid w:val="00026F56"/>
    <w:rsid w:val="0002703C"/>
    <w:rsid w:val="000273CE"/>
    <w:rsid w:val="00027A59"/>
    <w:rsid w:val="000301CE"/>
    <w:rsid w:val="00030A40"/>
    <w:rsid w:val="000316D9"/>
    <w:rsid w:val="0003220B"/>
    <w:rsid w:val="00034212"/>
    <w:rsid w:val="000348C5"/>
    <w:rsid w:val="000354C8"/>
    <w:rsid w:val="00040780"/>
    <w:rsid w:val="0004229B"/>
    <w:rsid w:val="00044082"/>
    <w:rsid w:val="00044A3C"/>
    <w:rsid w:val="00046209"/>
    <w:rsid w:val="00047EE5"/>
    <w:rsid w:val="00050731"/>
    <w:rsid w:val="00050B3D"/>
    <w:rsid w:val="0005170E"/>
    <w:rsid w:val="00051B74"/>
    <w:rsid w:val="0005272C"/>
    <w:rsid w:val="00052EB8"/>
    <w:rsid w:val="00053358"/>
    <w:rsid w:val="00054636"/>
    <w:rsid w:val="00054A7D"/>
    <w:rsid w:val="00054BA0"/>
    <w:rsid w:val="0005552A"/>
    <w:rsid w:val="000558BF"/>
    <w:rsid w:val="000559AF"/>
    <w:rsid w:val="00055ABB"/>
    <w:rsid w:val="00055C08"/>
    <w:rsid w:val="00055DB0"/>
    <w:rsid w:val="0005606F"/>
    <w:rsid w:val="00057E44"/>
    <w:rsid w:val="000607FE"/>
    <w:rsid w:val="00061B31"/>
    <w:rsid w:val="0006274D"/>
    <w:rsid w:val="000627F9"/>
    <w:rsid w:val="00062B1E"/>
    <w:rsid w:val="00065DB3"/>
    <w:rsid w:val="000660AD"/>
    <w:rsid w:val="000662B0"/>
    <w:rsid w:val="0006652B"/>
    <w:rsid w:val="00066909"/>
    <w:rsid w:val="00067DF9"/>
    <w:rsid w:val="0007000D"/>
    <w:rsid w:val="000708B9"/>
    <w:rsid w:val="000722F4"/>
    <w:rsid w:val="00072DE4"/>
    <w:rsid w:val="000739C8"/>
    <w:rsid w:val="0007412D"/>
    <w:rsid w:val="000750B4"/>
    <w:rsid w:val="000750CB"/>
    <w:rsid w:val="0007539F"/>
    <w:rsid w:val="00075AC7"/>
    <w:rsid w:val="0007694C"/>
    <w:rsid w:val="00076B1F"/>
    <w:rsid w:val="00077D57"/>
    <w:rsid w:val="00077F6F"/>
    <w:rsid w:val="00080A61"/>
    <w:rsid w:val="00080E5C"/>
    <w:rsid w:val="00080F4E"/>
    <w:rsid w:val="00081063"/>
    <w:rsid w:val="000810F4"/>
    <w:rsid w:val="00081CA8"/>
    <w:rsid w:val="000832CC"/>
    <w:rsid w:val="0008342B"/>
    <w:rsid w:val="000849CB"/>
    <w:rsid w:val="00086570"/>
    <w:rsid w:val="000867A0"/>
    <w:rsid w:val="000868EB"/>
    <w:rsid w:val="0008690B"/>
    <w:rsid w:val="00086A47"/>
    <w:rsid w:val="00086DFF"/>
    <w:rsid w:val="000870B4"/>
    <w:rsid w:val="000874A8"/>
    <w:rsid w:val="00090047"/>
    <w:rsid w:val="000908C2"/>
    <w:rsid w:val="00090BF3"/>
    <w:rsid w:val="00091821"/>
    <w:rsid w:val="00091943"/>
    <w:rsid w:val="0009195D"/>
    <w:rsid w:val="00091DAA"/>
    <w:rsid w:val="00094199"/>
    <w:rsid w:val="00094823"/>
    <w:rsid w:val="000950C1"/>
    <w:rsid w:val="00096108"/>
    <w:rsid w:val="00096F4A"/>
    <w:rsid w:val="0009749A"/>
    <w:rsid w:val="000A0DC5"/>
    <w:rsid w:val="000A1179"/>
    <w:rsid w:val="000A199E"/>
    <w:rsid w:val="000A2274"/>
    <w:rsid w:val="000A250E"/>
    <w:rsid w:val="000A2E22"/>
    <w:rsid w:val="000A335C"/>
    <w:rsid w:val="000A46EA"/>
    <w:rsid w:val="000A5A0E"/>
    <w:rsid w:val="000A6306"/>
    <w:rsid w:val="000A647E"/>
    <w:rsid w:val="000A7244"/>
    <w:rsid w:val="000A79FB"/>
    <w:rsid w:val="000B0FC1"/>
    <w:rsid w:val="000B112A"/>
    <w:rsid w:val="000B2153"/>
    <w:rsid w:val="000B251B"/>
    <w:rsid w:val="000B382E"/>
    <w:rsid w:val="000B4261"/>
    <w:rsid w:val="000B505F"/>
    <w:rsid w:val="000B512D"/>
    <w:rsid w:val="000B5596"/>
    <w:rsid w:val="000B681F"/>
    <w:rsid w:val="000C0520"/>
    <w:rsid w:val="000C061A"/>
    <w:rsid w:val="000C08FC"/>
    <w:rsid w:val="000C0CBE"/>
    <w:rsid w:val="000C158F"/>
    <w:rsid w:val="000C16B4"/>
    <w:rsid w:val="000C19C2"/>
    <w:rsid w:val="000C1F48"/>
    <w:rsid w:val="000C1F69"/>
    <w:rsid w:val="000C21CC"/>
    <w:rsid w:val="000C284F"/>
    <w:rsid w:val="000C3327"/>
    <w:rsid w:val="000C34BC"/>
    <w:rsid w:val="000C3801"/>
    <w:rsid w:val="000C4697"/>
    <w:rsid w:val="000C53E0"/>
    <w:rsid w:val="000C5409"/>
    <w:rsid w:val="000C5CEF"/>
    <w:rsid w:val="000C5E31"/>
    <w:rsid w:val="000C5F34"/>
    <w:rsid w:val="000C63F6"/>
    <w:rsid w:val="000C69EA"/>
    <w:rsid w:val="000C6A43"/>
    <w:rsid w:val="000C73E9"/>
    <w:rsid w:val="000D1DB8"/>
    <w:rsid w:val="000D1F39"/>
    <w:rsid w:val="000D1F7F"/>
    <w:rsid w:val="000D2EFA"/>
    <w:rsid w:val="000D3A52"/>
    <w:rsid w:val="000D4443"/>
    <w:rsid w:val="000D45BA"/>
    <w:rsid w:val="000D468B"/>
    <w:rsid w:val="000D5705"/>
    <w:rsid w:val="000D583D"/>
    <w:rsid w:val="000D5FD9"/>
    <w:rsid w:val="000D69CD"/>
    <w:rsid w:val="000D6E86"/>
    <w:rsid w:val="000D6E91"/>
    <w:rsid w:val="000D7158"/>
    <w:rsid w:val="000E0840"/>
    <w:rsid w:val="000E2317"/>
    <w:rsid w:val="000E2AE8"/>
    <w:rsid w:val="000E3262"/>
    <w:rsid w:val="000E35FA"/>
    <w:rsid w:val="000E3625"/>
    <w:rsid w:val="000E369F"/>
    <w:rsid w:val="000E36ED"/>
    <w:rsid w:val="000E3D81"/>
    <w:rsid w:val="000E42F1"/>
    <w:rsid w:val="000E47C8"/>
    <w:rsid w:val="000E5179"/>
    <w:rsid w:val="000E6EAF"/>
    <w:rsid w:val="000E752B"/>
    <w:rsid w:val="000F0C76"/>
    <w:rsid w:val="000F0DE5"/>
    <w:rsid w:val="000F2939"/>
    <w:rsid w:val="000F37A5"/>
    <w:rsid w:val="000F386A"/>
    <w:rsid w:val="000F426C"/>
    <w:rsid w:val="000F4A66"/>
    <w:rsid w:val="000F4A71"/>
    <w:rsid w:val="000F506D"/>
    <w:rsid w:val="000F513C"/>
    <w:rsid w:val="000F6665"/>
    <w:rsid w:val="000F698E"/>
    <w:rsid w:val="000F6D59"/>
    <w:rsid w:val="000F7F91"/>
    <w:rsid w:val="0010151C"/>
    <w:rsid w:val="001016BB"/>
    <w:rsid w:val="00101F11"/>
    <w:rsid w:val="00101FCC"/>
    <w:rsid w:val="001026C8"/>
    <w:rsid w:val="00103C29"/>
    <w:rsid w:val="00103C82"/>
    <w:rsid w:val="00104B1A"/>
    <w:rsid w:val="00104E62"/>
    <w:rsid w:val="001052A8"/>
    <w:rsid w:val="00105B92"/>
    <w:rsid w:val="00106077"/>
    <w:rsid w:val="00106B9E"/>
    <w:rsid w:val="001079A1"/>
    <w:rsid w:val="00107A90"/>
    <w:rsid w:val="00110AC4"/>
    <w:rsid w:val="00110ADB"/>
    <w:rsid w:val="00110BF1"/>
    <w:rsid w:val="00110C5B"/>
    <w:rsid w:val="00110D94"/>
    <w:rsid w:val="0011148B"/>
    <w:rsid w:val="00111619"/>
    <w:rsid w:val="001121F6"/>
    <w:rsid w:val="001150EC"/>
    <w:rsid w:val="00115321"/>
    <w:rsid w:val="00116100"/>
    <w:rsid w:val="00116FFE"/>
    <w:rsid w:val="001177C2"/>
    <w:rsid w:val="00120258"/>
    <w:rsid w:val="00120D94"/>
    <w:rsid w:val="00122E33"/>
    <w:rsid w:val="001234CD"/>
    <w:rsid w:val="00124061"/>
    <w:rsid w:val="00124255"/>
    <w:rsid w:val="00124571"/>
    <w:rsid w:val="001246D3"/>
    <w:rsid w:val="00126DD7"/>
    <w:rsid w:val="001277FA"/>
    <w:rsid w:val="00127D17"/>
    <w:rsid w:val="0013051B"/>
    <w:rsid w:val="0013081F"/>
    <w:rsid w:val="0013268F"/>
    <w:rsid w:val="0013340E"/>
    <w:rsid w:val="00133492"/>
    <w:rsid w:val="00133D02"/>
    <w:rsid w:val="00134C85"/>
    <w:rsid w:val="00135A34"/>
    <w:rsid w:val="00135DE1"/>
    <w:rsid w:val="00136090"/>
    <w:rsid w:val="00136EF8"/>
    <w:rsid w:val="00137B09"/>
    <w:rsid w:val="00140FAF"/>
    <w:rsid w:val="0014109D"/>
    <w:rsid w:val="00141959"/>
    <w:rsid w:val="00141DCF"/>
    <w:rsid w:val="001429C6"/>
    <w:rsid w:val="00144E3C"/>
    <w:rsid w:val="00144F04"/>
    <w:rsid w:val="00146CD0"/>
    <w:rsid w:val="001479D3"/>
    <w:rsid w:val="0015052F"/>
    <w:rsid w:val="001510C1"/>
    <w:rsid w:val="001519E4"/>
    <w:rsid w:val="00151B86"/>
    <w:rsid w:val="001521FB"/>
    <w:rsid w:val="001524F7"/>
    <w:rsid w:val="00152852"/>
    <w:rsid w:val="00152AC1"/>
    <w:rsid w:val="00153216"/>
    <w:rsid w:val="00153A06"/>
    <w:rsid w:val="00153F0C"/>
    <w:rsid w:val="001552FD"/>
    <w:rsid w:val="00155C13"/>
    <w:rsid w:val="00155E00"/>
    <w:rsid w:val="00155F5A"/>
    <w:rsid w:val="00156192"/>
    <w:rsid w:val="00156A03"/>
    <w:rsid w:val="00157C10"/>
    <w:rsid w:val="0016104E"/>
    <w:rsid w:val="001611BD"/>
    <w:rsid w:val="00161542"/>
    <w:rsid w:val="00164D06"/>
    <w:rsid w:val="00166280"/>
    <w:rsid w:val="00166C4D"/>
    <w:rsid w:val="00166DE9"/>
    <w:rsid w:val="00167006"/>
    <w:rsid w:val="00167F1D"/>
    <w:rsid w:val="00170573"/>
    <w:rsid w:val="00170A71"/>
    <w:rsid w:val="0017128D"/>
    <w:rsid w:val="001718D5"/>
    <w:rsid w:val="00171FEA"/>
    <w:rsid w:val="00173BF1"/>
    <w:rsid w:val="00173E60"/>
    <w:rsid w:val="00174BEB"/>
    <w:rsid w:val="00174D3F"/>
    <w:rsid w:val="00174F9C"/>
    <w:rsid w:val="001757C0"/>
    <w:rsid w:val="001761C3"/>
    <w:rsid w:val="001762A5"/>
    <w:rsid w:val="001764C7"/>
    <w:rsid w:val="001770FB"/>
    <w:rsid w:val="00177623"/>
    <w:rsid w:val="001779AB"/>
    <w:rsid w:val="00177AD2"/>
    <w:rsid w:val="0018036E"/>
    <w:rsid w:val="0018040E"/>
    <w:rsid w:val="001806D5"/>
    <w:rsid w:val="00180A26"/>
    <w:rsid w:val="0018163D"/>
    <w:rsid w:val="00182939"/>
    <w:rsid w:val="001829EF"/>
    <w:rsid w:val="00182B1E"/>
    <w:rsid w:val="00183628"/>
    <w:rsid w:val="0018362E"/>
    <w:rsid w:val="00183B11"/>
    <w:rsid w:val="00185268"/>
    <w:rsid w:val="001854C7"/>
    <w:rsid w:val="00186520"/>
    <w:rsid w:val="001869CF"/>
    <w:rsid w:val="001876EA"/>
    <w:rsid w:val="00187E04"/>
    <w:rsid w:val="00187EA9"/>
    <w:rsid w:val="001905DD"/>
    <w:rsid w:val="001908A7"/>
    <w:rsid w:val="00190A33"/>
    <w:rsid w:val="00191C0F"/>
    <w:rsid w:val="00193F3C"/>
    <w:rsid w:val="0019514A"/>
    <w:rsid w:val="001952D5"/>
    <w:rsid w:val="00196628"/>
    <w:rsid w:val="0019667D"/>
    <w:rsid w:val="001966D0"/>
    <w:rsid w:val="00197AB7"/>
    <w:rsid w:val="00197AE1"/>
    <w:rsid w:val="00197D3A"/>
    <w:rsid w:val="001A05C6"/>
    <w:rsid w:val="001A125A"/>
    <w:rsid w:val="001A1D42"/>
    <w:rsid w:val="001A29DF"/>
    <w:rsid w:val="001A32BB"/>
    <w:rsid w:val="001A37E3"/>
    <w:rsid w:val="001A3E46"/>
    <w:rsid w:val="001A3F75"/>
    <w:rsid w:val="001A4595"/>
    <w:rsid w:val="001A4637"/>
    <w:rsid w:val="001A46AC"/>
    <w:rsid w:val="001A572E"/>
    <w:rsid w:val="001A5C5D"/>
    <w:rsid w:val="001A6039"/>
    <w:rsid w:val="001A654D"/>
    <w:rsid w:val="001A6E85"/>
    <w:rsid w:val="001A70B3"/>
    <w:rsid w:val="001A7B2E"/>
    <w:rsid w:val="001B07B2"/>
    <w:rsid w:val="001B19B8"/>
    <w:rsid w:val="001B2ACF"/>
    <w:rsid w:val="001B369D"/>
    <w:rsid w:val="001B37D1"/>
    <w:rsid w:val="001B3E3B"/>
    <w:rsid w:val="001B3EF8"/>
    <w:rsid w:val="001B450C"/>
    <w:rsid w:val="001B4AB7"/>
    <w:rsid w:val="001B4E45"/>
    <w:rsid w:val="001B749C"/>
    <w:rsid w:val="001C0B0B"/>
    <w:rsid w:val="001C0BB2"/>
    <w:rsid w:val="001C1B03"/>
    <w:rsid w:val="001C1B3E"/>
    <w:rsid w:val="001C3804"/>
    <w:rsid w:val="001C3E60"/>
    <w:rsid w:val="001C41AB"/>
    <w:rsid w:val="001C5034"/>
    <w:rsid w:val="001C5F9E"/>
    <w:rsid w:val="001C6CB4"/>
    <w:rsid w:val="001D0104"/>
    <w:rsid w:val="001D08F1"/>
    <w:rsid w:val="001D0AE9"/>
    <w:rsid w:val="001D1483"/>
    <w:rsid w:val="001D1E5F"/>
    <w:rsid w:val="001D233F"/>
    <w:rsid w:val="001D326B"/>
    <w:rsid w:val="001D4A00"/>
    <w:rsid w:val="001D4C39"/>
    <w:rsid w:val="001D4D7C"/>
    <w:rsid w:val="001D4EA2"/>
    <w:rsid w:val="001D5705"/>
    <w:rsid w:val="001D573E"/>
    <w:rsid w:val="001D5E07"/>
    <w:rsid w:val="001D63F3"/>
    <w:rsid w:val="001D74B5"/>
    <w:rsid w:val="001D7DBE"/>
    <w:rsid w:val="001D7EE3"/>
    <w:rsid w:val="001E0163"/>
    <w:rsid w:val="001E04A4"/>
    <w:rsid w:val="001E0A92"/>
    <w:rsid w:val="001E0FE3"/>
    <w:rsid w:val="001E13D1"/>
    <w:rsid w:val="001E16E7"/>
    <w:rsid w:val="001E26F1"/>
    <w:rsid w:val="001E2FCB"/>
    <w:rsid w:val="001E30F8"/>
    <w:rsid w:val="001E3EFC"/>
    <w:rsid w:val="001E4074"/>
    <w:rsid w:val="001E526A"/>
    <w:rsid w:val="001E64CE"/>
    <w:rsid w:val="001E6771"/>
    <w:rsid w:val="001E6A93"/>
    <w:rsid w:val="001E6F14"/>
    <w:rsid w:val="001E7819"/>
    <w:rsid w:val="001E7992"/>
    <w:rsid w:val="001E7E11"/>
    <w:rsid w:val="001F0559"/>
    <w:rsid w:val="001F09E3"/>
    <w:rsid w:val="001F3433"/>
    <w:rsid w:val="001F36FC"/>
    <w:rsid w:val="001F4381"/>
    <w:rsid w:val="001F51C0"/>
    <w:rsid w:val="001F5B59"/>
    <w:rsid w:val="0020075F"/>
    <w:rsid w:val="002010D2"/>
    <w:rsid w:val="002014D6"/>
    <w:rsid w:val="002034CD"/>
    <w:rsid w:val="00203572"/>
    <w:rsid w:val="00203BDC"/>
    <w:rsid w:val="00205D45"/>
    <w:rsid w:val="00207EAA"/>
    <w:rsid w:val="0021002C"/>
    <w:rsid w:val="00210B6A"/>
    <w:rsid w:val="00210F2B"/>
    <w:rsid w:val="0021175D"/>
    <w:rsid w:val="00211ECE"/>
    <w:rsid w:val="00212416"/>
    <w:rsid w:val="00212C90"/>
    <w:rsid w:val="00213225"/>
    <w:rsid w:val="00213C97"/>
    <w:rsid w:val="00214169"/>
    <w:rsid w:val="00214998"/>
    <w:rsid w:val="00214A7B"/>
    <w:rsid w:val="00214C25"/>
    <w:rsid w:val="002167C4"/>
    <w:rsid w:val="002213A4"/>
    <w:rsid w:val="00222188"/>
    <w:rsid w:val="00222690"/>
    <w:rsid w:val="00222DD7"/>
    <w:rsid w:val="00223696"/>
    <w:rsid w:val="00223D57"/>
    <w:rsid w:val="002242AA"/>
    <w:rsid w:val="00224731"/>
    <w:rsid w:val="002251DC"/>
    <w:rsid w:val="002252A2"/>
    <w:rsid w:val="002259B6"/>
    <w:rsid w:val="00226093"/>
    <w:rsid w:val="002261B6"/>
    <w:rsid w:val="00227E41"/>
    <w:rsid w:val="002307EE"/>
    <w:rsid w:val="00230EEE"/>
    <w:rsid w:val="002317D3"/>
    <w:rsid w:val="002320D7"/>
    <w:rsid w:val="00232F53"/>
    <w:rsid w:val="00233106"/>
    <w:rsid w:val="002333ED"/>
    <w:rsid w:val="00234C80"/>
    <w:rsid w:val="00234C85"/>
    <w:rsid w:val="002351DE"/>
    <w:rsid w:val="00235468"/>
    <w:rsid w:val="00236C44"/>
    <w:rsid w:val="00237337"/>
    <w:rsid w:val="002408E6"/>
    <w:rsid w:val="00241369"/>
    <w:rsid w:val="002422E1"/>
    <w:rsid w:val="0024244A"/>
    <w:rsid w:val="002428B8"/>
    <w:rsid w:val="0024306A"/>
    <w:rsid w:val="002430F2"/>
    <w:rsid w:val="00244405"/>
    <w:rsid w:val="00244B25"/>
    <w:rsid w:val="00244F23"/>
    <w:rsid w:val="00245D0F"/>
    <w:rsid w:val="00245FF0"/>
    <w:rsid w:val="002461B5"/>
    <w:rsid w:val="002462C7"/>
    <w:rsid w:val="002464F1"/>
    <w:rsid w:val="0024796B"/>
    <w:rsid w:val="00247D48"/>
    <w:rsid w:val="00247FCF"/>
    <w:rsid w:val="002503E5"/>
    <w:rsid w:val="002522D5"/>
    <w:rsid w:val="0025329A"/>
    <w:rsid w:val="002546BE"/>
    <w:rsid w:val="00255009"/>
    <w:rsid w:val="0025579D"/>
    <w:rsid w:val="00255B65"/>
    <w:rsid w:val="00255D12"/>
    <w:rsid w:val="00256330"/>
    <w:rsid w:val="00256490"/>
    <w:rsid w:val="00256BBB"/>
    <w:rsid w:val="002600DD"/>
    <w:rsid w:val="00260C8F"/>
    <w:rsid w:val="00261C7E"/>
    <w:rsid w:val="00262738"/>
    <w:rsid w:val="00262BC4"/>
    <w:rsid w:val="00262CE9"/>
    <w:rsid w:val="002635C2"/>
    <w:rsid w:val="00263609"/>
    <w:rsid w:val="0026459C"/>
    <w:rsid w:val="00264C00"/>
    <w:rsid w:val="00265579"/>
    <w:rsid w:val="0026562A"/>
    <w:rsid w:val="0026587D"/>
    <w:rsid w:val="00265C2E"/>
    <w:rsid w:val="00265F20"/>
    <w:rsid w:val="00266815"/>
    <w:rsid w:val="00266E3D"/>
    <w:rsid w:val="00267A52"/>
    <w:rsid w:val="00267E72"/>
    <w:rsid w:val="00270C3C"/>
    <w:rsid w:val="00270D56"/>
    <w:rsid w:val="002721CA"/>
    <w:rsid w:val="00272A58"/>
    <w:rsid w:val="00273CFC"/>
    <w:rsid w:val="00275366"/>
    <w:rsid w:val="002757F5"/>
    <w:rsid w:val="00276841"/>
    <w:rsid w:val="00276A4F"/>
    <w:rsid w:val="00276AC7"/>
    <w:rsid w:val="00277729"/>
    <w:rsid w:val="00277BE1"/>
    <w:rsid w:val="00280917"/>
    <w:rsid w:val="00282AD0"/>
    <w:rsid w:val="002838A3"/>
    <w:rsid w:val="00283AA5"/>
    <w:rsid w:val="00283B88"/>
    <w:rsid w:val="00284500"/>
    <w:rsid w:val="00284C0B"/>
    <w:rsid w:val="00284E2A"/>
    <w:rsid w:val="00285BB9"/>
    <w:rsid w:val="00285DC6"/>
    <w:rsid w:val="00285E2B"/>
    <w:rsid w:val="00286840"/>
    <w:rsid w:val="00287041"/>
    <w:rsid w:val="002876C6"/>
    <w:rsid w:val="0028789B"/>
    <w:rsid w:val="00287C95"/>
    <w:rsid w:val="00290CE1"/>
    <w:rsid w:val="00290DFD"/>
    <w:rsid w:val="002924AF"/>
    <w:rsid w:val="002932FB"/>
    <w:rsid w:val="00293B43"/>
    <w:rsid w:val="00294183"/>
    <w:rsid w:val="00295659"/>
    <w:rsid w:val="00296F7F"/>
    <w:rsid w:val="002A08FC"/>
    <w:rsid w:val="002A185E"/>
    <w:rsid w:val="002A1AF5"/>
    <w:rsid w:val="002A292E"/>
    <w:rsid w:val="002A2AF2"/>
    <w:rsid w:val="002A3170"/>
    <w:rsid w:val="002A35D0"/>
    <w:rsid w:val="002A4F7E"/>
    <w:rsid w:val="002A5230"/>
    <w:rsid w:val="002A5314"/>
    <w:rsid w:val="002A59B2"/>
    <w:rsid w:val="002A6A3D"/>
    <w:rsid w:val="002A7A17"/>
    <w:rsid w:val="002A7D9E"/>
    <w:rsid w:val="002B0449"/>
    <w:rsid w:val="002B0DC2"/>
    <w:rsid w:val="002B122B"/>
    <w:rsid w:val="002B2ABD"/>
    <w:rsid w:val="002B2BE7"/>
    <w:rsid w:val="002B3BB4"/>
    <w:rsid w:val="002B505C"/>
    <w:rsid w:val="002B58B5"/>
    <w:rsid w:val="002B752C"/>
    <w:rsid w:val="002B754F"/>
    <w:rsid w:val="002C131F"/>
    <w:rsid w:val="002C1490"/>
    <w:rsid w:val="002C1C11"/>
    <w:rsid w:val="002C498A"/>
    <w:rsid w:val="002C4E10"/>
    <w:rsid w:val="002C5B32"/>
    <w:rsid w:val="002D0D0C"/>
    <w:rsid w:val="002D1632"/>
    <w:rsid w:val="002D1E31"/>
    <w:rsid w:val="002D2DD2"/>
    <w:rsid w:val="002D3753"/>
    <w:rsid w:val="002D386B"/>
    <w:rsid w:val="002D38E7"/>
    <w:rsid w:val="002D41BE"/>
    <w:rsid w:val="002D4E77"/>
    <w:rsid w:val="002D5188"/>
    <w:rsid w:val="002D53E6"/>
    <w:rsid w:val="002D599A"/>
    <w:rsid w:val="002D5A4B"/>
    <w:rsid w:val="002D60CB"/>
    <w:rsid w:val="002D6699"/>
    <w:rsid w:val="002D6833"/>
    <w:rsid w:val="002D741D"/>
    <w:rsid w:val="002D7C95"/>
    <w:rsid w:val="002E01F7"/>
    <w:rsid w:val="002E0380"/>
    <w:rsid w:val="002E1F20"/>
    <w:rsid w:val="002E2382"/>
    <w:rsid w:val="002E23A9"/>
    <w:rsid w:val="002E2459"/>
    <w:rsid w:val="002E3778"/>
    <w:rsid w:val="002E4C32"/>
    <w:rsid w:val="002E54D5"/>
    <w:rsid w:val="002E5B6E"/>
    <w:rsid w:val="002E7A56"/>
    <w:rsid w:val="002E7DA1"/>
    <w:rsid w:val="002E7E08"/>
    <w:rsid w:val="002F09B2"/>
    <w:rsid w:val="002F2104"/>
    <w:rsid w:val="002F22A9"/>
    <w:rsid w:val="002F4819"/>
    <w:rsid w:val="002F6386"/>
    <w:rsid w:val="002F6FC2"/>
    <w:rsid w:val="00300B28"/>
    <w:rsid w:val="003010D6"/>
    <w:rsid w:val="00301B2E"/>
    <w:rsid w:val="00301E7D"/>
    <w:rsid w:val="00302337"/>
    <w:rsid w:val="00302A54"/>
    <w:rsid w:val="00302C08"/>
    <w:rsid w:val="003032CF"/>
    <w:rsid w:val="00303CCF"/>
    <w:rsid w:val="003047C7"/>
    <w:rsid w:val="00305706"/>
    <w:rsid w:val="00306743"/>
    <w:rsid w:val="00306752"/>
    <w:rsid w:val="00306CBA"/>
    <w:rsid w:val="00306CDF"/>
    <w:rsid w:val="0030787E"/>
    <w:rsid w:val="003105BA"/>
    <w:rsid w:val="00310EE1"/>
    <w:rsid w:val="0031111A"/>
    <w:rsid w:val="00312627"/>
    <w:rsid w:val="00312812"/>
    <w:rsid w:val="00312BE7"/>
    <w:rsid w:val="003134A2"/>
    <w:rsid w:val="003137EC"/>
    <w:rsid w:val="00313C0D"/>
    <w:rsid w:val="003141A6"/>
    <w:rsid w:val="0031420F"/>
    <w:rsid w:val="0031491E"/>
    <w:rsid w:val="003154CE"/>
    <w:rsid w:val="00315984"/>
    <w:rsid w:val="00315FB7"/>
    <w:rsid w:val="00316D0F"/>
    <w:rsid w:val="003203FD"/>
    <w:rsid w:val="00321508"/>
    <w:rsid w:val="003219D4"/>
    <w:rsid w:val="00322485"/>
    <w:rsid w:val="00323032"/>
    <w:rsid w:val="00323482"/>
    <w:rsid w:val="00323FFF"/>
    <w:rsid w:val="00324020"/>
    <w:rsid w:val="003269EA"/>
    <w:rsid w:val="00327894"/>
    <w:rsid w:val="003306D3"/>
    <w:rsid w:val="00331455"/>
    <w:rsid w:val="00331582"/>
    <w:rsid w:val="00331605"/>
    <w:rsid w:val="00331F0B"/>
    <w:rsid w:val="0033245C"/>
    <w:rsid w:val="003325CF"/>
    <w:rsid w:val="003327C5"/>
    <w:rsid w:val="00332A2B"/>
    <w:rsid w:val="00334713"/>
    <w:rsid w:val="00335971"/>
    <w:rsid w:val="003361B3"/>
    <w:rsid w:val="00336D44"/>
    <w:rsid w:val="003372A9"/>
    <w:rsid w:val="00337A13"/>
    <w:rsid w:val="0034147A"/>
    <w:rsid w:val="00341944"/>
    <w:rsid w:val="0034290D"/>
    <w:rsid w:val="00345086"/>
    <w:rsid w:val="00345D6A"/>
    <w:rsid w:val="00346A3C"/>
    <w:rsid w:val="0034705B"/>
    <w:rsid w:val="00350DA6"/>
    <w:rsid w:val="00351D58"/>
    <w:rsid w:val="00351FE4"/>
    <w:rsid w:val="00352171"/>
    <w:rsid w:val="00353EC6"/>
    <w:rsid w:val="00354515"/>
    <w:rsid w:val="0035534B"/>
    <w:rsid w:val="00355B6B"/>
    <w:rsid w:val="003562A5"/>
    <w:rsid w:val="00360127"/>
    <w:rsid w:val="00361B10"/>
    <w:rsid w:val="00363823"/>
    <w:rsid w:val="00363A9B"/>
    <w:rsid w:val="003643ED"/>
    <w:rsid w:val="003651F7"/>
    <w:rsid w:val="00365EAA"/>
    <w:rsid w:val="00366302"/>
    <w:rsid w:val="0036633B"/>
    <w:rsid w:val="0036641D"/>
    <w:rsid w:val="003667A4"/>
    <w:rsid w:val="00366B7C"/>
    <w:rsid w:val="00366E8D"/>
    <w:rsid w:val="00366F12"/>
    <w:rsid w:val="00367356"/>
    <w:rsid w:val="00367394"/>
    <w:rsid w:val="003719F8"/>
    <w:rsid w:val="003725AB"/>
    <w:rsid w:val="0037342B"/>
    <w:rsid w:val="00373AF8"/>
    <w:rsid w:val="003745CD"/>
    <w:rsid w:val="00374B6F"/>
    <w:rsid w:val="00374FA8"/>
    <w:rsid w:val="00375795"/>
    <w:rsid w:val="00375D4D"/>
    <w:rsid w:val="00376285"/>
    <w:rsid w:val="00377081"/>
    <w:rsid w:val="00377497"/>
    <w:rsid w:val="00380AE3"/>
    <w:rsid w:val="00380EEA"/>
    <w:rsid w:val="00382368"/>
    <w:rsid w:val="00382878"/>
    <w:rsid w:val="00382CDC"/>
    <w:rsid w:val="00383096"/>
    <w:rsid w:val="00384B43"/>
    <w:rsid w:val="00385113"/>
    <w:rsid w:val="003855B4"/>
    <w:rsid w:val="00385A05"/>
    <w:rsid w:val="00386871"/>
    <w:rsid w:val="0038694D"/>
    <w:rsid w:val="0038786A"/>
    <w:rsid w:val="003878C5"/>
    <w:rsid w:val="00387B0E"/>
    <w:rsid w:val="003913DC"/>
    <w:rsid w:val="003919FD"/>
    <w:rsid w:val="00391C67"/>
    <w:rsid w:val="00392529"/>
    <w:rsid w:val="00392762"/>
    <w:rsid w:val="003938F1"/>
    <w:rsid w:val="00393C68"/>
    <w:rsid w:val="0039410D"/>
    <w:rsid w:val="0039469A"/>
    <w:rsid w:val="00395055"/>
    <w:rsid w:val="00395514"/>
    <w:rsid w:val="0039618A"/>
    <w:rsid w:val="00396B79"/>
    <w:rsid w:val="003A0469"/>
    <w:rsid w:val="003A0803"/>
    <w:rsid w:val="003A0A76"/>
    <w:rsid w:val="003A0FDF"/>
    <w:rsid w:val="003A2B34"/>
    <w:rsid w:val="003A3F04"/>
    <w:rsid w:val="003A4ECC"/>
    <w:rsid w:val="003A53F5"/>
    <w:rsid w:val="003A5A86"/>
    <w:rsid w:val="003A5DE9"/>
    <w:rsid w:val="003A5E1E"/>
    <w:rsid w:val="003A5FC8"/>
    <w:rsid w:val="003A62A9"/>
    <w:rsid w:val="003A6CCB"/>
    <w:rsid w:val="003B0250"/>
    <w:rsid w:val="003B0F8F"/>
    <w:rsid w:val="003B106A"/>
    <w:rsid w:val="003B19A6"/>
    <w:rsid w:val="003B23F3"/>
    <w:rsid w:val="003B2AC0"/>
    <w:rsid w:val="003B3586"/>
    <w:rsid w:val="003B4484"/>
    <w:rsid w:val="003B5604"/>
    <w:rsid w:val="003B56FA"/>
    <w:rsid w:val="003B5817"/>
    <w:rsid w:val="003B62D9"/>
    <w:rsid w:val="003B648E"/>
    <w:rsid w:val="003B65CF"/>
    <w:rsid w:val="003B67DC"/>
    <w:rsid w:val="003B6B18"/>
    <w:rsid w:val="003B723E"/>
    <w:rsid w:val="003B7270"/>
    <w:rsid w:val="003B79ED"/>
    <w:rsid w:val="003C0C45"/>
    <w:rsid w:val="003C0CFA"/>
    <w:rsid w:val="003C231E"/>
    <w:rsid w:val="003C2862"/>
    <w:rsid w:val="003C3100"/>
    <w:rsid w:val="003C5ADD"/>
    <w:rsid w:val="003C6635"/>
    <w:rsid w:val="003D0127"/>
    <w:rsid w:val="003D01D6"/>
    <w:rsid w:val="003D0A90"/>
    <w:rsid w:val="003D2789"/>
    <w:rsid w:val="003D28EE"/>
    <w:rsid w:val="003D4316"/>
    <w:rsid w:val="003D4BCC"/>
    <w:rsid w:val="003D52CE"/>
    <w:rsid w:val="003D5F0F"/>
    <w:rsid w:val="003D6517"/>
    <w:rsid w:val="003D7105"/>
    <w:rsid w:val="003D73DF"/>
    <w:rsid w:val="003D7FC6"/>
    <w:rsid w:val="003E05F8"/>
    <w:rsid w:val="003E1DDC"/>
    <w:rsid w:val="003E2F03"/>
    <w:rsid w:val="003E4F1F"/>
    <w:rsid w:val="003E6609"/>
    <w:rsid w:val="003E7245"/>
    <w:rsid w:val="003E7D15"/>
    <w:rsid w:val="003F067E"/>
    <w:rsid w:val="003F252C"/>
    <w:rsid w:val="003F3C88"/>
    <w:rsid w:val="003F4EFD"/>
    <w:rsid w:val="003F5536"/>
    <w:rsid w:val="003F5B81"/>
    <w:rsid w:val="003F5C88"/>
    <w:rsid w:val="003F683E"/>
    <w:rsid w:val="003F7090"/>
    <w:rsid w:val="003F776D"/>
    <w:rsid w:val="004013CD"/>
    <w:rsid w:val="004022EF"/>
    <w:rsid w:val="004024F6"/>
    <w:rsid w:val="004030A2"/>
    <w:rsid w:val="004032AA"/>
    <w:rsid w:val="00403D50"/>
    <w:rsid w:val="0040584C"/>
    <w:rsid w:val="004059CB"/>
    <w:rsid w:val="00405B8C"/>
    <w:rsid w:val="0040636B"/>
    <w:rsid w:val="0040683A"/>
    <w:rsid w:val="0041081F"/>
    <w:rsid w:val="00412182"/>
    <w:rsid w:val="0041279F"/>
    <w:rsid w:val="00414064"/>
    <w:rsid w:val="00414B22"/>
    <w:rsid w:val="00414CF9"/>
    <w:rsid w:val="00415BFC"/>
    <w:rsid w:val="00416413"/>
    <w:rsid w:val="00417C64"/>
    <w:rsid w:val="00420576"/>
    <w:rsid w:val="00420FA5"/>
    <w:rsid w:val="00421EA0"/>
    <w:rsid w:val="004222C3"/>
    <w:rsid w:val="00422A81"/>
    <w:rsid w:val="004232DC"/>
    <w:rsid w:val="00423F47"/>
    <w:rsid w:val="004241C5"/>
    <w:rsid w:val="0042434C"/>
    <w:rsid w:val="00424658"/>
    <w:rsid w:val="0042564B"/>
    <w:rsid w:val="0042592F"/>
    <w:rsid w:val="0042599B"/>
    <w:rsid w:val="00425D4F"/>
    <w:rsid w:val="00425D92"/>
    <w:rsid w:val="004260FD"/>
    <w:rsid w:val="004273E9"/>
    <w:rsid w:val="00427CCD"/>
    <w:rsid w:val="00431640"/>
    <w:rsid w:val="0043182D"/>
    <w:rsid w:val="004323FE"/>
    <w:rsid w:val="0043249C"/>
    <w:rsid w:val="00432533"/>
    <w:rsid w:val="00432BD6"/>
    <w:rsid w:val="00433DDF"/>
    <w:rsid w:val="00434211"/>
    <w:rsid w:val="0043514A"/>
    <w:rsid w:val="00435AC8"/>
    <w:rsid w:val="00436926"/>
    <w:rsid w:val="004374C8"/>
    <w:rsid w:val="00437569"/>
    <w:rsid w:val="00437938"/>
    <w:rsid w:val="00440F5D"/>
    <w:rsid w:val="00441DE1"/>
    <w:rsid w:val="00442C88"/>
    <w:rsid w:val="00443017"/>
    <w:rsid w:val="00444FA8"/>
    <w:rsid w:val="004453C1"/>
    <w:rsid w:val="0044548E"/>
    <w:rsid w:val="00446243"/>
    <w:rsid w:val="00446BD3"/>
    <w:rsid w:val="00446DA6"/>
    <w:rsid w:val="00446E6A"/>
    <w:rsid w:val="00447541"/>
    <w:rsid w:val="004476A5"/>
    <w:rsid w:val="00450586"/>
    <w:rsid w:val="00450607"/>
    <w:rsid w:val="00450A8B"/>
    <w:rsid w:val="00450FF4"/>
    <w:rsid w:val="004516A4"/>
    <w:rsid w:val="00452096"/>
    <w:rsid w:val="00452A04"/>
    <w:rsid w:val="00453711"/>
    <w:rsid w:val="004539F0"/>
    <w:rsid w:val="00453C24"/>
    <w:rsid w:val="00453E12"/>
    <w:rsid w:val="00454174"/>
    <w:rsid w:val="004549A6"/>
    <w:rsid w:val="00454D89"/>
    <w:rsid w:val="00455ADB"/>
    <w:rsid w:val="00455D35"/>
    <w:rsid w:val="004565ED"/>
    <w:rsid w:val="00456EEE"/>
    <w:rsid w:val="00457FDC"/>
    <w:rsid w:val="00461790"/>
    <w:rsid w:val="0046391A"/>
    <w:rsid w:val="00463B3B"/>
    <w:rsid w:val="00464388"/>
    <w:rsid w:val="00464504"/>
    <w:rsid w:val="004651D0"/>
    <w:rsid w:val="0046555B"/>
    <w:rsid w:val="00465625"/>
    <w:rsid w:val="00465779"/>
    <w:rsid w:val="0046683A"/>
    <w:rsid w:val="00466C62"/>
    <w:rsid w:val="00470626"/>
    <w:rsid w:val="004710D1"/>
    <w:rsid w:val="00471B05"/>
    <w:rsid w:val="00472211"/>
    <w:rsid w:val="004751A3"/>
    <w:rsid w:val="0047559E"/>
    <w:rsid w:val="00475824"/>
    <w:rsid w:val="00475B97"/>
    <w:rsid w:val="00476842"/>
    <w:rsid w:val="004778D0"/>
    <w:rsid w:val="00477D0E"/>
    <w:rsid w:val="00477EE0"/>
    <w:rsid w:val="004803A2"/>
    <w:rsid w:val="00480707"/>
    <w:rsid w:val="00480B9A"/>
    <w:rsid w:val="00480CCA"/>
    <w:rsid w:val="00481CC2"/>
    <w:rsid w:val="00482697"/>
    <w:rsid w:val="0048281B"/>
    <w:rsid w:val="00482946"/>
    <w:rsid w:val="004833E2"/>
    <w:rsid w:val="00483AA3"/>
    <w:rsid w:val="00483B18"/>
    <w:rsid w:val="00483CCF"/>
    <w:rsid w:val="00483F62"/>
    <w:rsid w:val="004843FA"/>
    <w:rsid w:val="004856B7"/>
    <w:rsid w:val="00485D03"/>
    <w:rsid w:val="0048789E"/>
    <w:rsid w:val="00487B32"/>
    <w:rsid w:val="00487C2A"/>
    <w:rsid w:val="00491B0A"/>
    <w:rsid w:val="004924B9"/>
    <w:rsid w:val="00493690"/>
    <w:rsid w:val="00493B98"/>
    <w:rsid w:val="00494951"/>
    <w:rsid w:val="00495606"/>
    <w:rsid w:val="004960E0"/>
    <w:rsid w:val="004974FC"/>
    <w:rsid w:val="00497F3F"/>
    <w:rsid w:val="004A06C0"/>
    <w:rsid w:val="004A22BC"/>
    <w:rsid w:val="004A25CD"/>
    <w:rsid w:val="004A3B2F"/>
    <w:rsid w:val="004A3F46"/>
    <w:rsid w:val="004A4A48"/>
    <w:rsid w:val="004A5296"/>
    <w:rsid w:val="004A61D0"/>
    <w:rsid w:val="004B1720"/>
    <w:rsid w:val="004B26BA"/>
    <w:rsid w:val="004B2A88"/>
    <w:rsid w:val="004B372C"/>
    <w:rsid w:val="004B37BF"/>
    <w:rsid w:val="004B37D7"/>
    <w:rsid w:val="004B41C9"/>
    <w:rsid w:val="004B4D64"/>
    <w:rsid w:val="004B4F0A"/>
    <w:rsid w:val="004B4FB4"/>
    <w:rsid w:val="004B5055"/>
    <w:rsid w:val="004B55A3"/>
    <w:rsid w:val="004B59EF"/>
    <w:rsid w:val="004B68F5"/>
    <w:rsid w:val="004B72F7"/>
    <w:rsid w:val="004C0A45"/>
    <w:rsid w:val="004C230D"/>
    <w:rsid w:val="004C3531"/>
    <w:rsid w:val="004C3A07"/>
    <w:rsid w:val="004C3A31"/>
    <w:rsid w:val="004C4493"/>
    <w:rsid w:val="004C55D2"/>
    <w:rsid w:val="004C607B"/>
    <w:rsid w:val="004C67D9"/>
    <w:rsid w:val="004C6988"/>
    <w:rsid w:val="004C71A9"/>
    <w:rsid w:val="004C7A4E"/>
    <w:rsid w:val="004C7A6C"/>
    <w:rsid w:val="004D0264"/>
    <w:rsid w:val="004D11E4"/>
    <w:rsid w:val="004D1331"/>
    <w:rsid w:val="004D1A64"/>
    <w:rsid w:val="004D1BB3"/>
    <w:rsid w:val="004D1C35"/>
    <w:rsid w:val="004D3022"/>
    <w:rsid w:val="004D42A0"/>
    <w:rsid w:val="004D4555"/>
    <w:rsid w:val="004D6919"/>
    <w:rsid w:val="004D7FEE"/>
    <w:rsid w:val="004E1CCC"/>
    <w:rsid w:val="004E1CDD"/>
    <w:rsid w:val="004E224D"/>
    <w:rsid w:val="004E2B68"/>
    <w:rsid w:val="004E2E92"/>
    <w:rsid w:val="004E35F9"/>
    <w:rsid w:val="004E3868"/>
    <w:rsid w:val="004E3F12"/>
    <w:rsid w:val="004E468C"/>
    <w:rsid w:val="004E6044"/>
    <w:rsid w:val="004E6762"/>
    <w:rsid w:val="004E735B"/>
    <w:rsid w:val="004E7483"/>
    <w:rsid w:val="004E7676"/>
    <w:rsid w:val="004E78B2"/>
    <w:rsid w:val="004E7AF9"/>
    <w:rsid w:val="004F0184"/>
    <w:rsid w:val="004F030D"/>
    <w:rsid w:val="004F11E2"/>
    <w:rsid w:val="004F20F5"/>
    <w:rsid w:val="004F241A"/>
    <w:rsid w:val="004F2BCA"/>
    <w:rsid w:val="004F3145"/>
    <w:rsid w:val="004F34B0"/>
    <w:rsid w:val="004F3CF8"/>
    <w:rsid w:val="004F4595"/>
    <w:rsid w:val="004F4D72"/>
    <w:rsid w:val="004F54AD"/>
    <w:rsid w:val="004F5C5B"/>
    <w:rsid w:val="004F5D95"/>
    <w:rsid w:val="004F5DF4"/>
    <w:rsid w:val="004F64EE"/>
    <w:rsid w:val="004F6DE0"/>
    <w:rsid w:val="004F710A"/>
    <w:rsid w:val="004F7147"/>
    <w:rsid w:val="004F71DF"/>
    <w:rsid w:val="004F74E1"/>
    <w:rsid w:val="004F7598"/>
    <w:rsid w:val="0050053D"/>
    <w:rsid w:val="00500714"/>
    <w:rsid w:val="00500766"/>
    <w:rsid w:val="00500955"/>
    <w:rsid w:val="00500A35"/>
    <w:rsid w:val="00501496"/>
    <w:rsid w:val="005019B0"/>
    <w:rsid w:val="00501FF3"/>
    <w:rsid w:val="00502AC5"/>
    <w:rsid w:val="005031FF"/>
    <w:rsid w:val="00503A34"/>
    <w:rsid w:val="0050401B"/>
    <w:rsid w:val="0050415A"/>
    <w:rsid w:val="00504619"/>
    <w:rsid w:val="005060A0"/>
    <w:rsid w:val="005101C8"/>
    <w:rsid w:val="0051047B"/>
    <w:rsid w:val="005106E2"/>
    <w:rsid w:val="005108A0"/>
    <w:rsid w:val="00510A7E"/>
    <w:rsid w:val="00511437"/>
    <w:rsid w:val="00511C45"/>
    <w:rsid w:val="005133E9"/>
    <w:rsid w:val="00513875"/>
    <w:rsid w:val="005144C6"/>
    <w:rsid w:val="0051580F"/>
    <w:rsid w:val="00515954"/>
    <w:rsid w:val="005159CF"/>
    <w:rsid w:val="00515FB3"/>
    <w:rsid w:val="00516D03"/>
    <w:rsid w:val="005174F4"/>
    <w:rsid w:val="00517831"/>
    <w:rsid w:val="00520FF3"/>
    <w:rsid w:val="00521FBD"/>
    <w:rsid w:val="0052229B"/>
    <w:rsid w:val="00522F93"/>
    <w:rsid w:val="00523069"/>
    <w:rsid w:val="005235D5"/>
    <w:rsid w:val="00523A8B"/>
    <w:rsid w:val="005247AC"/>
    <w:rsid w:val="0052572F"/>
    <w:rsid w:val="0052624D"/>
    <w:rsid w:val="0052699A"/>
    <w:rsid w:val="0053016E"/>
    <w:rsid w:val="0053382E"/>
    <w:rsid w:val="00533BCF"/>
    <w:rsid w:val="005349D2"/>
    <w:rsid w:val="00534BBC"/>
    <w:rsid w:val="00535FAF"/>
    <w:rsid w:val="00535FFF"/>
    <w:rsid w:val="00536064"/>
    <w:rsid w:val="00536555"/>
    <w:rsid w:val="00536D05"/>
    <w:rsid w:val="005379F9"/>
    <w:rsid w:val="00540470"/>
    <w:rsid w:val="0054067A"/>
    <w:rsid w:val="00540689"/>
    <w:rsid w:val="00540A77"/>
    <w:rsid w:val="0054193C"/>
    <w:rsid w:val="0054224F"/>
    <w:rsid w:val="00542A2C"/>
    <w:rsid w:val="005437E6"/>
    <w:rsid w:val="005439A2"/>
    <w:rsid w:val="00544876"/>
    <w:rsid w:val="00544B6C"/>
    <w:rsid w:val="00544EFC"/>
    <w:rsid w:val="00545234"/>
    <w:rsid w:val="00545238"/>
    <w:rsid w:val="00546B91"/>
    <w:rsid w:val="00546CE7"/>
    <w:rsid w:val="005473DD"/>
    <w:rsid w:val="0054757F"/>
    <w:rsid w:val="005476B1"/>
    <w:rsid w:val="005478FC"/>
    <w:rsid w:val="00547BDC"/>
    <w:rsid w:val="00547CE6"/>
    <w:rsid w:val="00550787"/>
    <w:rsid w:val="0055256B"/>
    <w:rsid w:val="00553606"/>
    <w:rsid w:val="00553A3F"/>
    <w:rsid w:val="00554C01"/>
    <w:rsid w:val="005557BC"/>
    <w:rsid w:val="00555A06"/>
    <w:rsid w:val="00555E78"/>
    <w:rsid w:val="00557183"/>
    <w:rsid w:val="00557F5B"/>
    <w:rsid w:val="005602BC"/>
    <w:rsid w:val="005604FE"/>
    <w:rsid w:val="00560628"/>
    <w:rsid w:val="00560CB4"/>
    <w:rsid w:val="0056141C"/>
    <w:rsid w:val="005615F3"/>
    <w:rsid w:val="005619F6"/>
    <w:rsid w:val="0056216E"/>
    <w:rsid w:val="00562731"/>
    <w:rsid w:val="00562E66"/>
    <w:rsid w:val="0056311E"/>
    <w:rsid w:val="005644C3"/>
    <w:rsid w:val="005646B7"/>
    <w:rsid w:val="0056472F"/>
    <w:rsid w:val="00564B5C"/>
    <w:rsid w:val="00564BE2"/>
    <w:rsid w:val="00564DF4"/>
    <w:rsid w:val="00565659"/>
    <w:rsid w:val="005656E6"/>
    <w:rsid w:val="00565A49"/>
    <w:rsid w:val="00567D88"/>
    <w:rsid w:val="005701CC"/>
    <w:rsid w:val="00570703"/>
    <w:rsid w:val="00570C84"/>
    <w:rsid w:val="00570CA3"/>
    <w:rsid w:val="00571CEA"/>
    <w:rsid w:val="00572521"/>
    <w:rsid w:val="005726D3"/>
    <w:rsid w:val="005751E4"/>
    <w:rsid w:val="00575596"/>
    <w:rsid w:val="005756D2"/>
    <w:rsid w:val="00575908"/>
    <w:rsid w:val="00575CDC"/>
    <w:rsid w:val="0057717A"/>
    <w:rsid w:val="005775FD"/>
    <w:rsid w:val="0057783A"/>
    <w:rsid w:val="00577F15"/>
    <w:rsid w:val="0058194B"/>
    <w:rsid w:val="00581D85"/>
    <w:rsid w:val="005820D7"/>
    <w:rsid w:val="005820E5"/>
    <w:rsid w:val="005823BC"/>
    <w:rsid w:val="005828B4"/>
    <w:rsid w:val="00582E1A"/>
    <w:rsid w:val="00582F99"/>
    <w:rsid w:val="00584CD0"/>
    <w:rsid w:val="00584DEC"/>
    <w:rsid w:val="0058515A"/>
    <w:rsid w:val="00585337"/>
    <w:rsid w:val="0059183A"/>
    <w:rsid w:val="00592BAE"/>
    <w:rsid w:val="00592D54"/>
    <w:rsid w:val="005930B4"/>
    <w:rsid w:val="0059332D"/>
    <w:rsid w:val="00593E4D"/>
    <w:rsid w:val="00594720"/>
    <w:rsid w:val="005950E7"/>
    <w:rsid w:val="005954B9"/>
    <w:rsid w:val="00595D4F"/>
    <w:rsid w:val="005A021F"/>
    <w:rsid w:val="005A0DF9"/>
    <w:rsid w:val="005A1531"/>
    <w:rsid w:val="005A1900"/>
    <w:rsid w:val="005A23B8"/>
    <w:rsid w:val="005A24EA"/>
    <w:rsid w:val="005A2E22"/>
    <w:rsid w:val="005A3F38"/>
    <w:rsid w:val="005A5238"/>
    <w:rsid w:val="005A5C16"/>
    <w:rsid w:val="005A784F"/>
    <w:rsid w:val="005B0CF0"/>
    <w:rsid w:val="005B0EAA"/>
    <w:rsid w:val="005B14D3"/>
    <w:rsid w:val="005B257E"/>
    <w:rsid w:val="005B2CCC"/>
    <w:rsid w:val="005B33FA"/>
    <w:rsid w:val="005B3636"/>
    <w:rsid w:val="005B382A"/>
    <w:rsid w:val="005B390A"/>
    <w:rsid w:val="005B3DF9"/>
    <w:rsid w:val="005B419E"/>
    <w:rsid w:val="005B5476"/>
    <w:rsid w:val="005B69B8"/>
    <w:rsid w:val="005B6BEB"/>
    <w:rsid w:val="005B7613"/>
    <w:rsid w:val="005B7685"/>
    <w:rsid w:val="005C178E"/>
    <w:rsid w:val="005C320F"/>
    <w:rsid w:val="005C3B27"/>
    <w:rsid w:val="005C4558"/>
    <w:rsid w:val="005C4A11"/>
    <w:rsid w:val="005C4C89"/>
    <w:rsid w:val="005C4D6C"/>
    <w:rsid w:val="005C4EA3"/>
    <w:rsid w:val="005C56D4"/>
    <w:rsid w:val="005C596A"/>
    <w:rsid w:val="005C5DC9"/>
    <w:rsid w:val="005C6FC2"/>
    <w:rsid w:val="005C76DB"/>
    <w:rsid w:val="005C79A7"/>
    <w:rsid w:val="005D0539"/>
    <w:rsid w:val="005D0A3D"/>
    <w:rsid w:val="005D13A1"/>
    <w:rsid w:val="005D20A0"/>
    <w:rsid w:val="005D2382"/>
    <w:rsid w:val="005D3339"/>
    <w:rsid w:val="005D3E5D"/>
    <w:rsid w:val="005D4136"/>
    <w:rsid w:val="005D51DC"/>
    <w:rsid w:val="005D5627"/>
    <w:rsid w:val="005D5941"/>
    <w:rsid w:val="005D5CFD"/>
    <w:rsid w:val="005D5F8B"/>
    <w:rsid w:val="005D7952"/>
    <w:rsid w:val="005E0889"/>
    <w:rsid w:val="005E15FD"/>
    <w:rsid w:val="005E229E"/>
    <w:rsid w:val="005E2E88"/>
    <w:rsid w:val="005E2F59"/>
    <w:rsid w:val="005E41E1"/>
    <w:rsid w:val="005E58A9"/>
    <w:rsid w:val="005E5C79"/>
    <w:rsid w:val="005E6360"/>
    <w:rsid w:val="005E6AD6"/>
    <w:rsid w:val="005E7231"/>
    <w:rsid w:val="005F07F0"/>
    <w:rsid w:val="005F087D"/>
    <w:rsid w:val="005F0D5C"/>
    <w:rsid w:val="005F1546"/>
    <w:rsid w:val="005F1FB8"/>
    <w:rsid w:val="005F2038"/>
    <w:rsid w:val="005F2562"/>
    <w:rsid w:val="005F29B1"/>
    <w:rsid w:val="005F39F4"/>
    <w:rsid w:val="005F485B"/>
    <w:rsid w:val="005F550E"/>
    <w:rsid w:val="005F5A39"/>
    <w:rsid w:val="005F5D3F"/>
    <w:rsid w:val="005F70F8"/>
    <w:rsid w:val="005F7933"/>
    <w:rsid w:val="00600A6E"/>
    <w:rsid w:val="00600F9E"/>
    <w:rsid w:val="00601049"/>
    <w:rsid w:val="006016FA"/>
    <w:rsid w:val="00601CE7"/>
    <w:rsid w:val="00601F28"/>
    <w:rsid w:val="0060208F"/>
    <w:rsid w:val="006026D6"/>
    <w:rsid w:val="00603563"/>
    <w:rsid w:val="006035D3"/>
    <w:rsid w:val="00603B28"/>
    <w:rsid w:val="00604DA5"/>
    <w:rsid w:val="006064B4"/>
    <w:rsid w:val="00607590"/>
    <w:rsid w:val="006101DE"/>
    <w:rsid w:val="006104EA"/>
    <w:rsid w:val="00610A4A"/>
    <w:rsid w:val="00611E09"/>
    <w:rsid w:val="00611E5D"/>
    <w:rsid w:val="00611F6B"/>
    <w:rsid w:val="006122BC"/>
    <w:rsid w:val="00613512"/>
    <w:rsid w:val="00613F0A"/>
    <w:rsid w:val="00614483"/>
    <w:rsid w:val="00615925"/>
    <w:rsid w:val="00621DC6"/>
    <w:rsid w:val="00622684"/>
    <w:rsid w:val="00622B80"/>
    <w:rsid w:val="006241B7"/>
    <w:rsid w:val="00624B61"/>
    <w:rsid w:val="0062579D"/>
    <w:rsid w:val="00626EA7"/>
    <w:rsid w:val="0062720E"/>
    <w:rsid w:val="0062792A"/>
    <w:rsid w:val="00630A0F"/>
    <w:rsid w:val="006328B2"/>
    <w:rsid w:val="0063295E"/>
    <w:rsid w:val="00633180"/>
    <w:rsid w:val="006336DA"/>
    <w:rsid w:val="00633CC0"/>
    <w:rsid w:val="00634457"/>
    <w:rsid w:val="00634684"/>
    <w:rsid w:val="006348DD"/>
    <w:rsid w:val="006348F6"/>
    <w:rsid w:val="006358A7"/>
    <w:rsid w:val="006359BD"/>
    <w:rsid w:val="00635B22"/>
    <w:rsid w:val="00635E1C"/>
    <w:rsid w:val="00636D16"/>
    <w:rsid w:val="00637140"/>
    <w:rsid w:val="0063754F"/>
    <w:rsid w:val="00640345"/>
    <w:rsid w:val="006412C2"/>
    <w:rsid w:val="00641AA9"/>
    <w:rsid w:val="006439FD"/>
    <w:rsid w:val="0064487A"/>
    <w:rsid w:val="00645701"/>
    <w:rsid w:val="00645E48"/>
    <w:rsid w:val="00646070"/>
    <w:rsid w:val="00646B8D"/>
    <w:rsid w:val="00647B5F"/>
    <w:rsid w:val="00650181"/>
    <w:rsid w:val="006509E8"/>
    <w:rsid w:val="00650A23"/>
    <w:rsid w:val="00650C4A"/>
    <w:rsid w:val="00650FA4"/>
    <w:rsid w:val="00650FC6"/>
    <w:rsid w:val="006520DB"/>
    <w:rsid w:val="0065288B"/>
    <w:rsid w:val="00652C9A"/>
    <w:rsid w:val="00653A48"/>
    <w:rsid w:val="00654220"/>
    <w:rsid w:val="00654E72"/>
    <w:rsid w:val="006551CF"/>
    <w:rsid w:val="00655912"/>
    <w:rsid w:val="00655BA6"/>
    <w:rsid w:val="006567B2"/>
    <w:rsid w:val="00656933"/>
    <w:rsid w:val="00656CD5"/>
    <w:rsid w:val="006606DD"/>
    <w:rsid w:val="00660E3D"/>
    <w:rsid w:val="00660F80"/>
    <w:rsid w:val="00662C4A"/>
    <w:rsid w:val="00664498"/>
    <w:rsid w:val="0066498B"/>
    <w:rsid w:val="00664F45"/>
    <w:rsid w:val="0066544D"/>
    <w:rsid w:val="006665D5"/>
    <w:rsid w:val="00666896"/>
    <w:rsid w:val="00667411"/>
    <w:rsid w:val="00667A2E"/>
    <w:rsid w:val="00671199"/>
    <w:rsid w:val="006714F3"/>
    <w:rsid w:val="006719C7"/>
    <w:rsid w:val="00672807"/>
    <w:rsid w:val="00674624"/>
    <w:rsid w:val="0067502D"/>
    <w:rsid w:val="00675147"/>
    <w:rsid w:val="0067634D"/>
    <w:rsid w:val="00676384"/>
    <w:rsid w:val="006764E6"/>
    <w:rsid w:val="00676900"/>
    <w:rsid w:val="006769D7"/>
    <w:rsid w:val="006775B9"/>
    <w:rsid w:val="00677E6D"/>
    <w:rsid w:val="00680E0A"/>
    <w:rsid w:val="00681E9B"/>
    <w:rsid w:val="0068224F"/>
    <w:rsid w:val="006828E5"/>
    <w:rsid w:val="00683508"/>
    <w:rsid w:val="00684CBE"/>
    <w:rsid w:val="006851D8"/>
    <w:rsid w:val="00685F03"/>
    <w:rsid w:val="0068616C"/>
    <w:rsid w:val="00687595"/>
    <w:rsid w:val="00690050"/>
    <w:rsid w:val="006902EE"/>
    <w:rsid w:val="00691514"/>
    <w:rsid w:val="0069159E"/>
    <w:rsid w:val="006917AA"/>
    <w:rsid w:val="0069266D"/>
    <w:rsid w:val="006938E6"/>
    <w:rsid w:val="00693960"/>
    <w:rsid w:val="00693D01"/>
    <w:rsid w:val="00694028"/>
    <w:rsid w:val="006941BD"/>
    <w:rsid w:val="0069432B"/>
    <w:rsid w:val="00695785"/>
    <w:rsid w:val="00695BB9"/>
    <w:rsid w:val="006961F0"/>
    <w:rsid w:val="00696358"/>
    <w:rsid w:val="0069700A"/>
    <w:rsid w:val="006977B6"/>
    <w:rsid w:val="006A09B8"/>
    <w:rsid w:val="006A175F"/>
    <w:rsid w:val="006A19C6"/>
    <w:rsid w:val="006A1A6A"/>
    <w:rsid w:val="006A2024"/>
    <w:rsid w:val="006A20A0"/>
    <w:rsid w:val="006A29E3"/>
    <w:rsid w:val="006A2AC6"/>
    <w:rsid w:val="006A3779"/>
    <w:rsid w:val="006A4C22"/>
    <w:rsid w:val="006A4D74"/>
    <w:rsid w:val="006A4EB8"/>
    <w:rsid w:val="006A538A"/>
    <w:rsid w:val="006A53F6"/>
    <w:rsid w:val="006A5579"/>
    <w:rsid w:val="006A5A01"/>
    <w:rsid w:val="006A6D56"/>
    <w:rsid w:val="006B0A8A"/>
    <w:rsid w:val="006B116F"/>
    <w:rsid w:val="006B2083"/>
    <w:rsid w:val="006B21EC"/>
    <w:rsid w:val="006B2A44"/>
    <w:rsid w:val="006B3555"/>
    <w:rsid w:val="006B4770"/>
    <w:rsid w:val="006B47BC"/>
    <w:rsid w:val="006B48AE"/>
    <w:rsid w:val="006B4A18"/>
    <w:rsid w:val="006B53E9"/>
    <w:rsid w:val="006B5A66"/>
    <w:rsid w:val="006B5EF7"/>
    <w:rsid w:val="006B6B2B"/>
    <w:rsid w:val="006B7A41"/>
    <w:rsid w:val="006C16CC"/>
    <w:rsid w:val="006C2129"/>
    <w:rsid w:val="006C2D3E"/>
    <w:rsid w:val="006C3343"/>
    <w:rsid w:val="006C494F"/>
    <w:rsid w:val="006C593D"/>
    <w:rsid w:val="006C5DD3"/>
    <w:rsid w:val="006C7224"/>
    <w:rsid w:val="006C7D65"/>
    <w:rsid w:val="006D002B"/>
    <w:rsid w:val="006D0806"/>
    <w:rsid w:val="006D0DF0"/>
    <w:rsid w:val="006D3495"/>
    <w:rsid w:val="006D349A"/>
    <w:rsid w:val="006D4269"/>
    <w:rsid w:val="006D4294"/>
    <w:rsid w:val="006D4F92"/>
    <w:rsid w:val="006D6BE9"/>
    <w:rsid w:val="006D6FEE"/>
    <w:rsid w:val="006D7556"/>
    <w:rsid w:val="006D7B04"/>
    <w:rsid w:val="006E00EF"/>
    <w:rsid w:val="006E0151"/>
    <w:rsid w:val="006E1D47"/>
    <w:rsid w:val="006E2F77"/>
    <w:rsid w:val="006E4959"/>
    <w:rsid w:val="006E4EF1"/>
    <w:rsid w:val="006E6FFD"/>
    <w:rsid w:val="006E739C"/>
    <w:rsid w:val="006E764E"/>
    <w:rsid w:val="006F0BF4"/>
    <w:rsid w:val="006F1A82"/>
    <w:rsid w:val="006F375D"/>
    <w:rsid w:val="006F3FAC"/>
    <w:rsid w:val="006F409C"/>
    <w:rsid w:val="006F4780"/>
    <w:rsid w:val="006F5089"/>
    <w:rsid w:val="006F576C"/>
    <w:rsid w:val="006F5995"/>
    <w:rsid w:val="006F7CF5"/>
    <w:rsid w:val="007010C3"/>
    <w:rsid w:val="007015BB"/>
    <w:rsid w:val="00702180"/>
    <w:rsid w:val="007036FF"/>
    <w:rsid w:val="00703884"/>
    <w:rsid w:val="00703F4F"/>
    <w:rsid w:val="007040C6"/>
    <w:rsid w:val="00704502"/>
    <w:rsid w:val="007046A4"/>
    <w:rsid w:val="00705810"/>
    <w:rsid w:val="00705DDB"/>
    <w:rsid w:val="00706F9B"/>
    <w:rsid w:val="007078BD"/>
    <w:rsid w:val="00707BFC"/>
    <w:rsid w:val="00710046"/>
    <w:rsid w:val="007103F6"/>
    <w:rsid w:val="0071043F"/>
    <w:rsid w:val="00710597"/>
    <w:rsid w:val="00711378"/>
    <w:rsid w:val="00711CB6"/>
    <w:rsid w:val="00711CE8"/>
    <w:rsid w:val="00711F71"/>
    <w:rsid w:val="00713A1A"/>
    <w:rsid w:val="00713AAA"/>
    <w:rsid w:val="00713BBA"/>
    <w:rsid w:val="00715605"/>
    <w:rsid w:val="007160B5"/>
    <w:rsid w:val="007164F6"/>
    <w:rsid w:val="007174F3"/>
    <w:rsid w:val="00717784"/>
    <w:rsid w:val="00717F92"/>
    <w:rsid w:val="00720604"/>
    <w:rsid w:val="00720B75"/>
    <w:rsid w:val="007217B2"/>
    <w:rsid w:val="007219B1"/>
    <w:rsid w:val="00721DFD"/>
    <w:rsid w:val="00722F84"/>
    <w:rsid w:val="007231D8"/>
    <w:rsid w:val="0072415F"/>
    <w:rsid w:val="00725A8C"/>
    <w:rsid w:val="0072630B"/>
    <w:rsid w:val="00730354"/>
    <w:rsid w:val="007317F8"/>
    <w:rsid w:val="00732381"/>
    <w:rsid w:val="00732B29"/>
    <w:rsid w:val="00733CB8"/>
    <w:rsid w:val="00734C5A"/>
    <w:rsid w:val="00735ECD"/>
    <w:rsid w:val="0073621C"/>
    <w:rsid w:val="00736977"/>
    <w:rsid w:val="00736E0A"/>
    <w:rsid w:val="00737181"/>
    <w:rsid w:val="00740509"/>
    <w:rsid w:val="007420A1"/>
    <w:rsid w:val="007426AB"/>
    <w:rsid w:val="00743C09"/>
    <w:rsid w:val="00744E80"/>
    <w:rsid w:val="00745839"/>
    <w:rsid w:val="0074618C"/>
    <w:rsid w:val="00746A5D"/>
    <w:rsid w:val="007470E5"/>
    <w:rsid w:val="007477D6"/>
    <w:rsid w:val="00747AF5"/>
    <w:rsid w:val="00750BC4"/>
    <w:rsid w:val="00751434"/>
    <w:rsid w:val="00752569"/>
    <w:rsid w:val="0075263C"/>
    <w:rsid w:val="00752A78"/>
    <w:rsid w:val="00752B9E"/>
    <w:rsid w:val="00753B86"/>
    <w:rsid w:val="0075516E"/>
    <w:rsid w:val="0075696F"/>
    <w:rsid w:val="00756DCC"/>
    <w:rsid w:val="00757EC8"/>
    <w:rsid w:val="00760B79"/>
    <w:rsid w:val="007616C0"/>
    <w:rsid w:val="00761DB8"/>
    <w:rsid w:val="00762D7A"/>
    <w:rsid w:val="00763D1B"/>
    <w:rsid w:val="0076413B"/>
    <w:rsid w:val="007646EA"/>
    <w:rsid w:val="007657AD"/>
    <w:rsid w:val="00765C11"/>
    <w:rsid w:val="00766486"/>
    <w:rsid w:val="00766F3A"/>
    <w:rsid w:val="00767088"/>
    <w:rsid w:val="0076781B"/>
    <w:rsid w:val="00770C86"/>
    <w:rsid w:val="00770F75"/>
    <w:rsid w:val="00772114"/>
    <w:rsid w:val="00772FA0"/>
    <w:rsid w:val="00772FDB"/>
    <w:rsid w:val="007730CC"/>
    <w:rsid w:val="00773425"/>
    <w:rsid w:val="00773804"/>
    <w:rsid w:val="00773DE9"/>
    <w:rsid w:val="00774271"/>
    <w:rsid w:val="007748C4"/>
    <w:rsid w:val="00775720"/>
    <w:rsid w:val="00775737"/>
    <w:rsid w:val="00775ACC"/>
    <w:rsid w:val="00780E57"/>
    <w:rsid w:val="00782843"/>
    <w:rsid w:val="00783E28"/>
    <w:rsid w:val="00784746"/>
    <w:rsid w:val="0078528E"/>
    <w:rsid w:val="007864B1"/>
    <w:rsid w:val="00786827"/>
    <w:rsid w:val="0078788E"/>
    <w:rsid w:val="007879B5"/>
    <w:rsid w:val="0079083C"/>
    <w:rsid w:val="00790DBE"/>
    <w:rsid w:val="0079100B"/>
    <w:rsid w:val="00791881"/>
    <w:rsid w:val="00792D43"/>
    <w:rsid w:val="007933A1"/>
    <w:rsid w:val="007941FF"/>
    <w:rsid w:val="0079540D"/>
    <w:rsid w:val="007964F6"/>
    <w:rsid w:val="007A02A7"/>
    <w:rsid w:val="007A170D"/>
    <w:rsid w:val="007A209E"/>
    <w:rsid w:val="007A295B"/>
    <w:rsid w:val="007A2C46"/>
    <w:rsid w:val="007A32E7"/>
    <w:rsid w:val="007A34CE"/>
    <w:rsid w:val="007A38B2"/>
    <w:rsid w:val="007A40B9"/>
    <w:rsid w:val="007A5B8F"/>
    <w:rsid w:val="007A6531"/>
    <w:rsid w:val="007A7D12"/>
    <w:rsid w:val="007B0389"/>
    <w:rsid w:val="007B0615"/>
    <w:rsid w:val="007B0F88"/>
    <w:rsid w:val="007B16CC"/>
    <w:rsid w:val="007B1731"/>
    <w:rsid w:val="007B2A19"/>
    <w:rsid w:val="007B3381"/>
    <w:rsid w:val="007B4A8C"/>
    <w:rsid w:val="007B6011"/>
    <w:rsid w:val="007B6466"/>
    <w:rsid w:val="007B6769"/>
    <w:rsid w:val="007B6DB5"/>
    <w:rsid w:val="007B7B84"/>
    <w:rsid w:val="007B7FF4"/>
    <w:rsid w:val="007C13AF"/>
    <w:rsid w:val="007C20D2"/>
    <w:rsid w:val="007C2411"/>
    <w:rsid w:val="007C2E3F"/>
    <w:rsid w:val="007C317D"/>
    <w:rsid w:val="007C4A83"/>
    <w:rsid w:val="007C5052"/>
    <w:rsid w:val="007C54DB"/>
    <w:rsid w:val="007C5FC8"/>
    <w:rsid w:val="007C7060"/>
    <w:rsid w:val="007C7DAE"/>
    <w:rsid w:val="007D09BC"/>
    <w:rsid w:val="007D27F6"/>
    <w:rsid w:val="007D3E69"/>
    <w:rsid w:val="007D4984"/>
    <w:rsid w:val="007D5998"/>
    <w:rsid w:val="007D7AB9"/>
    <w:rsid w:val="007E0448"/>
    <w:rsid w:val="007E0E8D"/>
    <w:rsid w:val="007E1D4B"/>
    <w:rsid w:val="007E1EE2"/>
    <w:rsid w:val="007E1F6B"/>
    <w:rsid w:val="007E2A94"/>
    <w:rsid w:val="007E2AE5"/>
    <w:rsid w:val="007E2CCE"/>
    <w:rsid w:val="007E2EF2"/>
    <w:rsid w:val="007E4407"/>
    <w:rsid w:val="007E4601"/>
    <w:rsid w:val="007E47B4"/>
    <w:rsid w:val="007E5AB4"/>
    <w:rsid w:val="007E607F"/>
    <w:rsid w:val="007E6BBB"/>
    <w:rsid w:val="007E7461"/>
    <w:rsid w:val="007E78CE"/>
    <w:rsid w:val="007F0F16"/>
    <w:rsid w:val="007F0F97"/>
    <w:rsid w:val="007F169B"/>
    <w:rsid w:val="007F3292"/>
    <w:rsid w:val="007F36CB"/>
    <w:rsid w:val="007F6E55"/>
    <w:rsid w:val="007F7D44"/>
    <w:rsid w:val="0080024D"/>
    <w:rsid w:val="008014F8"/>
    <w:rsid w:val="008024A6"/>
    <w:rsid w:val="00802560"/>
    <w:rsid w:val="00803E1F"/>
    <w:rsid w:val="00804C6D"/>
    <w:rsid w:val="00805A59"/>
    <w:rsid w:val="00806BB1"/>
    <w:rsid w:val="0080713A"/>
    <w:rsid w:val="008076DC"/>
    <w:rsid w:val="008079DF"/>
    <w:rsid w:val="00810414"/>
    <w:rsid w:val="0081050D"/>
    <w:rsid w:val="00810896"/>
    <w:rsid w:val="00810DE6"/>
    <w:rsid w:val="00810E66"/>
    <w:rsid w:val="008110A0"/>
    <w:rsid w:val="008112D0"/>
    <w:rsid w:val="00811627"/>
    <w:rsid w:val="00812770"/>
    <w:rsid w:val="008138BD"/>
    <w:rsid w:val="008139B8"/>
    <w:rsid w:val="00815779"/>
    <w:rsid w:val="00817548"/>
    <w:rsid w:val="00820639"/>
    <w:rsid w:val="008206F1"/>
    <w:rsid w:val="00821871"/>
    <w:rsid w:val="00821E31"/>
    <w:rsid w:val="00821E7C"/>
    <w:rsid w:val="00822529"/>
    <w:rsid w:val="00822FB7"/>
    <w:rsid w:val="00823484"/>
    <w:rsid w:val="00823F1A"/>
    <w:rsid w:val="00824356"/>
    <w:rsid w:val="00824447"/>
    <w:rsid w:val="008245C4"/>
    <w:rsid w:val="00825818"/>
    <w:rsid w:val="00826BF0"/>
    <w:rsid w:val="00827156"/>
    <w:rsid w:val="00827727"/>
    <w:rsid w:val="0083029E"/>
    <w:rsid w:val="00830719"/>
    <w:rsid w:val="00830E91"/>
    <w:rsid w:val="00830F25"/>
    <w:rsid w:val="00831CC0"/>
    <w:rsid w:val="00832AB7"/>
    <w:rsid w:val="00832CFF"/>
    <w:rsid w:val="00832F4F"/>
    <w:rsid w:val="00833004"/>
    <w:rsid w:val="00833EB1"/>
    <w:rsid w:val="00834094"/>
    <w:rsid w:val="00834502"/>
    <w:rsid w:val="0083565D"/>
    <w:rsid w:val="0083684C"/>
    <w:rsid w:val="00836B63"/>
    <w:rsid w:val="00836DDA"/>
    <w:rsid w:val="00836E87"/>
    <w:rsid w:val="00837444"/>
    <w:rsid w:val="00837712"/>
    <w:rsid w:val="008377E4"/>
    <w:rsid w:val="00837DE0"/>
    <w:rsid w:val="00841840"/>
    <w:rsid w:val="0084316D"/>
    <w:rsid w:val="00843181"/>
    <w:rsid w:val="00843CE4"/>
    <w:rsid w:val="008450C2"/>
    <w:rsid w:val="00846475"/>
    <w:rsid w:val="00846806"/>
    <w:rsid w:val="008509B6"/>
    <w:rsid w:val="00851AF2"/>
    <w:rsid w:val="008524D3"/>
    <w:rsid w:val="00853BE7"/>
    <w:rsid w:val="00854790"/>
    <w:rsid w:val="00854CB7"/>
    <w:rsid w:val="00854EA0"/>
    <w:rsid w:val="00855202"/>
    <w:rsid w:val="00855658"/>
    <w:rsid w:val="00855EEC"/>
    <w:rsid w:val="00855EF6"/>
    <w:rsid w:val="0085628D"/>
    <w:rsid w:val="0085681C"/>
    <w:rsid w:val="008570F8"/>
    <w:rsid w:val="00857612"/>
    <w:rsid w:val="00857C59"/>
    <w:rsid w:val="00860177"/>
    <w:rsid w:val="008610EB"/>
    <w:rsid w:val="00863D0D"/>
    <w:rsid w:val="00864654"/>
    <w:rsid w:val="00864EF1"/>
    <w:rsid w:val="008651E0"/>
    <w:rsid w:val="008653AC"/>
    <w:rsid w:val="00865FCE"/>
    <w:rsid w:val="00866218"/>
    <w:rsid w:val="008664A2"/>
    <w:rsid w:val="008670A4"/>
    <w:rsid w:val="008672F2"/>
    <w:rsid w:val="008676CE"/>
    <w:rsid w:val="00870A40"/>
    <w:rsid w:val="00871306"/>
    <w:rsid w:val="0087149D"/>
    <w:rsid w:val="00872714"/>
    <w:rsid w:val="0087321D"/>
    <w:rsid w:val="00873313"/>
    <w:rsid w:val="00873DB2"/>
    <w:rsid w:val="00874599"/>
    <w:rsid w:val="00875155"/>
    <w:rsid w:val="00875475"/>
    <w:rsid w:val="00875C68"/>
    <w:rsid w:val="0087634C"/>
    <w:rsid w:val="0087687B"/>
    <w:rsid w:val="00881A2E"/>
    <w:rsid w:val="008820E1"/>
    <w:rsid w:val="00882BCE"/>
    <w:rsid w:val="00884038"/>
    <w:rsid w:val="008845BF"/>
    <w:rsid w:val="00885BC0"/>
    <w:rsid w:val="008863DF"/>
    <w:rsid w:val="00886F3D"/>
    <w:rsid w:val="00887588"/>
    <w:rsid w:val="0088776C"/>
    <w:rsid w:val="00887831"/>
    <w:rsid w:val="00887C4D"/>
    <w:rsid w:val="00890759"/>
    <w:rsid w:val="00890ECA"/>
    <w:rsid w:val="0089190E"/>
    <w:rsid w:val="00892160"/>
    <w:rsid w:val="0089305E"/>
    <w:rsid w:val="00893D41"/>
    <w:rsid w:val="00894790"/>
    <w:rsid w:val="0089630F"/>
    <w:rsid w:val="00897890"/>
    <w:rsid w:val="008A0F98"/>
    <w:rsid w:val="008A198C"/>
    <w:rsid w:val="008A2E4C"/>
    <w:rsid w:val="008A32B9"/>
    <w:rsid w:val="008A33AF"/>
    <w:rsid w:val="008A43C5"/>
    <w:rsid w:val="008A4EA8"/>
    <w:rsid w:val="008A4F76"/>
    <w:rsid w:val="008A57C3"/>
    <w:rsid w:val="008A5C22"/>
    <w:rsid w:val="008A63A5"/>
    <w:rsid w:val="008A7AE0"/>
    <w:rsid w:val="008A7F47"/>
    <w:rsid w:val="008B0BFE"/>
    <w:rsid w:val="008B3443"/>
    <w:rsid w:val="008B38F2"/>
    <w:rsid w:val="008B448F"/>
    <w:rsid w:val="008B4DA1"/>
    <w:rsid w:val="008B62EC"/>
    <w:rsid w:val="008B649D"/>
    <w:rsid w:val="008B6B00"/>
    <w:rsid w:val="008B7587"/>
    <w:rsid w:val="008B79B5"/>
    <w:rsid w:val="008C0AB9"/>
    <w:rsid w:val="008C1150"/>
    <w:rsid w:val="008C1662"/>
    <w:rsid w:val="008C18F7"/>
    <w:rsid w:val="008C1FCC"/>
    <w:rsid w:val="008C2285"/>
    <w:rsid w:val="008C23D9"/>
    <w:rsid w:val="008C2D5F"/>
    <w:rsid w:val="008C3711"/>
    <w:rsid w:val="008C408B"/>
    <w:rsid w:val="008C4EC7"/>
    <w:rsid w:val="008C4F25"/>
    <w:rsid w:val="008C6C59"/>
    <w:rsid w:val="008C7BCC"/>
    <w:rsid w:val="008D02D8"/>
    <w:rsid w:val="008D0544"/>
    <w:rsid w:val="008D16B5"/>
    <w:rsid w:val="008D1D87"/>
    <w:rsid w:val="008D1EDF"/>
    <w:rsid w:val="008D242C"/>
    <w:rsid w:val="008D25E2"/>
    <w:rsid w:val="008D43E9"/>
    <w:rsid w:val="008D4492"/>
    <w:rsid w:val="008D57F1"/>
    <w:rsid w:val="008D5CD8"/>
    <w:rsid w:val="008D65BF"/>
    <w:rsid w:val="008D693D"/>
    <w:rsid w:val="008D795B"/>
    <w:rsid w:val="008D7BFC"/>
    <w:rsid w:val="008D7C49"/>
    <w:rsid w:val="008E0A9B"/>
    <w:rsid w:val="008E1962"/>
    <w:rsid w:val="008E1B60"/>
    <w:rsid w:val="008E2672"/>
    <w:rsid w:val="008E27F1"/>
    <w:rsid w:val="008E3C9E"/>
    <w:rsid w:val="008E43D2"/>
    <w:rsid w:val="008E5B85"/>
    <w:rsid w:val="008E6804"/>
    <w:rsid w:val="008E68CA"/>
    <w:rsid w:val="008E69FB"/>
    <w:rsid w:val="008E75D7"/>
    <w:rsid w:val="008E7607"/>
    <w:rsid w:val="008E7886"/>
    <w:rsid w:val="008F029A"/>
    <w:rsid w:val="008F13DF"/>
    <w:rsid w:val="008F3198"/>
    <w:rsid w:val="008F372F"/>
    <w:rsid w:val="008F3ABA"/>
    <w:rsid w:val="008F3B79"/>
    <w:rsid w:val="008F42F7"/>
    <w:rsid w:val="008F5ED9"/>
    <w:rsid w:val="008F621A"/>
    <w:rsid w:val="008F780A"/>
    <w:rsid w:val="008F7C04"/>
    <w:rsid w:val="008F7F35"/>
    <w:rsid w:val="00900BC7"/>
    <w:rsid w:val="0090172C"/>
    <w:rsid w:val="00901F02"/>
    <w:rsid w:val="009022D7"/>
    <w:rsid w:val="00902EFD"/>
    <w:rsid w:val="0090326D"/>
    <w:rsid w:val="00904306"/>
    <w:rsid w:val="00904E5A"/>
    <w:rsid w:val="00905165"/>
    <w:rsid w:val="00905271"/>
    <w:rsid w:val="0090564D"/>
    <w:rsid w:val="00905F04"/>
    <w:rsid w:val="00906C26"/>
    <w:rsid w:val="00906DCA"/>
    <w:rsid w:val="00906FB9"/>
    <w:rsid w:val="00910564"/>
    <w:rsid w:val="009117A9"/>
    <w:rsid w:val="00911B1D"/>
    <w:rsid w:val="009124EB"/>
    <w:rsid w:val="00912956"/>
    <w:rsid w:val="00912D2E"/>
    <w:rsid w:val="009142D3"/>
    <w:rsid w:val="00915FAC"/>
    <w:rsid w:val="009172A0"/>
    <w:rsid w:val="00917370"/>
    <w:rsid w:val="0091787C"/>
    <w:rsid w:val="009179A1"/>
    <w:rsid w:val="009216BE"/>
    <w:rsid w:val="00921B59"/>
    <w:rsid w:val="00921F76"/>
    <w:rsid w:val="00922B4C"/>
    <w:rsid w:val="0092320E"/>
    <w:rsid w:val="00923CD7"/>
    <w:rsid w:val="00924287"/>
    <w:rsid w:val="00926F3E"/>
    <w:rsid w:val="00927016"/>
    <w:rsid w:val="009270DD"/>
    <w:rsid w:val="0093109B"/>
    <w:rsid w:val="0093208A"/>
    <w:rsid w:val="00932440"/>
    <w:rsid w:val="00933547"/>
    <w:rsid w:val="00934515"/>
    <w:rsid w:val="00934BB7"/>
    <w:rsid w:val="00934D28"/>
    <w:rsid w:val="00935663"/>
    <w:rsid w:val="00935968"/>
    <w:rsid w:val="00935E40"/>
    <w:rsid w:val="00935FE5"/>
    <w:rsid w:val="009365D2"/>
    <w:rsid w:val="009369C2"/>
    <w:rsid w:val="00936BF4"/>
    <w:rsid w:val="00937B07"/>
    <w:rsid w:val="00940155"/>
    <w:rsid w:val="00941290"/>
    <w:rsid w:val="009413E0"/>
    <w:rsid w:val="009415E7"/>
    <w:rsid w:val="009429E4"/>
    <w:rsid w:val="00942B90"/>
    <w:rsid w:val="00943038"/>
    <w:rsid w:val="0094353F"/>
    <w:rsid w:val="0094368B"/>
    <w:rsid w:val="00943A98"/>
    <w:rsid w:val="009443B5"/>
    <w:rsid w:val="00944938"/>
    <w:rsid w:val="00944D13"/>
    <w:rsid w:val="0094560A"/>
    <w:rsid w:val="00945713"/>
    <w:rsid w:val="00945AF0"/>
    <w:rsid w:val="00946AB3"/>
    <w:rsid w:val="0095059B"/>
    <w:rsid w:val="00950887"/>
    <w:rsid w:val="00951489"/>
    <w:rsid w:val="00951515"/>
    <w:rsid w:val="00951AB9"/>
    <w:rsid w:val="00951D9A"/>
    <w:rsid w:val="00952032"/>
    <w:rsid w:val="00952142"/>
    <w:rsid w:val="009529B9"/>
    <w:rsid w:val="00952D65"/>
    <w:rsid w:val="00952DC7"/>
    <w:rsid w:val="00953165"/>
    <w:rsid w:val="009535BD"/>
    <w:rsid w:val="0095441F"/>
    <w:rsid w:val="00954822"/>
    <w:rsid w:val="00954B41"/>
    <w:rsid w:val="009551EB"/>
    <w:rsid w:val="00955648"/>
    <w:rsid w:val="00955C3F"/>
    <w:rsid w:val="00957929"/>
    <w:rsid w:val="00960C2D"/>
    <w:rsid w:val="00960FAC"/>
    <w:rsid w:val="00961237"/>
    <w:rsid w:val="009619AC"/>
    <w:rsid w:val="00961DDD"/>
    <w:rsid w:val="00961E5A"/>
    <w:rsid w:val="00961F6D"/>
    <w:rsid w:val="00962527"/>
    <w:rsid w:val="00962F1E"/>
    <w:rsid w:val="00963874"/>
    <w:rsid w:val="00964CA8"/>
    <w:rsid w:val="009651E1"/>
    <w:rsid w:val="0096611A"/>
    <w:rsid w:val="0096743A"/>
    <w:rsid w:val="00967BCC"/>
    <w:rsid w:val="00967D3A"/>
    <w:rsid w:val="00970338"/>
    <w:rsid w:val="00970640"/>
    <w:rsid w:val="0097079B"/>
    <w:rsid w:val="00971137"/>
    <w:rsid w:val="009716FD"/>
    <w:rsid w:val="00971F56"/>
    <w:rsid w:val="009730C6"/>
    <w:rsid w:val="00973D81"/>
    <w:rsid w:val="0097473F"/>
    <w:rsid w:val="0097540F"/>
    <w:rsid w:val="00975846"/>
    <w:rsid w:val="00976ED4"/>
    <w:rsid w:val="00976F68"/>
    <w:rsid w:val="00980450"/>
    <w:rsid w:val="00980A85"/>
    <w:rsid w:val="00980B64"/>
    <w:rsid w:val="00980CE5"/>
    <w:rsid w:val="0098178C"/>
    <w:rsid w:val="00981CA9"/>
    <w:rsid w:val="00982C18"/>
    <w:rsid w:val="009834F3"/>
    <w:rsid w:val="0098423E"/>
    <w:rsid w:val="00984319"/>
    <w:rsid w:val="00985F52"/>
    <w:rsid w:val="00986A3E"/>
    <w:rsid w:val="00986C04"/>
    <w:rsid w:val="009905FD"/>
    <w:rsid w:val="00990842"/>
    <w:rsid w:val="00990E4B"/>
    <w:rsid w:val="00991506"/>
    <w:rsid w:val="009918EF"/>
    <w:rsid w:val="00992793"/>
    <w:rsid w:val="00993919"/>
    <w:rsid w:val="00993F16"/>
    <w:rsid w:val="00994DC5"/>
    <w:rsid w:val="0099543C"/>
    <w:rsid w:val="00996D65"/>
    <w:rsid w:val="00996F53"/>
    <w:rsid w:val="009970DF"/>
    <w:rsid w:val="009974FD"/>
    <w:rsid w:val="00997E8C"/>
    <w:rsid w:val="00997EAF"/>
    <w:rsid w:val="009A0C8E"/>
    <w:rsid w:val="009A1396"/>
    <w:rsid w:val="009A2E2C"/>
    <w:rsid w:val="009A329F"/>
    <w:rsid w:val="009A37FB"/>
    <w:rsid w:val="009A3E06"/>
    <w:rsid w:val="009A4022"/>
    <w:rsid w:val="009A6241"/>
    <w:rsid w:val="009A73E4"/>
    <w:rsid w:val="009A7A60"/>
    <w:rsid w:val="009B0698"/>
    <w:rsid w:val="009B0BD8"/>
    <w:rsid w:val="009B0C40"/>
    <w:rsid w:val="009B15D1"/>
    <w:rsid w:val="009B16C0"/>
    <w:rsid w:val="009B2EE2"/>
    <w:rsid w:val="009B33BD"/>
    <w:rsid w:val="009B368C"/>
    <w:rsid w:val="009B409F"/>
    <w:rsid w:val="009B45FE"/>
    <w:rsid w:val="009B477C"/>
    <w:rsid w:val="009B7D1F"/>
    <w:rsid w:val="009C0D5E"/>
    <w:rsid w:val="009C0FEA"/>
    <w:rsid w:val="009C133F"/>
    <w:rsid w:val="009C16A9"/>
    <w:rsid w:val="009C1889"/>
    <w:rsid w:val="009C1A23"/>
    <w:rsid w:val="009C22FA"/>
    <w:rsid w:val="009C2D42"/>
    <w:rsid w:val="009C3093"/>
    <w:rsid w:val="009C4285"/>
    <w:rsid w:val="009C47A4"/>
    <w:rsid w:val="009C57A3"/>
    <w:rsid w:val="009C6EE0"/>
    <w:rsid w:val="009C77F5"/>
    <w:rsid w:val="009C7DB9"/>
    <w:rsid w:val="009D0847"/>
    <w:rsid w:val="009D1687"/>
    <w:rsid w:val="009D1DCD"/>
    <w:rsid w:val="009D2F98"/>
    <w:rsid w:val="009D3F54"/>
    <w:rsid w:val="009D5A2A"/>
    <w:rsid w:val="009D60C3"/>
    <w:rsid w:val="009D6B1A"/>
    <w:rsid w:val="009D75EA"/>
    <w:rsid w:val="009D7B91"/>
    <w:rsid w:val="009E0DFE"/>
    <w:rsid w:val="009E155E"/>
    <w:rsid w:val="009E2012"/>
    <w:rsid w:val="009E2C23"/>
    <w:rsid w:val="009E37AF"/>
    <w:rsid w:val="009E38E1"/>
    <w:rsid w:val="009E47E0"/>
    <w:rsid w:val="009E4A32"/>
    <w:rsid w:val="009E4CCA"/>
    <w:rsid w:val="009E4F59"/>
    <w:rsid w:val="009E596F"/>
    <w:rsid w:val="009E5DEA"/>
    <w:rsid w:val="009E644C"/>
    <w:rsid w:val="009E6D63"/>
    <w:rsid w:val="009E6FF5"/>
    <w:rsid w:val="009E773A"/>
    <w:rsid w:val="009F0235"/>
    <w:rsid w:val="009F05E4"/>
    <w:rsid w:val="009F0DC4"/>
    <w:rsid w:val="009F0EDC"/>
    <w:rsid w:val="009F1268"/>
    <w:rsid w:val="009F2A90"/>
    <w:rsid w:val="009F2E2F"/>
    <w:rsid w:val="009F2E31"/>
    <w:rsid w:val="009F5B5F"/>
    <w:rsid w:val="009F6225"/>
    <w:rsid w:val="009F6B64"/>
    <w:rsid w:val="009F79A7"/>
    <w:rsid w:val="009F7BA3"/>
    <w:rsid w:val="00A00381"/>
    <w:rsid w:val="00A00553"/>
    <w:rsid w:val="00A00A42"/>
    <w:rsid w:val="00A01143"/>
    <w:rsid w:val="00A01228"/>
    <w:rsid w:val="00A01A79"/>
    <w:rsid w:val="00A01E2B"/>
    <w:rsid w:val="00A02448"/>
    <w:rsid w:val="00A04EF4"/>
    <w:rsid w:val="00A05C12"/>
    <w:rsid w:val="00A05CE1"/>
    <w:rsid w:val="00A05D59"/>
    <w:rsid w:val="00A06656"/>
    <w:rsid w:val="00A07B45"/>
    <w:rsid w:val="00A1263F"/>
    <w:rsid w:val="00A127DF"/>
    <w:rsid w:val="00A12B6C"/>
    <w:rsid w:val="00A136B3"/>
    <w:rsid w:val="00A13962"/>
    <w:rsid w:val="00A20F34"/>
    <w:rsid w:val="00A213FF"/>
    <w:rsid w:val="00A21B15"/>
    <w:rsid w:val="00A21EA2"/>
    <w:rsid w:val="00A229EE"/>
    <w:rsid w:val="00A2416E"/>
    <w:rsid w:val="00A242FA"/>
    <w:rsid w:val="00A249EF"/>
    <w:rsid w:val="00A25CF8"/>
    <w:rsid w:val="00A2609D"/>
    <w:rsid w:val="00A270F0"/>
    <w:rsid w:val="00A2711F"/>
    <w:rsid w:val="00A27A3D"/>
    <w:rsid w:val="00A27B29"/>
    <w:rsid w:val="00A3147A"/>
    <w:rsid w:val="00A31A1B"/>
    <w:rsid w:val="00A31EB3"/>
    <w:rsid w:val="00A32A49"/>
    <w:rsid w:val="00A3411B"/>
    <w:rsid w:val="00A346FB"/>
    <w:rsid w:val="00A347EF"/>
    <w:rsid w:val="00A34E4C"/>
    <w:rsid w:val="00A34F90"/>
    <w:rsid w:val="00A34FB9"/>
    <w:rsid w:val="00A355CE"/>
    <w:rsid w:val="00A35B66"/>
    <w:rsid w:val="00A35B70"/>
    <w:rsid w:val="00A368EC"/>
    <w:rsid w:val="00A37316"/>
    <w:rsid w:val="00A37FFA"/>
    <w:rsid w:val="00A41301"/>
    <w:rsid w:val="00A414D7"/>
    <w:rsid w:val="00A422C5"/>
    <w:rsid w:val="00A42562"/>
    <w:rsid w:val="00A434F0"/>
    <w:rsid w:val="00A43F5D"/>
    <w:rsid w:val="00A4414A"/>
    <w:rsid w:val="00A44340"/>
    <w:rsid w:val="00A44A07"/>
    <w:rsid w:val="00A45A99"/>
    <w:rsid w:val="00A45F84"/>
    <w:rsid w:val="00A5080B"/>
    <w:rsid w:val="00A50E43"/>
    <w:rsid w:val="00A50E57"/>
    <w:rsid w:val="00A513DC"/>
    <w:rsid w:val="00A51875"/>
    <w:rsid w:val="00A53025"/>
    <w:rsid w:val="00A5548D"/>
    <w:rsid w:val="00A56D1D"/>
    <w:rsid w:val="00A577B2"/>
    <w:rsid w:val="00A57FF9"/>
    <w:rsid w:val="00A608D8"/>
    <w:rsid w:val="00A6145A"/>
    <w:rsid w:val="00A615EE"/>
    <w:rsid w:val="00A61835"/>
    <w:rsid w:val="00A62141"/>
    <w:rsid w:val="00A623C7"/>
    <w:rsid w:val="00A624C9"/>
    <w:rsid w:val="00A626F7"/>
    <w:rsid w:val="00A62BB9"/>
    <w:rsid w:val="00A63513"/>
    <w:rsid w:val="00A6455E"/>
    <w:rsid w:val="00A645F8"/>
    <w:rsid w:val="00A651AD"/>
    <w:rsid w:val="00A65BB1"/>
    <w:rsid w:val="00A66DA3"/>
    <w:rsid w:val="00A67C18"/>
    <w:rsid w:val="00A67F62"/>
    <w:rsid w:val="00A7181E"/>
    <w:rsid w:val="00A71C9B"/>
    <w:rsid w:val="00A72B70"/>
    <w:rsid w:val="00A74010"/>
    <w:rsid w:val="00A7444E"/>
    <w:rsid w:val="00A74F48"/>
    <w:rsid w:val="00A750B9"/>
    <w:rsid w:val="00A75974"/>
    <w:rsid w:val="00A77D78"/>
    <w:rsid w:val="00A80529"/>
    <w:rsid w:val="00A80EB0"/>
    <w:rsid w:val="00A83651"/>
    <w:rsid w:val="00A84246"/>
    <w:rsid w:val="00A84661"/>
    <w:rsid w:val="00A84FC7"/>
    <w:rsid w:val="00A857F2"/>
    <w:rsid w:val="00A863D1"/>
    <w:rsid w:val="00A86C3C"/>
    <w:rsid w:val="00A8740D"/>
    <w:rsid w:val="00A87A4C"/>
    <w:rsid w:val="00A90240"/>
    <w:rsid w:val="00A91287"/>
    <w:rsid w:val="00A91FD4"/>
    <w:rsid w:val="00A9372F"/>
    <w:rsid w:val="00A95B6A"/>
    <w:rsid w:val="00A96492"/>
    <w:rsid w:val="00A96C1E"/>
    <w:rsid w:val="00A96F2A"/>
    <w:rsid w:val="00A9709F"/>
    <w:rsid w:val="00A976C3"/>
    <w:rsid w:val="00AA02C7"/>
    <w:rsid w:val="00AA047B"/>
    <w:rsid w:val="00AA125E"/>
    <w:rsid w:val="00AA1D09"/>
    <w:rsid w:val="00AA22F7"/>
    <w:rsid w:val="00AA28FD"/>
    <w:rsid w:val="00AA310C"/>
    <w:rsid w:val="00AA336F"/>
    <w:rsid w:val="00AA5B6D"/>
    <w:rsid w:val="00AA5F7A"/>
    <w:rsid w:val="00AA6BC7"/>
    <w:rsid w:val="00AB01F6"/>
    <w:rsid w:val="00AB0A63"/>
    <w:rsid w:val="00AB0D1A"/>
    <w:rsid w:val="00AB164E"/>
    <w:rsid w:val="00AB2CE1"/>
    <w:rsid w:val="00AB352C"/>
    <w:rsid w:val="00AB4286"/>
    <w:rsid w:val="00AB5083"/>
    <w:rsid w:val="00AB6849"/>
    <w:rsid w:val="00AB714F"/>
    <w:rsid w:val="00AB7380"/>
    <w:rsid w:val="00AB7C65"/>
    <w:rsid w:val="00AC0169"/>
    <w:rsid w:val="00AC01D8"/>
    <w:rsid w:val="00AC0345"/>
    <w:rsid w:val="00AC0789"/>
    <w:rsid w:val="00AC0CC1"/>
    <w:rsid w:val="00AC11FF"/>
    <w:rsid w:val="00AC245F"/>
    <w:rsid w:val="00AC2EB1"/>
    <w:rsid w:val="00AC30D5"/>
    <w:rsid w:val="00AC5B09"/>
    <w:rsid w:val="00AC6442"/>
    <w:rsid w:val="00AC7CB5"/>
    <w:rsid w:val="00AD03C4"/>
    <w:rsid w:val="00AD149E"/>
    <w:rsid w:val="00AD1FF7"/>
    <w:rsid w:val="00AD357F"/>
    <w:rsid w:val="00AD3A60"/>
    <w:rsid w:val="00AD5218"/>
    <w:rsid w:val="00AD54C8"/>
    <w:rsid w:val="00AD5877"/>
    <w:rsid w:val="00AD599E"/>
    <w:rsid w:val="00AD636A"/>
    <w:rsid w:val="00AD6CE6"/>
    <w:rsid w:val="00AD7BD9"/>
    <w:rsid w:val="00AE0350"/>
    <w:rsid w:val="00AE0512"/>
    <w:rsid w:val="00AE0AA2"/>
    <w:rsid w:val="00AE0D23"/>
    <w:rsid w:val="00AE0E75"/>
    <w:rsid w:val="00AE139D"/>
    <w:rsid w:val="00AE2A87"/>
    <w:rsid w:val="00AE43FE"/>
    <w:rsid w:val="00AE5186"/>
    <w:rsid w:val="00AE5C57"/>
    <w:rsid w:val="00AE5C5A"/>
    <w:rsid w:val="00AE6987"/>
    <w:rsid w:val="00AE6CCA"/>
    <w:rsid w:val="00AE6CE4"/>
    <w:rsid w:val="00AE777C"/>
    <w:rsid w:val="00AF05F5"/>
    <w:rsid w:val="00AF198A"/>
    <w:rsid w:val="00AF249B"/>
    <w:rsid w:val="00AF2BD9"/>
    <w:rsid w:val="00AF30B6"/>
    <w:rsid w:val="00AF5147"/>
    <w:rsid w:val="00AF5817"/>
    <w:rsid w:val="00AF5876"/>
    <w:rsid w:val="00AF5A1D"/>
    <w:rsid w:val="00AF6412"/>
    <w:rsid w:val="00AF64D0"/>
    <w:rsid w:val="00AF66C8"/>
    <w:rsid w:val="00AF6F2B"/>
    <w:rsid w:val="00AF74B8"/>
    <w:rsid w:val="00B00433"/>
    <w:rsid w:val="00B00A4F"/>
    <w:rsid w:val="00B00C43"/>
    <w:rsid w:val="00B00F32"/>
    <w:rsid w:val="00B01AF1"/>
    <w:rsid w:val="00B01C58"/>
    <w:rsid w:val="00B032CD"/>
    <w:rsid w:val="00B05B51"/>
    <w:rsid w:val="00B06EED"/>
    <w:rsid w:val="00B0731B"/>
    <w:rsid w:val="00B07629"/>
    <w:rsid w:val="00B10009"/>
    <w:rsid w:val="00B12C39"/>
    <w:rsid w:val="00B12E97"/>
    <w:rsid w:val="00B131E2"/>
    <w:rsid w:val="00B14AB5"/>
    <w:rsid w:val="00B16D98"/>
    <w:rsid w:val="00B175A6"/>
    <w:rsid w:val="00B17693"/>
    <w:rsid w:val="00B176C5"/>
    <w:rsid w:val="00B1794B"/>
    <w:rsid w:val="00B17D65"/>
    <w:rsid w:val="00B17EDB"/>
    <w:rsid w:val="00B2060A"/>
    <w:rsid w:val="00B214B4"/>
    <w:rsid w:val="00B218EE"/>
    <w:rsid w:val="00B23A98"/>
    <w:rsid w:val="00B247BD"/>
    <w:rsid w:val="00B2493A"/>
    <w:rsid w:val="00B2499D"/>
    <w:rsid w:val="00B24A76"/>
    <w:rsid w:val="00B26521"/>
    <w:rsid w:val="00B26A33"/>
    <w:rsid w:val="00B26EEC"/>
    <w:rsid w:val="00B27348"/>
    <w:rsid w:val="00B30EB9"/>
    <w:rsid w:val="00B31B2C"/>
    <w:rsid w:val="00B31B78"/>
    <w:rsid w:val="00B31BB8"/>
    <w:rsid w:val="00B31F7E"/>
    <w:rsid w:val="00B3238F"/>
    <w:rsid w:val="00B334EE"/>
    <w:rsid w:val="00B3378F"/>
    <w:rsid w:val="00B33FC2"/>
    <w:rsid w:val="00B357A8"/>
    <w:rsid w:val="00B3611A"/>
    <w:rsid w:val="00B3618C"/>
    <w:rsid w:val="00B362C2"/>
    <w:rsid w:val="00B3661B"/>
    <w:rsid w:val="00B369CC"/>
    <w:rsid w:val="00B378AA"/>
    <w:rsid w:val="00B37FA8"/>
    <w:rsid w:val="00B400AB"/>
    <w:rsid w:val="00B40683"/>
    <w:rsid w:val="00B418F1"/>
    <w:rsid w:val="00B423EA"/>
    <w:rsid w:val="00B44544"/>
    <w:rsid w:val="00B46411"/>
    <w:rsid w:val="00B46D06"/>
    <w:rsid w:val="00B47345"/>
    <w:rsid w:val="00B4795A"/>
    <w:rsid w:val="00B47EEB"/>
    <w:rsid w:val="00B5019C"/>
    <w:rsid w:val="00B5165E"/>
    <w:rsid w:val="00B51868"/>
    <w:rsid w:val="00B520AE"/>
    <w:rsid w:val="00B53847"/>
    <w:rsid w:val="00B53EE5"/>
    <w:rsid w:val="00B5520A"/>
    <w:rsid w:val="00B55224"/>
    <w:rsid w:val="00B56925"/>
    <w:rsid w:val="00B57343"/>
    <w:rsid w:val="00B575C5"/>
    <w:rsid w:val="00B600DC"/>
    <w:rsid w:val="00B60AC5"/>
    <w:rsid w:val="00B61333"/>
    <w:rsid w:val="00B61D82"/>
    <w:rsid w:val="00B61E25"/>
    <w:rsid w:val="00B62561"/>
    <w:rsid w:val="00B628F2"/>
    <w:rsid w:val="00B62FA3"/>
    <w:rsid w:val="00B63E6B"/>
    <w:rsid w:val="00B64073"/>
    <w:rsid w:val="00B64B2C"/>
    <w:rsid w:val="00B652E8"/>
    <w:rsid w:val="00B65C19"/>
    <w:rsid w:val="00B665C7"/>
    <w:rsid w:val="00B665E7"/>
    <w:rsid w:val="00B708AB"/>
    <w:rsid w:val="00B708C2"/>
    <w:rsid w:val="00B73185"/>
    <w:rsid w:val="00B73392"/>
    <w:rsid w:val="00B75A0A"/>
    <w:rsid w:val="00B76923"/>
    <w:rsid w:val="00B769ED"/>
    <w:rsid w:val="00B76D03"/>
    <w:rsid w:val="00B77162"/>
    <w:rsid w:val="00B77E13"/>
    <w:rsid w:val="00B809A4"/>
    <w:rsid w:val="00B80B5D"/>
    <w:rsid w:val="00B81A6E"/>
    <w:rsid w:val="00B81D71"/>
    <w:rsid w:val="00B820DC"/>
    <w:rsid w:val="00B82282"/>
    <w:rsid w:val="00B82D1A"/>
    <w:rsid w:val="00B82FCD"/>
    <w:rsid w:val="00B84063"/>
    <w:rsid w:val="00B844FE"/>
    <w:rsid w:val="00B84964"/>
    <w:rsid w:val="00B853E2"/>
    <w:rsid w:val="00B85811"/>
    <w:rsid w:val="00B858AB"/>
    <w:rsid w:val="00B8669D"/>
    <w:rsid w:val="00B86F0E"/>
    <w:rsid w:val="00B870D8"/>
    <w:rsid w:val="00B8711B"/>
    <w:rsid w:val="00B879F2"/>
    <w:rsid w:val="00B9007A"/>
    <w:rsid w:val="00B911A0"/>
    <w:rsid w:val="00B91CFF"/>
    <w:rsid w:val="00B91FF7"/>
    <w:rsid w:val="00B92363"/>
    <w:rsid w:val="00B924A6"/>
    <w:rsid w:val="00B926AD"/>
    <w:rsid w:val="00B9326E"/>
    <w:rsid w:val="00B9336B"/>
    <w:rsid w:val="00B94C7A"/>
    <w:rsid w:val="00B961DA"/>
    <w:rsid w:val="00B968CA"/>
    <w:rsid w:val="00B96955"/>
    <w:rsid w:val="00B9718D"/>
    <w:rsid w:val="00B972B7"/>
    <w:rsid w:val="00B972CE"/>
    <w:rsid w:val="00BA08CA"/>
    <w:rsid w:val="00BA0C13"/>
    <w:rsid w:val="00BA1190"/>
    <w:rsid w:val="00BA1290"/>
    <w:rsid w:val="00BA12FC"/>
    <w:rsid w:val="00BA170F"/>
    <w:rsid w:val="00BA18A0"/>
    <w:rsid w:val="00BA28F0"/>
    <w:rsid w:val="00BA3070"/>
    <w:rsid w:val="00BA3654"/>
    <w:rsid w:val="00BA394F"/>
    <w:rsid w:val="00BA3D2F"/>
    <w:rsid w:val="00BA4323"/>
    <w:rsid w:val="00BA4336"/>
    <w:rsid w:val="00BA5C36"/>
    <w:rsid w:val="00BA74BB"/>
    <w:rsid w:val="00BA7760"/>
    <w:rsid w:val="00BA79BB"/>
    <w:rsid w:val="00BB0B83"/>
    <w:rsid w:val="00BB2172"/>
    <w:rsid w:val="00BB2696"/>
    <w:rsid w:val="00BB3062"/>
    <w:rsid w:val="00BB306A"/>
    <w:rsid w:val="00BB4C63"/>
    <w:rsid w:val="00BB5E11"/>
    <w:rsid w:val="00BB6FAA"/>
    <w:rsid w:val="00BB7BD3"/>
    <w:rsid w:val="00BC02CC"/>
    <w:rsid w:val="00BC0BF6"/>
    <w:rsid w:val="00BC0D2B"/>
    <w:rsid w:val="00BC13DF"/>
    <w:rsid w:val="00BC1843"/>
    <w:rsid w:val="00BC1957"/>
    <w:rsid w:val="00BC1C66"/>
    <w:rsid w:val="00BC1D4F"/>
    <w:rsid w:val="00BC2D18"/>
    <w:rsid w:val="00BC2D7D"/>
    <w:rsid w:val="00BC2DCA"/>
    <w:rsid w:val="00BC40DE"/>
    <w:rsid w:val="00BC4B04"/>
    <w:rsid w:val="00BC58C9"/>
    <w:rsid w:val="00BC5A6D"/>
    <w:rsid w:val="00BC5B6D"/>
    <w:rsid w:val="00BC6159"/>
    <w:rsid w:val="00BD0520"/>
    <w:rsid w:val="00BD1F59"/>
    <w:rsid w:val="00BD28D7"/>
    <w:rsid w:val="00BD2B17"/>
    <w:rsid w:val="00BD2F90"/>
    <w:rsid w:val="00BD31CA"/>
    <w:rsid w:val="00BD3A54"/>
    <w:rsid w:val="00BD4762"/>
    <w:rsid w:val="00BD4EAA"/>
    <w:rsid w:val="00BD599F"/>
    <w:rsid w:val="00BD5B8D"/>
    <w:rsid w:val="00BD5E4A"/>
    <w:rsid w:val="00BD628C"/>
    <w:rsid w:val="00BD6916"/>
    <w:rsid w:val="00BD78F2"/>
    <w:rsid w:val="00BE10A5"/>
    <w:rsid w:val="00BE145E"/>
    <w:rsid w:val="00BE196F"/>
    <w:rsid w:val="00BE2EB7"/>
    <w:rsid w:val="00BE36A1"/>
    <w:rsid w:val="00BE42FC"/>
    <w:rsid w:val="00BE5E0F"/>
    <w:rsid w:val="00BF0C6A"/>
    <w:rsid w:val="00BF0E42"/>
    <w:rsid w:val="00BF1865"/>
    <w:rsid w:val="00BF1D3F"/>
    <w:rsid w:val="00BF24D6"/>
    <w:rsid w:val="00BF2EDC"/>
    <w:rsid w:val="00BF2F2F"/>
    <w:rsid w:val="00BF303A"/>
    <w:rsid w:val="00BF3FDB"/>
    <w:rsid w:val="00BF46A4"/>
    <w:rsid w:val="00BF5AE3"/>
    <w:rsid w:val="00BF5D1F"/>
    <w:rsid w:val="00C00722"/>
    <w:rsid w:val="00C00899"/>
    <w:rsid w:val="00C00FE5"/>
    <w:rsid w:val="00C022F7"/>
    <w:rsid w:val="00C02DC6"/>
    <w:rsid w:val="00C033E1"/>
    <w:rsid w:val="00C0393F"/>
    <w:rsid w:val="00C04012"/>
    <w:rsid w:val="00C055A1"/>
    <w:rsid w:val="00C05785"/>
    <w:rsid w:val="00C0586E"/>
    <w:rsid w:val="00C05FF2"/>
    <w:rsid w:val="00C06800"/>
    <w:rsid w:val="00C06F22"/>
    <w:rsid w:val="00C110D2"/>
    <w:rsid w:val="00C112C2"/>
    <w:rsid w:val="00C11FF2"/>
    <w:rsid w:val="00C124C2"/>
    <w:rsid w:val="00C132D4"/>
    <w:rsid w:val="00C13DB4"/>
    <w:rsid w:val="00C147C4"/>
    <w:rsid w:val="00C1578C"/>
    <w:rsid w:val="00C15E3B"/>
    <w:rsid w:val="00C16677"/>
    <w:rsid w:val="00C1678E"/>
    <w:rsid w:val="00C169D5"/>
    <w:rsid w:val="00C16B81"/>
    <w:rsid w:val="00C17C97"/>
    <w:rsid w:val="00C22CAA"/>
    <w:rsid w:val="00C22F87"/>
    <w:rsid w:val="00C23317"/>
    <w:rsid w:val="00C23572"/>
    <w:rsid w:val="00C23E23"/>
    <w:rsid w:val="00C244C1"/>
    <w:rsid w:val="00C2461B"/>
    <w:rsid w:val="00C24681"/>
    <w:rsid w:val="00C248A1"/>
    <w:rsid w:val="00C24BA1"/>
    <w:rsid w:val="00C25A2B"/>
    <w:rsid w:val="00C26A13"/>
    <w:rsid w:val="00C26F75"/>
    <w:rsid w:val="00C27ADE"/>
    <w:rsid w:val="00C27D8E"/>
    <w:rsid w:val="00C30707"/>
    <w:rsid w:val="00C30BD8"/>
    <w:rsid w:val="00C31819"/>
    <w:rsid w:val="00C31FA1"/>
    <w:rsid w:val="00C326E8"/>
    <w:rsid w:val="00C328EC"/>
    <w:rsid w:val="00C32C5A"/>
    <w:rsid w:val="00C339CD"/>
    <w:rsid w:val="00C348A9"/>
    <w:rsid w:val="00C35A74"/>
    <w:rsid w:val="00C360B8"/>
    <w:rsid w:val="00C36727"/>
    <w:rsid w:val="00C36AF1"/>
    <w:rsid w:val="00C37358"/>
    <w:rsid w:val="00C375DC"/>
    <w:rsid w:val="00C37A96"/>
    <w:rsid w:val="00C37AD6"/>
    <w:rsid w:val="00C422CD"/>
    <w:rsid w:val="00C43E83"/>
    <w:rsid w:val="00C44927"/>
    <w:rsid w:val="00C44C05"/>
    <w:rsid w:val="00C44C72"/>
    <w:rsid w:val="00C451D4"/>
    <w:rsid w:val="00C45FAA"/>
    <w:rsid w:val="00C460B2"/>
    <w:rsid w:val="00C4649A"/>
    <w:rsid w:val="00C46520"/>
    <w:rsid w:val="00C466D1"/>
    <w:rsid w:val="00C4791B"/>
    <w:rsid w:val="00C518FE"/>
    <w:rsid w:val="00C51B57"/>
    <w:rsid w:val="00C51F91"/>
    <w:rsid w:val="00C5236E"/>
    <w:rsid w:val="00C539B9"/>
    <w:rsid w:val="00C547E0"/>
    <w:rsid w:val="00C550EA"/>
    <w:rsid w:val="00C553B8"/>
    <w:rsid w:val="00C563D9"/>
    <w:rsid w:val="00C576BA"/>
    <w:rsid w:val="00C579C5"/>
    <w:rsid w:val="00C57B7F"/>
    <w:rsid w:val="00C61183"/>
    <w:rsid w:val="00C61697"/>
    <w:rsid w:val="00C624EA"/>
    <w:rsid w:val="00C63CAA"/>
    <w:rsid w:val="00C647EA"/>
    <w:rsid w:val="00C64B48"/>
    <w:rsid w:val="00C64E21"/>
    <w:rsid w:val="00C65C37"/>
    <w:rsid w:val="00C65F51"/>
    <w:rsid w:val="00C66BA9"/>
    <w:rsid w:val="00C67277"/>
    <w:rsid w:val="00C67BE0"/>
    <w:rsid w:val="00C67C74"/>
    <w:rsid w:val="00C67F82"/>
    <w:rsid w:val="00C708F6"/>
    <w:rsid w:val="00C70E2B"/>
    <w:rsid w:val="00C71F86"/>
    <w:rsid w:val="00C72088"/>
    <w:rsid w:val="00C72CB7"/>
    <w:rsid w:val="00C730B9"/>
    <w:rsid w:val="00C76702"/>
    <w:rsid w:val="00C76A46"/>
    <w:rsid w:val="00C80371"/>
    <w:rsid w:val="00C80DFC"/>
    <w:rsid w:val="00C80E1A"/>
    <w:rsid w:val="00C81209"/>
    <w:rsid w:val="00C8312F"/>
    <w:rsid w:val="00C83B2E"/>
    <w:rsid w:val="00C83EDA"/>
    <w:rsid w:val="00C84BE9"/>
    <w:rsid w:val="00C84CD3"/>
    <w:rsid w:val="00C84F98"/>
    <w:rsid w:val="00C852B5"/>
    <w:rsid w:val="00C85441"/>
    <w:rsid w:val="00C85EA8"/>
    <w:rsid w:val="00C86986"/>
    <w:rsid w:val="00C86AC8"/>
    <w:rsid w:val="00C87553"/>
    <w:rsid w:val="00C90806"/>
    <w:rsid w:val="00C90B0D"/>
    <w:rsid w:val="00C91971"/>
    <w:rsid w:val="00C9223B"/>
    <w:rsid w:val="00C926FE"/>
    <w:rsid w:val="00C9288A"/>
    <w:rsid w:val="00C93621"/>
    <w:rsid w:val="00C95A0F"/>
    <w:rsid w:val="00C96298"/>
    <w:rsid w:val="00C9680E"/>
    <w:rsid w:val="00C968D1"/>
    <w:rsid w:val="00C97880"/>
    <w:rsid w:val="00CA09EB"/>
    <w:rsid w:val="00CA1904"/>
    <w:rsid w:val="00CA1A54"/>
    <w:rsid w:val="00CA1C04"/>
    <w:rsid w:val="00CA1C8D"/>
    <w:rsid w:val="00CA2618"/>
    <w:rsid w:val="00CA2985"/>
    <w:rsid w:val="00CA2B32"/>
    <w:rsid w:val="00CA3428"/>
    <w:rsid w:val="00CA3BEA"/>
    <w:rsid w:val="00CA5334"/>
    <w:rsid w:val="00CA59EC"/>
    <w:rsid w:val="00CA5D69"/>
    <w:rsid w:val="00CA5EE7"/>
    <w:rsid w:val="00CA7687"/>
    <w:rsid w:val="00CA7C7F"/>
    <w:rsid w:val="00CB0178"/>
    <w:rsid w:val="00CB193F"/>
    <w:rsid w:val="00CB254C"/>
    <w:rsid w:val="00CB2B3A"/>
    <w:rsid w:val="00CB490F"/>
    <w:rsid w:val="00CB5F23"/>
    <w:rsid w:val="00CB670E"/>
    <w:rsid w:val="00CB6E02"/>
    <w:rsid w:val="00CB7575"/>
    <w:rsid w:val="00CB76DA"/>
    <w:rsid w:val="00CB7972"/>
    <w:rsid w:val="00CB7D96"/>
    <w:rsid w:val="00CC01DF"/>
    <w:rsid w:val="00CC223F"/>
    <w:rsid w:val="00CC2A8A"/>
    <w:rsid w:val="00CC32BE"/>
    <w:rsid w:val="00CC33AD"/>
    <w:rsid w:val="00CC4973"/>
    <w:rsid w:val="00CC4FAB"/>
    <w:rsid w:val="00CC516B"/>
    <w:rsid w:val="00CC518F"/>
    <w:rsid w:val="00CC5200"/>
    <w:rsid w:val="00CC542F"/>
    <w:rsid w:val="00CC7EC2"/>
    <w:rsid w:val="00CD0477"/>
    <w:rsid w:val="00CD0598"/>
    <w:rsid w:val="00CD1ADC"/>
    <w:rsid w:val="00CD1FC7"/>
    <w:rsid w:val="00CD2421"/>
    <w:rsid w:val="00CD2ACD"/>
    <w:rsid w:val="00CD2E31"/>
    <w:rsid w:val="00CD3D3B"/>
    <w:rsid w:val="00CD7F7D"/>
    <w:rsid w:val="00CE1145"/>
    <w:rsid w:val="00CE1E70"/>
    <w:rsid w:val="00CE31FA"/>
    <w:rsid w:val="00CE3881"/>
    <w:rsid w:val="00CE3B55"/>
    <w:rsid w:val="00CE40AD"/>
    <w:rsid w:val="00CE5FB7"/>
    <w:rsid w:val="00CE67D5"/>
    <w:rsid w:val="00CE7C35"/>
    <w:rsid w:val="00CF0465"/>
    <w:rsid w:val="00CF109E"/>
    <w:rsid w:val="00CF25DB"/>
    <w:rsid w:val="00CF2A58"/>
    <w:rsid w:val="00CF2C79"/>
    <w:rsid w:val="00CF2EA5"/>
    <w:rsid w:val="00CF35BE"/>
    <w:rsid w:val="00CF3D6A"/>
    <w:rsid w:val="00CF4BD3"/>
    <w:rsid w:val="00CF53F0"/>
    <w:rsid w:val="00CF56A9"/>
    <w:rsid w:val="00CF5C36"/>
    <w:rsid w:val="00CF5C63"/>
    <w:rsid w:val="00CF5D5F"/>
    <w:rsid w:val="00CF5FD0"/>
    <w:rsid w:val="00CF6218"/>
    <w:rsid w:val="00CF76F4"/>
    <w:rsid w:val="00D003FC"/>
    <w:rsid w:val="00D01683"/>
    <w:rsid w:val="00D01982"/>
    <w:rsid w:val="00D019CA"/>
    <w:rsid w:val="00D01C45"/>
    <w:rsid w:val="00D022FB"/>
    <w:rsid w:val="00D02B4C"/>
    <w:rsid w:val="00D02F50"/>
    <w:rsid w:val="00D03106"/>
    <w:rsid w:val="00D031D3"/>
    <w:rsid w:val="00D03B8A"/>
    <w:rsid w:val="00D04F27"/>
    <w:rsid w:val="00D053BA"/>
    <w:rsid w:val="00D05B17"/>
    <w:rsid w:val="00D05EF7"/>
    <w:rsid w:val="00D06251"/>
    <w:rsid w:val="00D06D3F"/>
    <w:rsid w:val="00D10C7E"/>
    <w:rsid w:val="00D1132A"/>
    <w:rsid w:val="00D11B91"/>
    <w:rsid w:val="00D126E6"/>
    <w:rsid w:val="00D13BB2"/>
    <w:rsid w:val="00D13C6B"/>
    <w:rsid w:val="00D14AC9"/>
    <w:rsid w:val="00D1514D"/>
    <w:rsid w:val="00D16211"/>
    <w:rsid w:val="00D16822"/>
    <w:rsid w:val="00D16911"/>
    <w:rsid w:val="00D171CF"/>
    <w:rsid w:val="00D1794C"/>
    <w:rsid w:val="00D20106"/>
    <w:rsid w:val="00D2045B"/>
    <w:rsid w:val="00D2100B"/>
    <w:rsid w:val="00D21690"/>
    <w:rsid w:val="00D228CB"/>
    <w:rsid w:val="00D23E7E"/>
    <w:rsid w:val="00D26562"/>
    <w:rsid w:val="00D27A56"/>
    <w:rsid w:val="00D27E35"/>
    <w:rsid w:val="00D30777"/>
    <w:rsid w:val="00D31254"/>
    <w:rsid w:val="00D312FF"/>
    <w:rsid w:val="00D31525"/>
    <w:rsid w:val="00D32F94"/>
    <w:rsid w:val="00D3308D"/>
    <w:rsid w:val="00D33445"/>
    <w:rsid w:val="00D33626"/>
    <w:rsid w:val="00D337E3"/>
    <w:rsid w:val="00D33E4A"/>
    <w:rsid w:val="00D35043"/>
    <w:rsid w:val="00D35086"/>
    <w:rsid w:val="00D36079"/>
    <w:rsid w:val="00D36842"/>
    <w:rsid w:val="00D36BB2"/>
    <w:rsid w:val="00D405F5"/>
    <w:rsid w:val="00D4169B"/>
    <w:rsid w:val="00D43B32"/>
    <w:rsid w:val="00D43B73"/>
    <w:rsid w:val="00D43D92"/>
    <w:rsid w:val="00D445B6"/>
    <w:rsid w:val="00D44CF0"/>
    <w:rsid w:val="00D45372"/>
    <w:rsid w:val="00D453AD"/>
    <w:rsid w:val="00D46A2A"/>
    <w:rsid w:val="00D47C81"/>
    <w:rsid w:val="00D50C40"/>
    <w:rsid w:val="00D51E14"/>
    <w:rsid w:val="00D5301A"/>
    <w:rsid w:val="00D5383E"/>
    <w:rsid w:val="00D53FA9"/>
    <w:rsid w:val="00D540ED"/>
    <w:rsid w:val="00D5489D"/>
    <w:rsid w:val="00D55270"/>
    <w:rsid w:val="00D552E0"/>
    <w:rsid w:val="00D564CA"/>
    <w:rsid w:val="00D5728F"/>
    <w:rsid w:val="00D6063B"/>
    <w:rsid w:val="00D61680"/>
    <w:rsid w:val="00D61917"/>
    <w:rsid w:val="00D627CF"/>
    <w:rsid w:val="00D62AE9"/>
    <w:rsid w:val="00D62BA5"/>
    <w:rsid w:val="00D63519"/>
    <w:rsid w:val="00D6533F"/>
    <w:rsid w:val="00D66482"/>
    <w:rsid w:val="00D678BB"/>
    <w:rsid w:val="00D67ED1"/>
    <w:rsid w:val="00D70013"/>
    <w:rsid w:val="00D706AB"/>
    <w:rsid w:val="00D7101D"/>
    <w:rsid w:val="00D713C1"/>
    <w:rsid w:val="00D73121"/>
    <w:rsid w:val="00D73705"/>
    <w:rsid w:val="00D740FA"/>
    <w:rsid w:val="00D7496D"/>
    <w:rsid w:val="00D74F61"/>
    <w:rsid w:val="00D75AF0"/>
    <w:rsid w:val="00D75F98"/>
    <w:rsid w:val="00D7651F"/>
    <w:rsid w:val="00D77C04"/>
    <w:rsid w:val="00D805A9"/>
    <w:rsid w:val="00D816A8"/>
    <w:rsid w:val="00D8176E"/>
    <w:rsid w:val="00D818F2"/>
    <w:rsid w:val="00D81A3D"/>
    <w:rsid w:val="00D81CA1"/>
    <w:rsid w:val="00D81E0F"/>
    <w:rsid w:val="00D8291E"/>
    <w:rsid w:val="00D82D44"/>
    <w:rsid w:val="00D836CB"/>
    <w:rsid w:val="00D83A98"/>
    <w:rsid w:val="00D83E1E"/>
    <w:rsid w:val="00D84515"/>
    <w:rsid w:val="00D84B36"/>
    <w:rsid w:val="00D851C7"/>
    <w:rsid w:val="00D865F6"/>
    <w:rsid w:val="00D87208"/>
    <w:rsid w:val="00D87887"/>
    <w:rsid w:val="00D9149A"/>
    <w:rsid w:val="00D92A0E"/>
    <w:rsid w:val="00D92AB0"/>
    <w:rsid w:val="00D932F1"/>
    <w:rsid w:val="00D93717"/>
    <w:rsid w:val="00D941F0"/>
    <w:rsid w:val="00D9476F"/>
    <w:rsid w:val="00D94907"/>
    <w:rsid w:val="00D94D3F"/>
    <w:rsid w:val="00D97AE4"/>
    <w:rsid w:val="00D97B75"/>
    <w:rsid w:val="00DA00C3"/>
    <w:rsid w:val="00DA05F0"/>
    <w:rsid w:val="00DA09BF"/>
    <w:rsid w:val="00DA0A11"/>
    <w:rsid w:val="00DA0DF5"/>
    <w:rsid w:val="00DA285F"/>
    <w:rsid w:val="00DA2BB2"/>
    <w:rsid w:val="00DA3173"/>
    <w:rsid w:val="00DA36D3"/>
    <w:rsid w:val="00DA3894"/>
    <w:rsid w:val="00DA540A"/>
    <w:rsid w:val="00DA543D"/>
    <w:rsid w:val="00DA5FCD"/>
    <w:rsid w:val="00DA69F5"/>
    <w:rsid w:val="00DA7168"/>
    <w:rsid w:val="00DA7ED6"/>
    <w:rsid w:val="00DB03BE"/>
    <w:rsid w:val="00DB15E4"/>
    <w:rsid w:val="00DB2A16"/>
    <w:rsid w:val="00DB5544"/>
    <w:rsid w:val="00DB606C"/>
    <w:rsid w:val="00DB63C6"/>
    <w:rsid w:val="00DB66D7"/>
    <w:rsid w:val="00DB6FDC"/>
    <w:rsid w:val="00DC0F2F"/>
    <w:rsid w:val="00DC1876"/>
    <w:rsid w:val="00DC22BE"/>
    <w:rsid w:val="00DC241D"/>
    <w:rsid w:val="00DC265C"/>
    <w:rsid w:val="00DC2EAB"/>
    <w:rsid w:val="00DC2F2D"/>
    <w:rsid w:val="00DC4519"/>
    <w:rsid w:val="00DC4F11"/>
    <w:rsid w:val="00DC5D07"/>
    <w:rsid w:val="00DC6C65"/>
    <w:rsid w:val="00DC7A28"/>
    <w:rsid w:val="00DC7E92"/>
    <w:rsid w:val="00DD02E4"/>
    <w:rsid w:val="00DD05FB"/>
    <w:rsid w:val="00DD1431"/>
    <w:rsid w:val="00DD143A"/>
    <w:rsid w:val="00DD1F29"/>
    <w:rsid w:val="00DD2EBF"/>
    <w:rsid w:val="00DD4232"/>
    <w:rsid w:val="00DD452E"/>
    <w:rsid w:val="00DD4CD6"/>
    <w:rsid w:val="00DD5748"/>
    <w:rsid w:val="00DD5B7E"/>
    <w:rsid w:val="00DD686F"/>
    <w:rsid w:val="00DD7880"/>
    <w:rsid w:val="00DE0249"/>
    <w:rsid w:val="00DE1389"/>
    <w:rsid w:val="00DE1E51"/>
    <w:rsid w:val="00DE260A"/>
    <w:rsid w:val="00DE3425"/>
    <w:rsid w:val="00DE499E"/>
    <w:rsid w:val="00DE7D86"/>
    <w:rsid w:val="00DE7FB7"/>
    <w:rsid w:val="00DF0ACA"/>
    <w:rsid w:val="00DF1426"/>
    <w:rsid w:val="00DF20D7"/>
    <w:rsid w:val="00DF236D"/>
    <w:rsid w:val="00DF2493"/>
    <w:rsid w:val="00DF3C02"/>
    <w:rsid w:val="00DF416B"/>
    <w:rsid w:val="00DF6DD7"/>
    <w:rsid w:val="00DF7071"/>
    <w:rsid w:val="00DF7A68"/>
    <w:rsid w:val="00E00752"/>
    <w:rsid w:val="00E01DB0"/>
    <w:rsid w:val="00E025FB"/>
    <w:rsid w:val="00E0369E"/>
    <w:rsid w:val="00E03BFA"/>
    <w:rsid w:val="00E0430E"/>
    <w:rsid w:val="00E04449"/>
    <w:rsid w:val="00E04C47"/>
    <w:rsid w:val="00E05E4B"/>
    <w:rsid w:val="00E06101"/>
    <w:rsid w:val="00E06A1A"/>
    <w:rsid w:val="00E06FAF"/>
    <w:rsid w:val="00E07727"/>
    <w:rsid w:val="00E11EDE"/>
    <w:rsid w:val="00E13C17"/>
    <w:rsid w:val="00E152F2"/>
    <w:rsid w:val="00E15455"/>
    <w:rsid w:val="00E1555D"/>
    <w:rsid w:val="00E164D1"/>
    <w:rsid w:val="00E168AB"/>
    <w:rsid w:val="00E16AAF"/>
    <w:rsid w:val="00E20B7F"/>
    <w:rsid w:val="00E20F06"/>
    <w:rsid w:val="00E21628"/>
    <w:rsid w:val="00E21E0C"/>
    <w:rsid w:val="00E22C56"/>
    <w:rsid w:val="00E22D4C"/>
    <w:rsid w:val="00E23928"/>
    <w:rsid w:val="00E24C45"/>
    <w:rsid w:val="00E25245"/>
    <w:rsid w:val="00E25303"/>
    <w:rsid w:val="00E25357"/>
    <w:rsid w:val="00E25EC7"/>
    <w:rsid w:val="00E26176"/>
    <w:rsid w:val="00E263A8"/>
    <w:rsid w:val="00E26DAD"/>
    <w:rsid w:val="00E302A2"/>
    <w:rsid w:val="00E32CA2"/>
    <w:rsid w:val="00E33861"/>
    <w:rsid w:val="00E33F2E"/>
    <w:rsid w:val="00E34198"/>
    <w:rsid w:val="00E35748"/>
    <w:rsid w:val="00E357C7"/>
    <w:rsid w:val="00E36B01"/>
    <w:rsid w:val="00E374E8"/>
    <w:rsid w:val="00E3784E"/>
    <w:rsid w:val="00E40870"/>
    <w:rsid w:val="00E40E0D"/>
    <w:rsid w:val="00E42289"/>
    <w:rsid w:val="00E42533"/>
    <w:rsid w:val="00E428A8"/>
    <w:rsid w:val="00E42E2E"/>
    <w:rsid w:val="00E437B7"/>
    <w:rsid w:val="00E44E3C"/>
    <w:rsid w:val="00E45624"/>
    <w:rsid w:val="00E4718F"/>
    <w:rsid w:val="00E47BA3"/>
    <w:rsid w:val="00E5110A"/>
    <w:rsid w:val="00E511E5"/>
    <w:rsid w:val="00E51B45"/>
    <w:rsid w:val="00E51F30"/>
    <w:rsid w:val="00E52794"/>
    <w:rsid w:val="00E528B3"/>
    <w:rsid w:val="00E52CCE"/>
    <w:rsid w:val="00E52F1D"/>
    <w:rsid w:val="00E53817"/>
    <w:rsid w:val="00E54B24"/>
    <w:rsid w:val="00E557EA"/>
    <w:rsid w:val="00E559F9"/>
    <w:rsid w:val="00E5652E"/>
    <w:rsid w:val="00E571D5"/>
    <w:rsid w:val="00E619CD"/>
    <w:rsid w:val="00E62B0D"/>
    <w:rsid w:val="00E63AFD"/>
    <w:rsid w:val="00E641CD"/>
    <w:rsid w:val="00E64484"/>
    <w:rsid w:val="00E64568"/>
    <w:rsid w:val="00E64AAC"/>
    <w:rsid w:val="00E64EFB"/>
    <w:rsid w:val="00E64F00"/>
    <w:rsid w:val="00E661AF"/>
    <w:rsid w:val="00E665E8"/>
    <w:rsid w:val="00E66A19"/>
    <w:rsid w:val="00E672E6"/>
    <w:rsid w:val="00E707C9"/>
    <w:rsid w:val="00E708AC"/>
    <w:rsid w:val="00E7243A"/>
    <w:rsid w:val="00E72513"/>
    <w:rsid w:val="00E72C25"/>
    <w:rsid w:val="00E73447"/>
    <w:rsid w:val="00E7368E"/>
    <w:rsid w:val="00E75381"/>
    <w:rsid w:val="00E75BA6"/>
    <w:rsid w:val="00E760E4"/>
    <w:rsid w:val="00E7647E"/>
    <w:rsid w:val="00E76AE5"/>
    <w:rsid w:val="00E76D62"/>
    <w:rsid w:val="00E779BD"/>
    <w:rsid w:val="00E77AE1"/>
    <w:rsid w:val="00E8018D"/>
    <w:rsid w:val="00E803ED"/>
    <w:rsid w:val="00E804FC"/>
    <w:rsid w:val="00E80913"/>
    <w:rsid w:val="00E80EAE"/>
    <w:rsid w:val="00E80F5D"/>
    <w:rsid w:val="00E81B13"/>
    <w:rsid w:val="00E8319F"/>
    <w:rsid w:val="00E83786"/>
    <w:rsid w:val="00E83853"/>
    <w:rsid w:val="00E84388"/>
    <w:rsid w:val="00E8458C"/>
    <w:rsid w:val="00E84C64"/>
    <w:rsid w:val="00E8515B"/>
    <w:rsid w:val="00E8565F"/>
    <w:rsid w:val="00E863AA"/>
    <w:rsid w:val="00E86B37"/>
    <w:rsid w:val="00E86B48"/>
    <w:rsid w:val="00E86FB3"/>
    <w:rsid w:val="00E87B20"/>
    <w:rsid w:val="00E922E7"/>
    <w:rsid w:val="00E92E8C"/>
    <w:rsid w:val="00E93B19"/>
    <w:rsid w:val="00E960D1"/>
    <w:rsid w:val="00E9620B"/>
    <w:rsid w:val="00E9677A"/>
    <w:rsid w:val="00E976F9"/>
    <w:rsid w:val="00E97BEC"/>
    <w:rsid w:val="00E97D92"/>
    <w:rsid w:val="00EA0A1C"/>
    <w:rsid w:val="00EA1715"/>
    <w:rsid w:val="00EA181B"/>
    <w:rsid w:val="00EA1AF8"/>
    <w:rsid w:val="00EA24A5"/>
    <w:rsid w:val="00EA2E1A"/>
    <w:rsid w:val="00EA2F9D"/>
    <w:rsid w:val="00EA41B2"/>
    <w:rsid w:val="00EA43EB"/>
    <w:rsid w:val="00EA46F7"/>
    <w:rsid w:val="00EA4CA3"/>
    <w:rsid w:val="00EB0746"/>
    <w:rsid w:val="00EB0CB4"/>
    <w:rsid w:val="00EB1E18"/>
    <w:rsid w:val="00EB1FD8"/>
    <w:rsid w:val="00EB2C4D"/>
    <w:rsid w:val="00EB363A"/>
    <w:rsid w:val="00EB3E24"/>
    <w:rsid w:val="00EB4025"/>
    <w:rsid w:val="00EB417B"/>
    <w:rsid w:val="00EB54A3"/>
    <w:rsid w:val="00EB6B7A"/>
    <w:rsid w:val="00EB6C37"/>
    <w:rsid w:val="00EB7963"/>
    <w:rsid w:val="00EB79DA"/>
    <w:rsid w:val="00EC039A"/>
    <w:rsid w:val="00EC0750"/>
    <w:rsid w:val="00EC0A27"/>
    <w:rsid w:val="00EC0D23"/>
    <w:rsid w:val="00EC0E7D"/>
    <w:rsid w:val="00EC16ED"/>
    <w:rsid w:val="00EC2012"/>
    <w:rsid w:val="00EC2AF6"/>
    <w:rsid w:val="00EC3316"/>
    <w:rsid w:val="00EC3590"/>
    <w:rsid w:val="00EC5A91"/>
    <w:rsid w:val="00EC5C8A"/>
    <w:rsid w:val="00EC61ED"/>
    <w:rsid w:val="00EC61F3"/>
    <w:rsid w:val="00EC70F0"/>
    <w:rsid w:val="00EC792A"/>
    <w:rsid w:val="00EC7A2B"/>
    <w:rsid w:val="00ED04C3"/>
    <w:rsid w:val="00ED1A2E"/>
    <w:rsid w:val="00ED1DF1"/>
    <w:rsid w:val="00ED2738"/>
    <w:rsid w:val="00ED3969"/>
    <w:rsid w:val="00ED3A88"/>
    <w:rsid w:val="00ED4C0E"/>
    <w:rsid w:val="00ED4E1E"/>
    <w:rsid w:val="00ED5216"/>
    <w:rsid w:val="00ED5AB0"/>
    <w:rsid w:val="00ED6D6C"/>
    <w:rsid w:val="00ED6DD1"/>
    <w:rsid w:val="00EE0D13"/>
    <w:rsid w:val="00EE0EDB"/>
    <w:rsid w:val="00EE113C"/>
    <w:rsid w:val="00EE1833"/>
    <w:rsid w:val="00EE1A72"/>
    <w:rsid w:val="00EE3B7F"/>
    <w:rsid w:val="00EE497F"/>
    <w:rsid w:val="00EE5E09"/>
    <w:rsid w:val="00EE627C"/>
    <w:rsid w:val="00EE70EA"/>
    <w:rsid w:val="00EE7824"/>
    <w:rsid w:val="00EF18A3"/>
    <w:rsid w:val="00EF1DCB"/>
    <w:rsid w:val="00EF26F3"/>
    <w:rsid w:val="00EF2701"/>
    <w:rsid w:val="00EF2B01"/>
    <w:rsid w:val="00EF39ED"/>
    <w:rsid w:val="00EF7E5D"/>
    <w:rsid w:val="00F003DC"/>
    <w:rsid w:val="00F00BC1"/>
    <w:rsid w:val="00F00CB0"/>
    <w:rsid w:val="00F0103B"/>
    <w:rsid w:val="00F01BB1"/>
    <w:rsid w:val="00F01C6A"/>
    <w:rsid w:val="00F020A0"/>
    <w:rsid w:val="00F02307"/>
    <w:rsid w:val="00F031BE"/>
    <w:rsid w:val="00F03D24"/>
    <w:rsid w:val="00F05424"/>
    <w:rsid w:val="00F058F5"/>
    <w:rsid w:val="00F06388"/>
    <w:rsid w:val="00F06EBC"/>
    <w:rsid w:val="00F06FC1"/>
    <w:rsid w:val="00F075FA"/>
    <w:rsid w:val="00F10B45"/>
    <w:rsid w:val="00F10E96"/>
    <w:rsid w:val="00F10ED1"/>
    <w:rsid w:val="00F1162B"/>
    <w:rsid w:val="00F11E81"/>
    <w:rsid w:val="00F1275C"/>
    <w:rsid w:val="00F12EE0"/>
    <w:rsid w:val="00F130EA"/>
    <w:rsid w:val="00F14025"/>
    <w:rsid w:val="00F14663"/>
    <w:rsid w:val="00F15488"/>
    <w:rsid w:val="00F15EFD"/>
    <w:rsid w:val="00F169F5"/>
    <w:rsid w:val="00F21CD1"/>
    <w:rsid w:val="00F2213E"/>
    <w:rsid w:val="00F22D55"/>
    <w:rsid w:val="00F230E3"/>
    <w:rsid w:val="00F23A31"/>
    <w:rsid w:val="00F23F7A"/>
    <w:rsid w:val="00F23FCC"/>
    <w:rsid w:val="00F2485F"/>
    <w:rsid w:val="00F2536C"/>
    <w:rsid w:val="00F25A07"/>
    <w:rsid w:val="00F264B0"/>
    <w:rsid w:val="00F268B2"/>
    <w:rsid w:val="00F26C9B"/>
    <w:rsid w:val="00F27200"/>
    <w:rsid w:val="00F2783F"/>
    <w:rsid w:val="00F278BD"/>
    <w:rsid w:val="00F27A21"/>
    <w:rsid w:val="00F30073"/>
    <w:rsid w:val="00F30277"/>
    <w:rsid w:val="00F30542"/>
    <w:rsid w:val="00F306BB"/>
    <w:rsid w:val="00F30EAF"/>
    <w:rsid w:val="00F311E0"/>
    <w:rsid w:val="00F31D89"/>
    <w:rsid w:val="00F321AD"/>
    <w:rsid w:val="00F3270B"/>
    <w:rsid w:val="00F33923"/>
    <w:rsid w:val="00F33B83"/>
    <w:rsid w:val="00F33CEC"/>
    <w:rsid w:val="00F35B1D"/>
    <w:rsid w:val="00F36362"/>
    <w:rsid w:val="00F367B2"/>
    <w:rsid w:val="00F41111"/>
    <w:rsid w:val="00F41810"/>
    <w:rsid w:val="00F43040"/>
    <w:rsid w:val="00F43393"/>
    <w:rsid w:val="00F43AD9"/>
    <w:rsid w:val="00F43C22"/>
    <w:rsid w:val="00F4524E"/>
    <w:rsid w:val="00F455E8"/>
    <w:rsid w:val="00F45D99"/>
    <w:rsid w:val="00F46D5B"/>
    <w:rsid w:val="00F471CB"/>
    <w:rsid w:val="00F47574"/>
    <w:rsid w:val="00F47BD5"/>
    <w:rsid w:val="00F50CC3"/>
    <w:rsid w:val="00F50F5E"/>
    <w:rsid w:val="00F50FA9"/>
    <w:rsid w:val="00F53218"/>
    <w:rsid w:val="00F54639"/>
    <w:rsid w:val="00F54A2F"/>
    <w:rsid w:val="00F554D6"/>
    <w:rsid w:val="00F560B2"/>
    <w:rsid w:val="00F5634E"/>
    <w:rsid w:val="00F60DAA"/>
    <w:rsid w:val="00F61412"/>
    <w:rsid w:val="00F6335B"/>
    <w:rsid w:val="00F63AD9"/>
    <w:rsid w:val="00F644AD"/>
    <w:rsid w:val="00F661E3"/>
    <w:rsid w:val="00F6695E"/>
    <w:rsid w:val="00F6769D"/>
    <w:rsid w:val="00F7038A"/>
    <w:rsid w:val="00F71026"/>
    <w:rsid w:val="00F71867"/>
    <w:rsid w:val="00F7188D"/>
    <w:rsid w:val="00F7280C"/>
    <w:rsid w:val="00F72F82"/>
    <w:rsid w:val="00F73C17"/>
    <w:rsid w:val="00F756AC"/>
    <w:rsid w:val="00F75B2A"/>
    <w:rsid w:val="00F77136"/>
    <w:rsid w:val="00F77688"/>
    <w:rsid w:val="00F8177B"/>
    <w:rsid w:val="00F821DB"/>
    <w:rsid w:val="00F826FD"/>
    <w:rsid w:val="00F83AB0"/>
    <w:rsid w:val="00F84141"/>
    <w:rsid w:val="00F8519C"/>
    <w:rsid w:val="00F8683D"/>
    <w:rsid w:val="00F86B17"/>
    <w:rsid w:val="00F87054"/>
    <w:rsid w:val="00F87681"/>
    <w:rsid w:val="00F87FFC"/>
    <w:rsid w:val="00F9080A"/>
    <w:rsid w:val="00F90815"/>
    <w:rsid w:val="00F90D2A"/>
    <w:rsid w:val="00F91073"/>
    <w:rsid w:val="00F917A9"/>
    <w:rsid w:val="00F92B3C"/>
    <w:rsid w:val="00F92D76"/>
    <w:rsid w:val="00F934DC"/>
    <w:rsid w:val="00F94CFB"/>
    <w:rsid w:val="00F94F5A"/>
    <w:rsid w:val="00F9570F"/>
    <w:rsid w:val="00F95A06"/>
    <w:rsid w:val="00F96124"/>
    <w:rsid w:val="00F977A3"/>
    <w:rsid w:val="00F9794A"/>
    <w:rsid w:val="00FA00D9"/>
    <w:rsid w:val="00FA0CD4"/>
    <w:rsid w:val="00FA0D3C"/>
    <w:rsid w:val="00FA24EB"/>
    <w:rsid w:val="00FA2815"/>
    <w:rsid w:val="00FA31B9"/>
    <w:rsid w:val="00FA33F1"/>
    <w:rsid w:val="00FA3498"/>
    <w:rsid w:val="00FA3C58"/>
    <w:rsid w:val="00FA3FF8"/>
    <w:rsid w:val="00FA5A02"/>
    <w:rsid w:val="00FA5FA2"/>
    <w:rsid w:val="00FA6D27"/>
    <w:rsid w:val="00FA7148"/>
    <w:rsid w:val="00FB1C61"/>
    <w:rsid w:val="00FB2656"/>
    <w:rsid w:val="00FB26B3"/>
    <w:rsid w:val="00FB2CBC"/>
    <w:rsid w:val="00FB3636"/>
    <w:rsid w:val="00FB4068"/>
    <w:rsid w:val="00FB474F"/>
    <w:rsid w:val="00FB4764"/>
    <w:rsid w:val="00FB506C"/>
    <w:rsid w:val="00FB54E9"/>
    <w:rsid w:val="00FB55A9"/>
    <w:rsid w:val="00FB5C67"/>
    <w:rsid w:val="00FB5E4A"/>
    <w:rsid w:val="00FB65A0"/>
    <w:rsid w:val="00FC167D"/>
    <w:rsid w:val="00FC1AD8"/>
    <w:rsid w:val="00FC1BEC"/>
    <w:rsid w:val="00FC21ED"/>
    <w:rsid w:val="00FC377C"/>
    <w:rsid w:val="00FC3CD3"/>
    <w:rsid w:val="00FC42C7"/>
    <w:rsid w:val="00FC462E"/>
    <w:rsid w:val="00FC4CB6"/>
    <w:rsid w:val="00FC4FFB"/>
    <w:rsid w:val="00FC5D80"/>
    <w:rsid w:val="00FD0B2F"/>
    <w:rsid w:val="00FD0C72"/>
    <w:rsid w:val="00FD158F"/>
    <w:rsid w:val="00FD2457"/>
    <w:rsid w:val="00FD24C7"/>
    <w:rsid w:val="00FD3CAA"/>
    <w:rsid w:val="00FD439E"/>
    <w:rsid w:val="00FD45A8"/>
    <w:rsid w:val="00FD46A3"/>
    <w:rsid w:val="00FD745A"/>
    <w:rsid w:val="00FE00C6"/>
    <w:rsid w:val="00FE03D5"/>
    <w:rsid w:val="00FE047A"/>
    <w:rsid w:val="00FE0E3B"/>
    <w:rsid w:val="00FE1E75"/>
    <w:rsid w:val="00FE2BA1"/>
    <w:rsid w:val="00FE4617"/>
    <w:rsid w:val="00FE4984"/>
    <w:rsid w:val="00FE4E88"/>
    <w:rsid w:val="00FE4F8F"/>
    <w:rsid w:val="00FE567B"/>
    <w:rsid w:val="00FF08DE"/>
    <w:rsid w:val="00FF0D52"/>
    <w:rsid w:val="00FF1D01"/>
    <w:rsid w:val="00FF1E4B"/>
    <w:rsid w:val="00FF1EC5"/>
    <w:rsid w:val="00FF2368"/>
    <w:rsid w:val="00FF4568"/>
    <w:rsid w:val="00FF5B1A"/>
    <w:rsid w:val="00FF624A"/>
    <w:rsid w:val="00FF64B5"/>
    <w:rsid w:val="00FF6B00"/>
    <w:rsid w:val="00FF6DA9"/>
    <w:rsid w:val="00FF705C"/>
    <w:rsid w:val="00FF70A7"/>
    <w:rsid w:val="00FF7427"/>
    <w:rsid w:val="16A8D085"/>
    <w:rsid w:val="3C08E6C5"/>
    <w:rsid w:val="446EE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39416F0"/>
  <w15:chartTrackingRefBased/>
  <w15:docId w15:val="{E574AEBC-2291-4102-B744-5DA97C7F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9"/>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199"/>
    <w:pPr>
      <w:spacing w:after="200" w:line="276" w:lineRule="auto"/>
    </w:pPr>
  </w:style>
  <w:style w:type="paragraph" w:styleId="Heading1">
    <w:name w:val="heading 1"/>
    <w:aliases w:val="HEADING 1 MASTER"/>
    <w:basedOn w:val="Normal"/>
    <w:next w:val="Text1"/>
    <w:link w:val="Heading1Char"/>
    <w:qFormat/>
    <w:rsid w:val="00E025FB"/>
    <w:pPr>
      <w:keepNext/>
      <w:numPr>
        <w:numId w:val="3"/>
      </w:numPr>
      <w:spacing w:before="240" w:after="240" w:line="240" w:lineRule="auto"/>
      <w:jc w:val="both"/>
      <w:outlineLvl w:val="0"/>
    </w:pPr>
    <w:rPr>
      <w:rFonts w:ascii="Times New Roman" w:eastAsia="Times New Roman" w:hAnsi="Times New Roman" w:cs="Times New Roman"/>
      <w:b/>
      <w:smallCaps/>
      <w:sz w:val="24"/>
    </w:rPr>
  </w:style>
  <w:style w:type="paragraph" w:styleId="Heading2">
    <w:name w:val="heading 2"/>
    <w:basedOn w:val="Text1"/>
    <w:next w:val="Text2"/>
    <w:link w:val="Heading2Char"/>
    <w:qFormat/>
    <w:rsid w:val="00094199"/>
    <w:pPr>
      <w:numPr>
        <w:ilvl w:val="1"/>
        <w:numId w:val="77"/>
      </w:numPr>
      <w:spacing w:after="120"/>
      <w:outlineLvl w:val="1"/>
    </w:pPr>
    <w:rPr>
      <w:b/>
      <w:szCs w:val="24"/>
      <w:shd w:val="clear" w:color="auto" w:fill="FFFFFF"/>
    </w:rPr>
  </w:style>
  <w:style w:type="paragraph" w:styleId="Heading3">
    <w:name w:val="heading 3"/>
    <w:aliases w:val="Heading_3"/>
    <w:basedOn w:val="Heading2"/>
    <w:next w:val="Normal"/>
    <w:link w:val="Heading3Char"/>
    <w:qFormat/>
    <w:rsid w:val="00CF3D6A"/>
    <w:pPr>
      <w:numPr>
        <w:ilvl w:val="2"/>
      </w:numPr>
      <w:spacing w:before="240"/>
      <w:outlineLvl w:val="2"/>
    </w:pPr>
    <w:rPr>
      <w:i/>
    </w:rPr>
  </w:style>
  <w:style w:type="paragraph" w:styleId="Heading4">
    <w:name w:val="heading 4"/>
    <w:aliases w:val="Figures Only,Heading 4 CFMU,h4,Header 4,Numbered 4 (SBC),Heading 4 - SBC,dash,Map Title,H4,Topic Major,RFQ3,l4,4,4heading,heading4,heading,Subhead C,FigureHead,Level 2 - a,Sub Sub Paragraph,Titre 4-esis,mh,subhead 3,subhead 31,h41,subhead 32"/>
    <w:basedOn w:val="Normal"/>
    <w:next w:val="Normal"/>
    <w:link w:val="Heading4Char"/>
    <w:qFormat/>
    <w:rsid w:val="00E025FB"/>
    <w:pPr>
      <w:keepNext/>
      <w:numPr>
        <w:ilvl w:val="3"/>
        <w:numId w:val="3"/>
      </w:numPr>
      <w:spacing w:after="240" w:line="240" w:lineRule="auto"/>
      <w:jc w:val="both"/>
      <w:outlineLvl w:val="3"/>
    </w:pPr>
    <w:rPr>
      <w:rFonts w:ascii="Times New Roman" w:eastAsia="Times New Roman" w:hAnsi="Times New Roman" w:cs="Times New Roman"/>
      <w:sz w:val="24"/>
    </w:rPr>
  </w:style>
  <w:style w:type="paragraph" w:styleId="Heading5">
    <w:name w:val="heading 5"/>
    <w:aliases w:val="sub1,Roman list,5,H5,Heading 5 CFMU,Para 5,h5,Header 5,Numbered 5 (SBC),UEH5,Subhead 1,Heading_4"/>
    <w:basedOn w:val="Normal"/>
    <w:next w:val="Normal"/>
    <w:link w:val="Heading5Char"/>
    <w:uiPriority w:val="9"/>
    <w:unhideWhenUsed/>
    <w:qFormat/>
    <w:rsid w:val="00F554D6"/>
    <w:pPr>
      <w:keepNext/>
      <w:keepLines/>
      <w:spacing w:before="40" w:after="0" w:line="259" w:lineRule="auto"/>
      <w:outlineLvl w:val="4"/>
    </w:pPr>
    <w:rPr>
      <w:rFonts w:asciiTheme="majorHAnsi" w:eastAsiaTheme="majorEastAsia" w:hAnsiTheme="majorHAnsi" w:cstheme="majorBidi"/>
      <w:noProof/>
      <w:color w:val="2E74B5" w:themeColor="accent1" w:themeShade="BF"/>
      <w:sz w:val="22"/>
      <w:szCs w:val="22"/>
      <w:lang w:val="en-GB"/>
    </w:rPr>
  </w:style>
  <w:style w:type="paragraph" w:styleId="Heading6">
    <w:name w:val="heading 6"/>
    <w:aliases w:val="sub2,b,Heading 6 CFMU,h6,Header 6,UEH6,Heading 6 CFMU1,Heading 6 CFMU2,Heading 6 CFMU3,Heading 6 CFMU4,Heading 6 CFMU5,Para 6,H6,Legal Level 1.,Heading 6  Appendix Y &amp; Z"/>
    <w:basedOn w:val="Normal"/>
    <w:next w:val="Normal"/>
    <w:link w:val="Heading6Char"/>
    <w:uiPriority w:val="9"/>
    <w:qFormat/>
    <w:rsid w:val="000F4A66"/>
    <w:pPr>
      <w:tabs>
        <w:tab w:val="num" w:pos="0"/>
      </w:tabs>
      <w:spacing w:before="240" w:after="60" w:line="240" w:lineRule="auto"/>
      <w:ind w:left="1152" w:hanging="1152"/>
      <w:jc w:val="both"/>
      <w:outlineLvl w:val="5"/>
    </w:pPr>
    <w:rPr>
      <w:rFonts w:ascii="Arial" w:eastAsia="Times New Roman" w:hAnsi="Arial" w:cs="Times New Roman"/>
      <w:i/>
      <w:sz w:val="22"/>
      <w:lang w:val="fr-FR"/>
    </w:rPr>
  </w:style>
  <w:style w:type="paragraph" w:styleId="Heading7">
    <w:name w:val="heading 7"/>
    <w:aliases w:val="letter list,lettered list,Heading 7 CFMU,h7,Header 7,Legal Level 1.1.,sub3,Heading 7 (do not use),Para 7,H7,TITRE PARTIE"/>
    <w:basedOn w:val="Normal"/>
    <w:next w:val="Normal"/>
    <w:link w:val="Heading7Char"/>
    <w:uiPriority w:val="9"/>
    <w:qFormat/>
    <w:rsid w:val="000F4A66"/>
    <w:pPr>
      <w:tabs>
        <w:tab w:val="num" w:pos="0"/>
      </w:tabs>
      <w:spacing w:before="240" w:after="60" w:line="240" w:lineRule="auto"/>
      <w:ind w:left="1296" w:hanging="1296"/>
      <w:jc w:val="both"/>
      <w:outlineLvl w:val="6"/>
    </w:pPr>
    <w:rPr>
      <w:rFonts w:ascii="Arial" w:eastAsia="Times New Roman" w:hAnsi="Arial" w:cs="Times New Roman"/>
      <w:lang w:val="fr-FR"/>
    </w:rPr>
  </w:style>
  <w:style w:type="paragraph" w:styleId="Heading8">
    <w:name w:val="heading 8"/>
    <w:aliases w:val="sub4,Heading 8 (do not use),Heading 8 CFMU,h8,Header 8,ASAPHeading 8,8,Titolo8,action,action1,action2,action11,action3,action4,action5,action6,action7,action12,action21,action111,action31,action8,action13,action22,action112,action32"/>
    <w:basedOn w:val="Normal"/>
    <w:next w:val="Normal"/>
    <w:link w:val="Heading8Char"/>
    <w:uiPriority w:val="9"/>
    <w:qFormat/>
    <w:rsid w:val="000F4A66"/>
    <w:pPr>
      <w:tabs>
        <w:tab w:val="num" w:pos="0"/>
      </w:tabs>
      <w:spacing w:before="240" w:after="60" w:line="240" w:lineRule="auto"/>
      <w:ind w:left="1440" w:hanging="1440"/>
      <w:jc w:val="both"/>
      <w:outlineLvl w:val="7"/>
    </w:pPr>
    <w:rPr>
      <w:rFonts w:ascii="Arial" w:eastAsia="Times New Roman" w:hAnsi="Arial" w:cs="Times New Roman"/>
      <w:i/>
      <w:lang w:val="fr-FR"/>
    </w:rPr>
  </w:style>
  <w:style w:type="paragraph" w:styleId="Heading9">
    <w:name w:val="heading 9"/>
    <w:aliases w:val="sub5,Heading 9 (do not use),App Heading,Heading 9 CFMU,h9,Header 9,ASAPHeading 9,Appendix,9,Titolo9,progress,progress1,progress2,progress11,progress3,progress4,progress5,progress6,progress7,progress12,progress21,progress111,progress31,App1"/>
    <w:basedOn w:val="Normal"/>
    <w:next w:val="Normal"/>
    <w:link w:val="Heading9Char"/>
    <w:uiPriority w:val="9"/>
    <w:qFormat/>
    <w:rsid w:val="000F4A66"/>
    <w:pPr>
      <w:tabs>
        <w:tab w:val="num" w:pos="0"/>
      </w:tabs>
      <w:spacing w:before="240" w:after="60" w:line="240" w:lineRule="auto"/>
      <w:ind w:left="1584" w:hanging="1584"/>
      <w:jc w:val="both"/>
      <w:outlineLvl w:val="8"/>
    </w:pPr>
    <w:rPr>
      <w:rFonts w:ascii="Arial" w:eastAsia="Times New Roman" w:hAnsi="Arial" w:cs="Times New Roman"/>
      <w:i/>
      <w:sz w:val="1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ASTER Char"/>
    <w:basedOn w:val="DefaultParagraphFont"/>
    <w:link w:val="Heading1"/>
    <w:rsid w:val="00E025FB"/>
    <w:rPr>
      <w:rFonts w:ascii="Times New Roman" w:eastAsia="Times New Roman" w:hAnsi="Times New Roman" w:cs="Times New Roman"/>
      <w:b/>
      <w:smallCaps/>
      <w:sz w:val="24"/>
    </w:rPr>
  </w:style>
  <w:style w:type="character" w:customStyle="1" w:styleId="Heading2Char">
    <w:name w:val="Heading 2 Char"/>
    <w:basedOn w:val="DefaultParagraphFont"/>
    <w:link w:val="Heading2"/>
    <w:rsid w:val="00094199"/>
    <w:rPr>
      <w:rFonts w:ascii="Times New Roman" w:eastAsia="Times New Roman" w:hAnsi="Times New Roman" w:cs="Times New Roman"/>
      <w:b/>
      <w:sz w:val="24"/>
      <w:szCs w:val="24"/>
    </w:rPr>
  </w:style>
  <w:style w:type="character" w:customStyle="1" w:styleId="Heading3Char">
    <w:name w:val="Heading 3 Char"/>
    <w:aliases w:val="Heading_3 Char"/>
    <w:basedOn w:val="DefaultParagraphFont"/>
    <w:link w:val="Heading3"/>
    <w:rsid w:val="00CF3D6A"/>
    <w:rPr>
      <w:rFonts w:ascii="Times New Roman" w:eastAsia="Times New Roman" w:hAnsi="Times New Roman" w:cs="Times New Roman"/>
      <w:b/>
      <w:i/>
      <w:sz w:val="24"/>
      <w:szCs w:val="24"/>
    </w:rPr>
  </w:style>
  <w:style w:type="character" w:customStyle="1" w:styleId="Heading4Char">
    <w:name w:val="Heading 4 Char"/>
    <w:aliases w:val="Figures Only Char,Heading 4 CFMU Char,h4 Char,Header 4 Char,Numbered 4 (SBC) Char,Heading 4 - SBC Char,dash Char,Map Title Char,H4 Char,Topic Major Char,RFQ3 Char,l4 Char,4 Char,4heading Char,heading4 Char,heading Char,Subhead C Char"/>
    <w:basedOn w:val="DefaultParagraphFont"/>
    <w:link w:val="Heading4"/>
    <w:rsid w:val="00E025FB"/>
    <w:rPr>
      <w:rFonts w:ascii="Times New Roman" w:eastAsia="Times New Roman" w:hAnsi="Times New Roman" w:cs="Times New Roman"/>
      <w:sz w:val="24"/>
    </w:rPr>
  </w:style>
  <w:style w:type="character" w:customStyle="1" w:styleId="Marker">
    <w:name w:val="Marker"/>
    <w:basedOn w:val="DefaultParagraphFont"/>
    <w:rsid w:val="00E025FB"/>
    <w:rPr>
      <w:color w:val="0000FF"/>
      <w:shd w:val="clear" w:color="auto" w:fill="auto"/>
    </w:rPr>
  </w:style>
  <w:style w:type="paragraph" w:customStyle="1" w:styleId="Pagedecouverture">
    <w:name w:val="Page de couverture"/>
    <w:basedOn w:val="Normal"/>
    <w:next w:val="Normal"/>
    <w:rsid w:val="00E025FB"/>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E025FB"/>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E025FB"/>
    <w:rPr>
      <w:rFonts w:ascii="Times New Roman" w:hAnsi="Times New Roman" w:cs="Times New Roman"/>
      <w:sz w:val="24"/>
      <w:lang w:val="en-GB"/>
    </w:rPr>
  </w:style>
  <w:style w:type="paragraph" w:styleId="Footer">
    <w:name w:val="footer"/>
    <w:basedOn w:val="Normal"/>
    <w:link w:val="FooterChar"/>
    <w:uiPriority w:val="99"/>
    <w:unhideWhenUsed/>
    <w:rsid w:val="00E025F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E025FB"/>
    <w:rPr>
      <w:rFonts w:ascii="Times New Roman" w:hAnsi="Times New Roman" w:cs="Times New Roman"/>
      <w:sz w:val="24"/>
      <w:lang w:val="en-GB"/>
    </w:rPr>
  </w:style>
  <w:style w:type="paragraph" w:customStyle="1" w:styleId="FooterCoverPage">
    <w:name w:val="Footer Cover Page"/>
    <w:basedOn w:val="Normal"/>
    <w:link w:val="FooterCoverPageChar"/>
    <w:rsid w:val="00E025F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025FB"/>
    <w:rPr>
      <w:rFonts w:ascii="Times New Roman" w:hAnsi="Times New Roman" w:cs="Times New Roman"/>
      <w:sz w:val="24"/>
    </w:rPr>
  </w:style>
  <w:style w:type="paragraph" w:customStyle="1" w:styleId="HeaderCoverPage">
    <w:name w:val="Header Cover Page"/>
    <w:basedOn w:val="Normal"/>
    <w:link w:val="HeaderCoverPageChar"/>
    <w:rsid w:val="00E025F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025FB"/>
    <w:rPr>
      <w:rFonts w:ascii="Times New Roman" w:hAnsi="Times New Roman" w:cs="Times New Roman"/>
      <w:sz w:val="24"/>
    </w:rPr>
  </w:style>
  <w:style w:type="paragraph" w:customStyle="1" w:styleId="Text1">
    <w:name w:val="Text 1"/>
    <w:basedOn w:val="Normal"/>
    <w:uiPriority w:val="99"/>
    <w:rsid w:val="00E025FB"/>
    <w:pPr>
      <w:spacing w:after="240" w:line="240" w:lineRule="auto"/>
      <w:ind w:left="482"/>
      <w:jc w:val="both"/>
    </w:pPr>
    <w:rPr>
      <w:rFonts w:ascii="Times New Roman" w:eastAsia="Times New Roman" w:hAnsi="Times New Roman" w:cs="Times New Roman"/>
      <w:sz w:val="24"/>
    </w:rPr>
  </w:style>
  <w:style w:type="paragraph" w:customStyle="1" w:styleId="Text2">
    <w:name w:val="Text 2"/>
    <w:basedOn w:val="Normal"/>
    <w:rsid w:val="00E025FB"/>
    <w:pPr>
      <w:tabs>
        <w:tab w:val="left" w:pos="2302"/>
      </w:tabs>
      <w:spacing w:after="240" w:line="240" w:lineRule="auto"/>
      <w:ind w:left="1202"/>
      <w:jc w:val="both"/>
    </w:pPr>
    <w:rPr>
      <w:rFonts w:ascii="Times New Roman" w:eastAsia="Times New Roman" w:hAnsi="Times New Roman" w:cs="Times New Roman"/>
      <w:sz w:val="24"/>
    </w:rPr>
  </w:style>
  <w:style w:type="paragraph" w:styleId="ListBullet">
    <w:name w:val="List Bullet"/>
    <w:aliases w:val="First Tier Bullet,résumé,UL,List Bullet2,List Bullet Char1 Char,List Bullet Char Char Char,List Bullet Char1 Char Char Char,List Bullet Char Char Char Char Char,List Bullet Char Char1"/>
    <w:basedOn w:val="Normal"/>
    <w:link w:val="ListBulletChar"/>
    <w:uiPriority w:val="99"/>
    <w:rsid w:val="00E025FB"/>
    <w:pPr>
      <w:numPr>
        <w:numId w:val="1"/>
      </w:numPr>
      <w:spacing w:after="240" w:line="240" w:lineRule="auto"/>
      <w:jc w:val="both"/>
    </w:pPr>
    <w:rPr>
      <w:rFonts w:ascii="Times New Roman" w:eastAsia="Times New Roman" w:hAnsi="Times New Roman" w:cs="Times New Roman"/>
      <w:sz w:val="24"/>
    </w:rPr>
  </w:style>
  <w:style w:type="paragraph" w:customStyle="1" w:styleId="ListDash1">
    <w:name w:val="List Dash 1"/>
    <w:basedOn w:val="Text1"/>
    <w:uiPriority w:val="99"/>
    <w:rsid w:val="00E025FB"/>
    <w:pPr>
      <w:numPr>
        <w:numId w:val="2"/>
      </w:numPr>
    </w:pPr>
  </w:style>
  <w:style w:type="table" w:styleId="TableGrid">
    <w:name w:val="Table Grid"/>
    <w:aliases w:val="Document Table,CV1,TabelEcorys,CV table,Deloitte,Table Grid IDEA,Table EY,none"/>
    <w:basedOn w:val="TableNormal"/>
    <w:uiPriority w:val="39"/>
    <w:rsid w:val="00E025FB"/>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rsid w:val="00E025FB"/>
    <w:pPr>
      <w:keepNext/>
      <w:spacing w:after="480" w:line="240" w:lineRule="auto"/>
      <w:jc w:val="center"/>
    </w:pPr>
    <w:rPr>
      <w:rFonts w:ascii="Times New Roman" w:eastAsia="Times New Roman" w:hAnsi="Times New Roman" w:cs="Times New Roman"/>
      <w:b/>
      <w:sz w:val="32"/>
    </w:rPr>
  </w:style>
  <w:style w:type="character" w:customStyle="1" w:styleId="AnnexTitleChar">
    <w:name w:val="Annex Title Char"/>
    <w:basedOn w:val="DefaultParagraphFont"/>
    <w:link w:val="AnnexTitle"/>
    <w:rsid w:val="00E025FB"/>
    <w:rPr>
      <w:rFonts w:ascii="Times New Roman" w:eastAsia="Times New Roman" w:hAnsi="Times New Roman" w:cs="Times New Roman"/>
      <w:b/>
      <w:sz w:val="32"/>
      <w:szCs w:val="20"/>
      <w:lang w:val="en-GB"/>
    </w:rPr>
  </w:style>
  <w:style w:type="table" w:customStyle="1" w:styleId="CV11">
    <w:name w:val="CV11"/>
    <w:basedOn w:val="TableNormal"/>
    <w:next w:val="TableGrid"/>
    <w:uiPriority w:val="59"/>
    <w:rsid w:val="00E025FB"/>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E025FB"/>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E025FB"/>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E025FB"/>
    <w:pPr>
      <w:spacing w:before="120" w:after="120"/>
    </w:pPr>
    <w:rPr>
      <w:rFonts w:cstheme="minorHAnsi"/>
      <w:b/>
      <w:bCs/>
      <w:caps/>
    </w:rPr>
  </w:style>
  <w:style w:type="paragraph" w:styleId="TOC2">
    <w:name w:val="toc 2"/>
    <w:basedOn w:val="Normal"/>
    <w:next w:val="Normal"/>
    <w:uiPriority w:val="39"/>
    <w:rsid w:val="00E025FB"/>
    <w:pPr>
      <w:spacing w:after="0"/>
      <w:ind w:left="200"/>
    </w:pPr>
    <w:rPr>
      <w:rFonts w:cstheme="minorHAnsi"/>
      <w:smallCaps/>
    </w:rPr>
  </w:style>
  <w:style w:type="paragraph" w:styleId="TOCHeading">
    <w:name w:val="TOC Heading"/>
    <w:basedOn w:val="Normal"/>
    <w:next w:val="Normal"/>
    <w:uiPriority w:val="39"/>
    <w:qFormat/>
    <w:rsid w:val="00E025FB"/>
    <w:pPr>
      <w:keepNext/>
      <w:spacing w:before="240" w:after="240" w:line="240" w:lineRule="auto"/>
      <w:jc w:val="center"/>
    </w:pPr>
    <w:rPr>
      <w:rFonts w:ascii="Times New Roman" w:eastAsia="Times New Roman" w:hAnsi="Times New Roman" w:cs="Times New Roman"/>
      <w:b/>
      <w:sz w:val="24"/>
    </w:rPr>
  </w:style>
  <w:style w:type="character" w:styleId="Hyperlink">
    <w:name w:val="Hyperlink"/>
    <w:basedOn w:val="DefaultParagraphFont"/>
    <w:uiPriority w:val="99"/>
    <w:unhideWhenUsed/>
    <w:rsid w:val="00E025FB"/>
    <w:rPr>
      <w:color w:val="0563C1" w:themeColor="hyperlink"/>
      <w:u w:val="single"/>
    </w:rPr>
  </w:style>
  <w:style w:type="paragraph" w:styleId="BalloonText">
    <w:name w:val="Balloon Text"/>
    <w:basedOn w:val="Normal"/>
    <w:link w:val="BalloonTextChar"/>
    <w:uiPriority w:val="99"/>
    <w:unhideWhenUsed/>
    <w:rsid w:val="00E02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FB"/>
    <w:rPr>
      <w:rFonts w:ascii="Tahoma" w:hAnsi="Tahoma" w:cs="Tahoma"/>
      <w:sz w:val="16"/>
      <w:szCs w:val="16"/>
      <w:lang w:val="en-GB"/>
    </w:rPr>
  </w:style>
  <w:style w:type="paragraph" w:customStyle="1" w:styleId="Declassification">
    <w:name w:val="Declassification"/>
    <w:basedOn w:val="Normal"/>
    <w:next w:val="Normal"/>
    <w:rsid w:val="00E025FB"/>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E025FB"/>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link w:val="HeaderSensitivityChar"/>
    <w:rsid w:val="00E025F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E025FB"/>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link w:val="FooterSensitivityChar"/>
    <w:rsid w:val="00E025F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E025F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025FB"/>
    <w:rPr>
      <w:rFonts w:ascii="Times New Roman" w:hAnsi="Times New Roman" w:cs="Times New Roman"/>
      <w:sz w:val="2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025FB"/>
    <w:pPr>
      <w:ind w:left="720"/>
      <w:contextualSpacing/>
    </w:pPr>
  </w:style>
  <w:style w:type="character" w:styleId="CommentReference">
    <w:name w:val="annotation reference"/>
    <w:basedOn w:val="DefaultParagraphFont"/>
    <w:uiPriority w:val="99"/>
    <w:unhideWhenUsed/>
    <w:rsid w:val="00E025FB"/>
    <w:rPr>
      <w:sz w:val="16"/>
      <w:szCs w:val="16"/>
    </w:rPr>
  </w:style>
  <w:style w:type="paragraph" w:styleId="CommentText">
    <w:name w:val="annotation text"/>
    <w:basedOn w:val="Normal"/>
    <w:link w:val="CommentTextChar"/>
    <w:uiPriority w:val="99"/>
    <w:unhideWhenUsed/>
    <w:rsid w:val="00E025FB"/>
    <w:pPr>
      <w:spacing w:line="240" w:lineRule="auto"/>
    </w:pPr>
  </w:style>
  <w:style w:type="character" w:customStyle="1" w:styleId="CommentTextChar">
    <w:name w:val="Comment Text Char"/>
    <w:basedOn w:val="DefaultParagraphFont"/>
    <w:link w:val="CommentText"/>
    <w:uiPriority w:val="99"/>
    <w:rsid w:val="00E025FB"/>
    <w:rPr>
      <w:sz w:val="20"/>
      <w:szCs w:val="20"/>
      <w:lang w:val="en-GB"/>
    </w:rPr>
  </w:style>
  <w:style w:type="paragraph" w:styleId="CommentSubject">
    <w:name w:val="annotation subject"/>
    <w:basedOn w:val="CommentText"/>
    <w:next w:val="CommentText"/>
    <w:link w:val="CommentSubjectChar"/>
    <w:uiPriority w:val="99"/>
    <w:unhideWhenUsed/>
    <w:rsid w:val="00E025FB"/>
    <w:rPr>
      <w:b/>
      <w:bCs/>
    </w:rPr>
  </w:style>
  <w:style w:type="character" w:customStyle="1" w:styleId="CommentSubjectChar">
    <w:name w:val="Comment Subject Char"/>
    <w:basedOn w:val="CommentTextChar"/>
    <w:link w:val="CommentSubject"/>
    <w:uiPriority w:val="99"/>
    <w:rsid w:val="00E025FB"/>
    <w:rPr>
      <w:b/>
      <w:bCs/>
      <w:sz w:val="20"/>
      <w:szCs w:val="20"/>
      <w:lang w:val="en-GB"/>
    </w:rPr>
  </w:style>
  <w:style w:type="paragraph" w:customStyle="1" w:styleId="li">
    <w:name w:val="li"/>
    <w:basedOn w:val="Normal"/>
    <w:rsid w:val="00E025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aliases w:val="Footnote Text Char1 Char,Footnote Text Char Char Char,Fußnotentext Char Char1 Char,Footnote,Fußnote,Testo nota a piè di pagina Carattere,Footnote text,Schriftart: 9 pt,Schriftart: 10 pt,Schriftart: 8 pt,o,fn,ft,footnote text,Fußnotentextf"/>
    <w:basedOn w:val="Normal"/>
    <w:link w:val="FootnoteTextChar"/>
    <w:uiPriority w:val="99"/>
    <w:unhideWhenUsed/>
    <w:qFormat/>
    <w:rsid w:val="00E80913"/>
    <w:pPr>
      <w:spacing w:after="0" w:line="240" w:lineRule="auto"/>
    </w:pPr>
    <w:rPr>
      <w:rFonts w:ascii="Times New Roman" w:hAnsi="Times New Roman"/>
    </w:rPr>
  </w:style>
  <w:style w:type="character" w:customStyle="1" w:styleId="FootnoteTextChar">
    <w:name w:val="Footnote Text Char"/>
    <w:aliases w:val="Footnote Text Char1 Char Char,Footnote Text Char Char Char Char,Fußnotentext Char Char1 Char Char,Footnote Char,Fußnote Char,Testo nota a piè di pagina Carattere Char,Footnote text Char,Schriftart: 9 pt Char,Schriftart: 10 pt Char"/>
    <w:basedOn w:val="DefaultParagraphFont"/>
    <w:link w:val="FootnoteText"/>
    <w:uiPriority w:val="99"/>
    <w:qFormat/>
    <w:rsid w:val="00E80913"/>
    <w:rPr>
      <w:rFonts w:ascii="Times New Roman" w:hAnsi="Times New Roman"/>
    </w:rPr>
  </w:style>
  <w:style w:type="character" w:styleId="FootnoteReference">
    <w:name w:val="footnote reference"/>
    <w:aliases w:val="BVI fnr, BVI fnr,Footnote Reference Superscript,Footnote symbol,Odwołanie przypisu,Footnote Reference_LVL6,Footnote Reference_LVL61,Footnote Reference_LVL62,Footnote Reference_LVL63,Footnote Reference_LVL64,Footnote Reference_LVL,Nota"/>
    <w:basedOn w:val="DefaultParagraphFont"/>
    <w:link w:val="FootnotesymbolCarZchn"/>
    <w:uiPriority w:val="99"/>
    <w:unhideWhenUsed/>
    <w:qFormat/>
    <w:rsid w:val="004D133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4D1331"/>
    <w:pPr>
      <w:widowControl w:val="0"/>
      <w:adjustRightInd w:val="0"/>
      <w:spacing w:after="160" w:line="240" w:lineRule="exact"/>
      <w:jc w:val="both"/>
      <w:textAlignment w:val="baseline"/>
    </w:pPr>
    <w:rPr>
      <w:vertAlign w:val="superscript"/>
    </w:rPr>
  </w:style>
  <w:style w:type="table" w:customStyle="1" w:styleId="CV14">
    <w:name w:val="CV14"/>
    <w:basedOn w:val="TableNormal"/>
    <w:next w:val="TableGrid"/>
    <w:uiPriority w:val="39"/>
    <w:rsid w:val="0060759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855EEC"/>
  </w:style>
  <w:style w:type="character" w:styleId="FollowedHyperlink">
    <w:name w:val="FollowedHyperlink"/>
    <w:basedOn w:val="DefaultParagraphFont"/>
    <w:uiPriority w:val="99"/>
    <w:unhideWhenUsed/>
    <w:rsid w:val="00624B61"/>
    <w:rPr>
      <w:color w:val="954F72" w:themeColor="followedHyperlink"/>
      <w:u w:val="single"/>
    </w:rPr>
  </w:style>
  <w:style w:type="character" w:customStyle="1" w:styleId="visible-description">
    <w:name w:val="visible-description"/>
    <w:basedOn w:val="DefaultParagraphFont"/>
    <w:rsid w:val="00B369CC"/>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uiPriority w:val="99"/>
    <w:rsid w:val="00106077"/>
    <w:pPr>
      <w:spacing w:after="160" w:line="240" w:lineRule="exact"/>
    </w:pPr>
    <w:rPr>
      <w:szCs w:val="22"/>
      <w:vertAlign w:val="superscript"/>
    </w:rPr>
  </w:style>
  <w:style w:type="paragraph" w:customStyle="1" w:styleId="Default">
    <w:name w:val="Default"/>
    <w:uiPriority w:val="99"/>
    <w:rsid w:val="00BD3A5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rsid w:val="009A73E4"/>
    <w:pPr>
      <w:spacing w:after="0" w:line="240" w:lineRule="auto"/>
    </w:pPr>
  </w:style>
  <w:style w:type="paragraph" w:customStyle="1" w:styleId="Normal1">
    <w:name w:val="Normal1"/>
    <w:basedOn w:val="Normal"/>
    <w:rsid w:val="0028704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015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5BB"/>
    <w:rPr>
      <w:rFonts w:asciiTheme="majorHAnsi" w:eastAsiaTheme="majorEastAsia" w:hAnsiTheme="majorHAnsi" w:cstheme="majorBidi"/>
      <w:spacing w:val="-10"/>
      <w:kern w:val="28"/>
      <w:sz w:val="56"/>
      <w:szCs w:val="56"/>
    </w:rPr>
  </w:style>
  <w:style w:type="paragraph" w:customStyle="1" w:styleId="Body">
    <w:name w:val="Body"/>
    <w:basedOn w:val="Normal"/>
    <w:link w:val="BodyChar"/>
    <w:qFormat/>
    <w:rsid w:val="00EB3E24"/>
    <w:pPr>
      <w:spacing w:after="240" w:line="240" w:lineRule="auto"/>
    </w:pPr>
    <w:rPr>
      <w:rFonts w:ascii="Verdana" w:eastAsia="Times New Roman" w:hAnsi="Verdana" w:cs="Times New Roman"/>
      <w:lang w:val="en-GB"/>
    </w:rPr>
  </w:style>
  <w:style w:type="character" w:customStyle="1" w:styleId="BodyChar">
    <w:name w:val="Body Char"/>
    <w:link w:val="Body"/>
    <w:rsid w:val="00EB3E24"/>
    <w:rPr>
      <w:rFonts w:ascii="Verdana" w:eastAsia="Times New Roman" w:hAnsi="Verdana" w:cs="Times New Roman"/>
      <w:lang w:val="en-GB"/>
    </w:rPr>
  </w:style>
  <w:style w:type="character" w:styleId="Emphasis">
    <w:name w:val="Emphasis"/>
    <w:basedOn w:val="DefaultParagraphFont"/>
    <w:uiPriority w:val="20"/>
    <w:qFormat/>
    <w:rsid w:val="006B6B2B"/>
    <w:rPr>
      <w:i/>
      <w:iCs/>
    </w:rPr>
  </w:style>
  <w:style w:type="table" w:customStyle="1" w:styleId="CV15">
    <w:name w:val="CV15"/>
    <w:basedOn w:val="TableNormal"/>
    <w:next w:val="TableGrid"/>
    <w:uiPriority w:val="59"/>
    <w:rsid w:val="00477EE0"/>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sub1 Char,Roman list Char,5 Char,H5 Char,Heading 5 CFMU Char,Para 5 Char,h5 Char,Header 5 Char,Numbered 5 (SBC) Char,UEH5 Char,Subhead 1 Char,Heading_4 Char"/>
    <w:basedOn w:val="DefaultParagraphFont"/>
    <w:link w:val="Heading5"/>
    <w:uiPriority w:val="9"/>
    <w:rsid w:val="00F554D6"/>
    <w:rPr>
      <w:rFonts w:asciiTheme="majorHAnsi" w:eastAsiaTheme="majorEastAsia" w:hAnsiTheme="majorHAnsi" w:cstheme="majorBidi"/>
      <w:noProof/>
      <w:color w:val="2E74B5" w:themeColor="accent1" w:themeShade="BF"/>
      <w:sz w:val="22"/>
      <w:szCs w:val="22"/>
      <w:lang w:val="en-GB"/>
    </w:rPr>
  </w:style>
  <w:style w:type="numbering" w:customStyle="1" w:styleId="NoList1">
    <w:name w:val="No List1"/>
    <w:next w:val="NoList"/>
    <w:uiPriority w:val="99"/>
    <w:semiHidden/>
    <w:unhideWhenUsed/>
    <w:rsid w:val="00F554D6"/>
  </w:style>
  <w:style w:type="numbering" w:customStyle="1" w:styleId="NoList11">
    <w:name w:val="No List11"/>
    <w:next w:val="NoList"/>
    <w:uiPriority w:val="99"/>
    <w:semiHidden/>
    <w:unhideWhenUsed/>
    <w:rsid w:val="00F554D6"/>
  </w:style>
  <w:style w:type="paragraph" w:customStyle="1" w:styleId="NumPar1">
    <w:name w:val="NumPar 1"/>
    <w:basedOn w:val="Heading1"/>
    <w:next w:val="Text1"/>
    <w:uiPriority w:val="99"/>
    <w:rsid w:val="00F554D6"/>
    <w:pPr>
      <w:keepNext w:val="0"/>
      <w:numPr>
        <w:numId w:val="0"/>
      </w:numPr>
      <w:spacing w:before="0"/>
      <w:outlineLvl w:val="9"/>
    </w:pPr>
    <w:rPr>
      <w:b w:val="0"/>
      <w:smallCaps w:val="0"/>
      <w:lang w:val="en-GB"/>
    </w:rPr>
  </w:style>
  <w:style w:type="paragraph" w:customStyle="1" w:styleId="SubTitle1">
    <w:name w:val="SubTitle 1"/>
    <w:basedOn w:val="Normal"/>
    <w:next w:val="Normal"/>
    <w:uiPriority w:val="99"/>
    <w:rsid w:val="00F554D6"/>
    <w:pPr>
      <w:spacing w:after="240" w:line="240" w:lineRule="auto"/>
      <w:jc w:val="center"/>
    </w:pPr>
    <w:rPr>
      <w:rFonts w:ascii="Times New Roman" w:eastAsia="Times New Roman" w:hAnsi="Times New Roman" w:cs="Times New Roman"/>
      <w:b/>
      <w:sz w:val="40"/>
      <w:lang w:val="en-GB"/>
    </w:rPr>
  </w:style>
  <w:style w:type="table" w:customStyle="1" w:styleId="CV16">
    <w:name w:val="CV16"/>
    <w:basedOn w:val="TableNormal"/>
    <w:next w:val="TableGrid"/>
    <w:uiPriority w:val="39"/>
    <w:rsid w:val="00F554D6"/>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F554D6"/>
    <w:rPr>
      <w:color w:val="0000FF"/>
      <w:u w:val="single"/>
    </w:rPr>
  </w:style>
  <w:style w:type="table" w:customStyle="1" w:styleId="CV111">
    <w:name w:val="CV111"/>
    <w:basedOn w:val="TableNormal"/>
    <w:next w:val="TableGrid"/>
    <w:rsid w:val="00F554D6"/>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54D6"/>
    <w:rPr>
      <w:b/>
      <w:bCs/>
    </w:rPr>
  </w:style>
  <w:style w:type="paragraph" w:customStyle="1" w:styleId="Disclaimer">
    <w:name w:val="Disclaimer"/>
    <w:basedOn w:val="Normal"/>
    <w:rsid w:val="00F554D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szCs w:val="22"/>
      <w:lang w:val="fr-BE"/>
    </w:rPr>
  </w:style>
  <w:style w:type="paragraph" w:customStyle="1" w:styleId="SecurityMarking">
    <w:name w:val="SecurityMarking"/>
    <w:basedOn w:val="Normal"/>
    <w:rsid w:val="00F554D6"/>
    <w:pPr>
      <w:spacing w:after="0"/>
      <w:ind w:left="5103"/>
    </w:pPr>
    <w:rPr>
      <w:rFonts w:ascii="Times New Roman" w:hAnsi="Times New Roman" w:cs="Times New Roman"/>
      <w:sz w:val="28"/>
      <w:szCs w:val="22"/>
      <w:lang w:val="fr-BE"/>
    </w:rPr>
  </w:style>
  <w:style w:type="paragraph" w:customStyle="1" w:styleId="DateMarking">
    <w:name w:val="DateMarking"/>
    <w:basedOn w:val="Normal"/>
    <w:rsid w:val="00F554D6"/>
    <w:pPr>
      <w:spacing w:after="0"/>
      <w:ind w:left="5103"/>
    </w:pPr>
    <w:rPr>
      <w:rFonts w:ascii="Times New Roman" w:hAnsi="Times New Roman" w:cs="Times New Roman"/>
      <w:i/>
      <w:sz w:val="28"/>
      <w:szCs w:val="22"/>
      <w:lang w:val="fr-BE"/>
    </w:rPr>
  </w:style>
  <w:style w:type="paragraph" w:customStyle="1" w:styleId="ReleasableTo">
    <w:name w:val="ReleasableTo"/>
    <w:basedOn w:val="Normal"/>
    <w:rsid w:val="00F554D6"/>
    <w:pPr>
      <w:spacing w:after="0"/>
      <w:ind w:left="5103"/>
    </w:pPr>
    <w:rPr>
      <w:rFonts w:ascii="Times New Roman" w:hAnsi="Times New Roman" w:cs="Times New Roman"/>
      <w:i/>
      <w:sz w:val="28"/>
      <w:szCs w:val="22"/>
      <w:lang w:val="fr-BE"/>
    </w:rPr>
  </w:style>
  <w:style w:type="paragraph" w:customStyle="1" w:styleId="Caption1">
    <w:name w:val="Caption1"/>
    <w:basedOn w:val="Normal"/>
    <w:next w:val="Normal"/>
    <w:link w:val="Caption1Char"/>
    <w:unhideWhenUsed/>
    <w:qFormat/>
    <w:rsid w:val="00F554D6"/>
    <w:pPr>
      <w:spacing w:line="240" w:lineRule="auto"/>
    </w:pPr>
    <w:rPr>
      <w:i/>
      <w:iCs/>
      <w:color w:val="1F497D"/>
      <w:sz w:val="18"/>
      <w:szCs w:val="18"/>
      <w:lang w:val="fr-BE"/>
    </w:rPr>
  </w:style>
  <w:style w:type="paragraph" w:customStyle="1" w:styleId="ti-section-1">
    <w:name w:val="ti-section-1"/>
    <w:basedOn w:val="Normal"/>
    <w:rsid w:val="00F554D6"/>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Dash">
    <w:name w:val="Dash"/>
    <w:basedOn w:val="Normal"/>
    <w:rsid w:val="00F554D6"/>
    <w:pPr>
      <w:numPr>
        <w:numId w:val="4"/>
      </w:numPr>
      <w:spacing w:before="120" w:after="120" w:line="360" w:lineRule="auto"/>
    </w:pPr>
    <w:rPr>
      <w:rFonts w:ascii="Times New Roman" w:hAnsi="Times New Roman" w:cs="Times New Roman"/>
      <w:sz w:val="24"/>
      <w:szCs w:val="22"/>
      <w:lang w:val="en-GB"/>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uiPriority w:val="99"/>
    <w:rsid w:val="00F554D6"/>
    <w:pPr>
      <w:spacing w:after="160" w:line="240" w:lineRule="exact"/>
    </w:pPr>
    <w:rPr>
      <w:szCs w:val="22"/>
      <w:vertAlign w:val="superscript"/>
      <w:lang w:val="fr-BE"/>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locked/>
    <w:rsid w:val="00F554D6"/>
    <w:rPr>
      <w:rFonts w:ascii="Verdana" w:hAnsi="Verdana"/>
      <w:color w:val="000000"/>
      <w:lang w:val="en-GB"/>
    </w:rPr>
  </w:style>
  <w:style w:type="paragraph" w:customStyle="1" w:styleId="b1">
    <w:name w:val="b1"/>
    <w:basedOn w:val="Normal"/>
    <w:next w:val="BodyText"/>
    <w:uiPriority w:val="1"/>
    <w:unhideWhenUsed/>
    <w:qFormat/>
    <w:rsid w:val="00F554D6"/>
    <w:pPr>
      <w:spacing w:before="120" w:after="120" w:line="240" w:lineRule="auto"/>
    </w:pPr>
    <w:rPr>
      <w:rFonts w:ascii="Verdana" w:hAnsi="Verdana"/>
      <w:color w:val="000000"/>
      <w:szCs w:val="22"/>
      <w:lang w:val="en-GB"/>
    </w:rPr>
  </w:style>
  <w:style w:type="character" w:customStyle="1" w:styleId="BodyTextChar1">
    <w:name w:val="Body Text Char1"/>
    <w:aliases w:val="Document Char1,Doc Char1,Body Text2 Char1,doc Char1,Standard paragraph Char1,BodyText Char1,(Norm) Char1,Body Text 12 Char1,bt Char1,gl Char1,uvlaka 2 Char1,heading3 Char1,Body Text - Level 2 Char1,1body Char1,BodText Char1,Body Txt Char"/>
    <w:basedOn w:val="DefaultParagraphFont"/>
    <w:semiHidden/>
    <w:rsid w:val="00F554D6"/>
  </w:style>
  <w:style w:type="paragraph" w:styleId="NormalWeb">
    <w:name w:val="Normal (Web)"/>
    <w:basedOn w:val="Normal"/>
    <w:link w:val="NormalWebChar"/>
    <w:uiPriority w:val="99"/>
    <w:unhideWhenUsed/>
    <w:rsid w:val="00F554D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harChar5">
    <w:name w:val="Char Char5"/>
    <w:basedOn w:val="Normal"/>
    <w:next w:val="Normal"/>
    <w:rsid w:val="00F554D6"/>
    <w:pPr>
      <w:spacing w:before="360" w:after="0" w:line="240" w:lineRule="auto"/>
      <w:jc w:val="center"/>
    </w:pPr>
    <w:rPr>
      <w:rFonts w:ascii="Times New Roman" w:eastAsia="Times New Roman" w:hAnsi="Times New Roman" w:cs="Times New Roman"/>
      <w:b/>
      <w:bCs/>
      <w:snapToGrid w:val="0"/>
      <w:sz w:val="24"/>
      <w:szCs w:val="24"/>
      <w:lang w:val="fr-FR" w:eastAsia="en-GB"/>
    </w:rPr>
  </w:style>
  <w:style w:type="character" w:customStyle="1" w:styleId="FollowedHyperlink1">
    <w:name w:val="FollowedHyperlink1"/>
    <w:basedOn w:val="DefaultParagraphFont"/>
    <w:uiPriority w:val="99"/>
    <w:semiHidden/>
    <w:unhideWhenUsed/>
    <w:rsid w:val="00F554D6"/>
    <w:rPr>
      <w:color w:val="800080"/>
      <w:u w:val="single"/>
    </w:rPr>
  </w:style>
  <w:style w:type="paragraph" w:styleId="BodyText">
    <w:name w:val="Body Text"/>
    <w:aliases w:val="Document,Doc,Body Text2,doc,Standard paragraph,BodyText, (Norm),Body Text 12,bt,gl,uvlaka 2,(Norm),heading3,Body Text - Level 2,1body,BodText,body text,Body Txt,Body Text-10,Text Char1,Τίτλος Μελέτης,- TF,Te,-,??t??? ?e??t??"/>
    <w:basedOn w:val="Normal"/>
    <w:link w:val="BodyTextChar"/>
    <w:unhideWhenUsed/>
    <w:qFormat/>
    <w:rsid w:val="00F554D6"/>
    <w:pPr>
      <w:spacing w:after="120" w:line="259" w:lineRule="auto"/>
    </w:pPr>
    <w:rPr>
      <w:rFonts w:ascii="Verdana" w:hAnsi="Verdana"/>
      <w:color w:val="000000"/>
      <w:lang w:val="en-GB"/>
    </w:rPr>
  </w:style>
  <w:style w:type="character" w:customStyle="1" w:styleId="BodyTextChar2">
    <w:name w:val="Body Text Char2"/>
    <w:basedOn w:val="DefaultParagraphFont"/>
    <w:uiPriority w:val="99"/>
    <w:semiHidden/>
    <w:rsid w:val="00F554D6"/>
  </w:style>
  <w:style w:type="character" w:customStyle="1" w:styleId="super">
    <w:name w:val="super"/>
    <w:basedOn w:val="DefaultParagraphFont"/>
    <w:rsid w:val="00F554D6"/>
  </w:style>
  <w:style w:type="paragraph" w:styleId="EndnoteText">
    <w:name w:val="endnote text"/>
    <w:basedOn w:val="Normal"/>
    <w:link w:val="EndnoteTextChar"/>
    <w:uiPriority w:val="99"/>
    <w:unhideWhenUsed/>
    <w:rsid w:val="00F554D6"/>
    <w:pPr>
      <w:spacing w:after="0" w:line="240" w:lineRule="auto"/>
    </w:pPr>
    <w:rPr>
      <w:noProof/>
      <w:lang w:val="en-GB"/>
    </w:rPr>
  </w:style>
  <w:style w:type="character" w:customStyle="1" w:styleId="EndnoteTextChar">
    <w:name w:val="Endnote Text Char"/>
    <w:basedOn w:val="DefaultParagraphFont"/>
    <w:link w:val="EndnoteText"/>
    <w:uiPriority w:val="99"/>
    <w:rsid w:val="00F554D6"/>
    <w:rPr>
      <w:noProof/>
      <w:lang w:val="en-GB"/>
    </w:rPr>
  </w:style>
  <w:style w:type="numbering" w:customStyle="1" w:styleId="NoList2">
    <w:name w:val="No List2"/>
    <w:next w:val="NoList"/>
    <w:uiPriority w:val="99"/>
    <w:semiHidden/>
    <w:unhideWhenUsed/>
    <w:rsid w:val="0026587D"/>
  </w:style>
  <w:style w:type="numbering" w:customStyle="1" w:styleId="NoList12">
    <w:name w:val="No List12"/>
    <w:next w:val="NoList"/>
    <w:uiPriority w:val="99"/>
    <w:semiHidden/>
    <w:unhideWhenUsed/>
    <w:rsid w:val="0026587D"/>
  </w:style>
  <w:style w:type="table" w:customStyle="1" w:styleId="CV17">
    <w:name w:val="CV17"/>
    <w:basedOn w:val="TableNormal"/>
    <w:next w:val="TableGrid"/>
    <w:uiPriority w:val="39"/>
    <w:rsid w:val="0026587D"/>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12">
    <w:name w:val="CV112"/>
    <w:basedOn w:val="TableNormal"/>
    <w:next w:val="TableGrid"/>
    <w:uiPriority w:val="39"/>
    <w:rsid w:val="0026587D"/>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SensitivityChar">
    <w:name w:val="Footer Sensitivity Char"/>
    <w:basedOn w:val="DefaultParagraphFont"/>
    <w:link w:val="FooterSensitivity"/>
    <w:rsid w:val="00C76702"/>
    <w:rPr>
      <w:rFonts w:ascii="Times New Roman" w:hAnsi="Times New Roman" w:cs="Times New Roman"/>
      <w:b/>
      <w:sz w:val="32"/>
    </w:rPr>
  </w:style>
  <w:style w:type="character" w:customStyle="1" w:styleId="HeaderSensitivityChar">
    <w:name w:val="Header Sensitivity Char"/>
    <w:basedOn w:val="DefaultParagraphFont"/>
    <w:link w:val="HeaderSensitivity"/>
    <w:rsid w:val="00C76702"/>
    <w:rPr>
      <w:rFonts w:ascii="Times New Roman" w:hAnsi="Times New Roman" w:cs="Times New Roman"/>
      <w:b/>
      <w:sz w:val="32"/>
    </w:rPr>
  </w:style>
  <w:style w:type="character" w:customStyle="1" w:styleId="NormalWebChar">
    <w:name w:val="Normal (Web) Char"/>
    <w:link w:val="NormalWeb"/>
    <w:uiPriority w:val="99"/>
    <w:locked/>
    <w:rsid w:val="00C76702"/>
    <w:rPr>
      <w:rFonts w:ascii="Times New Roman" w:eastAsia="Times New Roman" w:hAnsi="Times New Roman" w:cs="Times New Roman"/>
      <w:sz w:val="24"/>
      <w:szCs w:val="24"/>
      <w:lang w:val="en-GB" w:eastAsia="en-GB"/>
    </w:rPr>
  </w:style>
  <w:style w:type="table" w:styleId="GridTable2-Accent1">
    <w:name w:val="Grid Table 2 Accent 1"/>
    <w:basedOn w:val="TableNormal"/>
    <w:uiPriority w:val="47"/>
    <w:rsid w:val="00C76702"/>
    <w:pPr>
      <w:spacing w:after="0" w:line="240" w:lineRule="auto"/>
    </w:pPr>
    <w:rPr>
      <w:sz w:val="22"/>
      <w:szCs w:val="22"/>
      <w:lang w:val="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C76702"/>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6702"/>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76702"/>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1">
    <w:name w:val="Bullet point1"/>
    <w:basedOn w:val="NormalIndent"/>
    <w:link w:val="Bulletpoint1Char"/>
    <w:qFormat/>
    <w:rsid w:val="00C76702"/>
    <w:pPr>
      <w:numPr>
        <w:numId w:val="5"/>
      </w:numPr>
      <w:spacing w:after="40" w:line="240" w:lineRule="auto"/>
      <w:jc w:val="both"/>
    </w:pPr>
    <w:rPr>
      <w:rFonts w:ascii="Verdana" w:eastAsia="Times New Roman" w:hAnsi="Verdana" w:cs="Times New Roman"/>
      <w:sz w:val="20"/>
      <w:szCs w:val="20"/>
      <w:lang w:eastAsia="nl-BE"/>
    </w:rPr>
  </w:style>
  <w:style w:type="character" w:customStyle="1" w:styleId="Bulletpoint1Char">
    <w:name w:val="Bullet point1 Char"/>
    <w:basedOn w:val="DefaultParagraphFont"/>
    <w:link w:val="Bulletpoint1"/>
    <w:rsid w:val="00C76702"/>
    <w:rPr>
      <w:rFonts w:ascii="Verdana" w:eastAsia="Times New Roman" w:hAnsi="Verdana" w:cs="Times New Roman"/>
      <w:lang w:val="en-GB" w:eastAsia="nl-BE"/>
    </w:rPr>
  </w:style>
  <w:style w:type="paragraph" w:customStyle="1" w:styleId="numbering">
    <w:name w:val="numbering"/>
    <w:basedOn w:val="Normal"/>
    <w:qFormat/>
    <w:rsid w:val="00C76702"/>
    <w:pPr>
      <w:numPr>
        <w:numId w:val="6"/>
      </w:numPr>
      <w:tabs>
        <w:tab w:val="num" w:pos="360"/>
        <w:tab w:val="left" w:pos="907"/>
      </w:tabs>
      <w:suppressAutoHyphens/>
      <w:spacing w:before="60" w:after="60" w:line="240" w:lineRule="auto"/>
      <w:jc w:val="both"/>
    </w:pPr>
    <w:rPr>
      <w:rFonts w:ascii="EYInterstate Light" w:eastAsia="Times New Roman" w:hAnsi="EYInterstate Light" w:cs="Times New Roman"/>
      <w:spacing w:val="-10"/>
      <w:kern w:val="12"/>
      <w:sz w:val="18"/>
      <w:szCs w:val="18"/>
      <w:lang w:eastAsia="ar-SA"/>
    </w:rPr>
  </w:style>
  <w:style w:type="paragraph" w:styleId="NormalIndent">
    <w:name w:val="Normal Indent"/>
    <w:basedOn w:val="Normal"/>
    <w:link w:val="NormalIndentChar"/>
    <w:uiPriority w:val="99"/>
    <w:unhideWhenUsed/>
    <w:rsid w:val="00C76702"/>
    <w:pPr>
      <w:ind w:left="720"/>
    </w:pPr>
    <w:rPr>
      <w:sz w:val="22"/>
      <w:szCs w:val="22"/>
      <w:lang w:val="en-GB"/>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qFormat/>
    <w:rsid w:val="00C76702"/>
    <w:pPr>
      <w:tabs>
        <w:tab w:val="left" w:pos="907"/>
      </w:tabs>
      <w:spacing w:before="120" w:after="160" w:line="240" w:lineRule="exact"/>
      <w:jc w:val="both"/>
    </w:pPr>
    <w:rPr>
      <w:rFonts w:ascii="Verdana" w:eastAsia="Times New Roman" w:hAnsi="Verdana" w:cs="Times New Roman"/>
      <w:vertAlign w:val="superscript"/>
      <w:lang w:val="en-GB" w:eastAsia="nl-BE"/>
    </w:rPr>
  </w:style>
  <w:style w:type="character" w:customStyle="1" w:styleId="st1">
    <w:name w:val="st1"/>
    <w:basedOn w:val="DefaultParagraphFont"/>
    <w:rsid w:val="00C76702"/>
  </w:style>
  <w:style w:type="paragraph" w:styleId="NoSpacing">
    <w:name w:val="No Spacing"/>
    <w:uiPriority w:val="1"/>
    <w:qFormat/>
    <w:rsid w:val="00C76702"/>
    <w:pPr>
      <w:spacing w:after="0"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C76702"/>
    <w:pPr>
      <w:spacing w:after="0" w:line="240" w:lineRule="auto"/>
    </w:pPr>
    <w:rPr>
      <w:sz w:val="22"/>
      <w:szCs w:val="22"/>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C76702"/>
    <w:pPr>
      <w:spacing w:after="160" w:line="240" w:lineRule="exact"/>
    </w:pPr>
    <w:rPr>
      <w:sz w:val="22"/>
      <w:szCs w:val="22"/>
      <w:vertAlign w:val="superscript"/>
      <w:lang w:val="en-GB"/>
    </w:rPr>
  </w:style>
  <w:style w:type="character" w:customStyle="1" w:styleId="Aucun">
    <w:name w:val="Aucun"/>
    <w:basedOn w:val="DefaultParagraphFont"/>
    <w:rsid w:val="00C76702"/>
  </w:style>
  <w:style w:type="paragraph" w:styleId="TOC3">
    <w:name w:val="toc 3"/>
    <w:basedOn w:val="Normal"/>
    <w:next w:val="Normal"/>
    <w:autoRedefine/>
    <w:uiPriority w:val="39"/>
    <w:unhideWhenUsed/>
    <w:rsid w:val="00D46A2A"/>
    <w:pPr>
      <w:spacing w:after="0"/>
      <w:ind w:left="400"/>
    </w:pPr>
    <w:rPr>
      <w:rFonts w:cstheme="minorHAnsi"/>
      <w:i/>
      <w:iCs/>
    </w:rPr>
  </w:style>
  <w:style w:type="paragraph" w:styleId="TOC4">
    <w:name w:val="toc 4"/>
    <w:basedOn w:val="Normal"/>
    <w:next w:val="Normal"/>
    <w:autoRedefine/>
    <w:uiPriority w:val="39"/>
    <w:unhideWhenUsed/>
    <w:rsid w:val="00C76702"/>
    <w:pPr>
      <w:spacing w:after="0"/>
      <w:ind w:left="600"/>
    </w:pPr>
    <w:rPr>
      <w:rFonts w:cstheme="minorHAnsi"/>
      <w:sz w:val="18"/>
      <w:szCs w:val="18"/>
    </w:rPr>
  </w:style>
  <w:style w:type="paragraph" w:styleId="TOC5">
    <w:name w:val="toc 5"/>
    <w:basedOn w:val="Normal"/>
    <w:next w:val="Normal"/>
    <w:autoRedefine/>
    <w:uiPriority w:val="39"/>
    <w:unhideWhenUsed/>
    <w:rsid w:val="00C76702"/>
    <w:pPr>
      <w:spacing w:after="0"/>
      <w:ind w:left="800"/>
    </w:pPr>
    <w:rPr>
      <w:rFonts w:cstheme="minorHAnsi"/>
      <w:sz w:val="18"/>
      <w:szCs w:val="18"/>
    </w:rPr>
  </w:style>
  <w:style w:type="paragraph" w:styleId="ListBullet2">
    <w:name w:val="List Bullet 2"/>
    <w:basedOn w:val="Text2"/>
    <w:uiPriority w:val="99"/>
    <w:rsid w:val="00C76702"/>
    <w:pPr>
      <w:numPr>
        <w:numId w:val="7"/>
      </w:numPr>
      <w:tabs>
        <w:tab w:val="clear" w:pos="2302"/>
      </w:tabs>
    </w:pPr>
    <w:rPr>
      <w:lang w:val="fr-FR"/>
    </w:rPr>
  </w:style>
  <w:style w:type="paragraph" w:customStyle="1" w:styleId="Bulletmain">
    <w:name w:val="Bullet main"/>
    <w:basedOn w:val="Bulletpoint1"/>
    <w:link w:val="BulletmainChar"/>
    <w:qFormat/>
    <w:rsid w:val="00C76702"/>
    <w:pPr>
      <w:numPr>
        <w:numId w:val="0"/>
      </w:numPr>
      <w:spacing w:before="60" w:after="60"/>
    </w:pPr>
    <w:rPr>
      <w:bCs/>
      <w:lang w:eastAsia="en-US"/>
    </w:rPr>
  </w:style>
  <w:style w:type="character" w:customStyle="1" w:styleId="BulletmainChar">
    <w:name w:val="Bullet main Char"/>
    <w:basedOn w:val="BodyChar"/>
    <w:link w:val="Bulletmain"/>
    <w:rsid w:val="00C76702"/>
    <w:rPr>
      <w:rFonts w:ascii="Verdana" w:eastAsia="Times New Roman" w:hAnsi="Verdana" w:cs="Times New Roman"/>
      <w:bCs/>
      <w:lang w:val="en-GB"/>
    </w:rPr>
  </w:style>
  <w:style w:type="paragraph" w:customStyle="1" w:styleId="Bullet2">
    <w:name w:val="Bullet 2"/>
    <w:basedOn w:val="ListParagraph"/>
    <w:link w:val="Bullet2Char"/>
    <w:qFormat/>
    <w:rsid w:val="00C76702"/>
    <w:pPr>
      <w:tabs>
        <w:tab w:val="right" w:pos="5387"/>
      </w:tabs>
      <w:spacing w:before="120" w:after="120" w:line="240" w:lineRule="auto"/>
      <w:ind w:left="0"/>
      <w:contextualSpacing w:val="0"/>
      <w:jc w:val="both"/>
    </w:pPr>
    <w:rPr>
      <w:rFonts w:ascii="Verdana" w:eastAsia="Times New Roman" w:hAnsi="Verdana" w:cs="Times New Roman"/>
      <w:bCs/>
      <w:lang w:val="en-GB"/>
    </w:rPr>
  </w:style>
  <w:style w:type="paragraph" w:styleId="Caption">
    <w:name w:val="caption"/>
    <w:aliases w:val="Char Char Char,Caption1 Char Char Char Char Char Char Char Char Tegn Tegn Tegn Tegn Tegn,Caption1 Char Char Char Char Char Char Char Char Tegn Tegn Tegn,Caption1 Char Char Char Char Char Char Char Char Tegn Tegn,Ch,Inscription,C,Char Char,Char"/>
    <w:basedOn w:val="Normal"/>
    <w:next w:val="Normal"/>
    <w:link w:val="CaptionChar"/>
    <w:qFormat/>
    <w:rsid w:val="00C76702"/>
    <w:pPr>
      <w:spacing w:before="120" w:after="120" w:line="240" w:lineRule="auto"/>
      <w:jc w:val="both"/>
    </w:pPr>
    <w:rPr>
      <w:rFonts w:ascii="Verdana" w:eastAsia="Times New Roman" w:hAnsi="Verdana" w:cs="Times New Roman"/>
      <w:b/>
      <w:sz w:val="18"/>
      <w:lang w:val="fr-FR"/>
    </w:rPr>
  </w:style>
  <w:style w:type="character" w:customStyle="1" w:styleId="CaptionChar">
    <w:name w:val="Caption Char"/>
    <w:aliases w:val="Char Char Char Char,Caption1 Char Char Char Char Char Char Char Char Tegn Tegn Tegn Tegn Tegn Char,Caption1 Char Char Char Char Char Char Char Char Tegn Tegn Tegn Char,Caption1 Char Char Char Char Char Char Char Char Tegn Tegn Char,Ch Char"/>
    <w:basedOn w:val="DefaultParagraphFont"/>
    <w:link w:val="Caption"/>
    <w:qFormat/>
    <w:rsid w:val="00C76702"/>
    <w:rPr>
      <w:rFonts w:ascii="Verdana" w:eastAsia="Times New Roman" w:hAnsi="Verdana" w:cs="Times New Roman"/>
      <w:b/>
      <w:sz w:val="18"/>
      <w:lang w:val="fr-FR"/>
    </w:rPr>
  </w:style>
  <w:style w:type="character" w:styleId="SubtleEmphasis">
    <w:name w:val="Subtle Emphasis"/>
    <w:aliases w:val="Subtitle 2"/>
    <w:basedOn w:val="DefaultParagraphFont"/>
    <w:uiPriority w:val="19"/>
    <w:qFormat/>
    <w:rsid w:val="00C76702"/>
    <w:rPr>
      <w:rFonts w:ascii="Verdana" w:hAnsi="Verdana"/>
      <w:i/>
      <w:iCs/>
      <w:color w:val="808080" w:themeColor="text1" w:themeTint="7F"/>
      <w:sz w:val="18"/>
    </w:rPr>
  </w:style>
  <w:style w:type="character" w:customStyle="1" w:styleId="BoxBulletChar">
    <w:name w:val="Box Bullet Char"/>
    <w:basedOn w:val="DefaultParagraphFont"/>
    <w:link w:val="BoxBullet"/>
    <w:locked/>
    <w:rsid w:val="00C76702"/>
    <w:rPr>
      <w:rFonts w:ascii="Verdana" w:hAnsi="Verdana"/>
      <w:color w:val="000000" w:themeColor="text1"/>
      <w:sz w:val="18"/>
      <w:szCs w:val="18"/>
      <w:lang w:eastAsia="it-IT"/>
    </w:rPr>
  </w:style>
  <w:style w:type="paragraph" w:customStyle="1" w:styleId="BoxBullet">
    <w:name w:val="Box Bullet"/>
    <w:basedOn w:val="Bulletpoint1"/>
    <w:link w:val="BoxBulletChar"/>
    <w:qFormat/>
    <w:rsid w:val="00C76702"/>
    <w:pPr>
      <w:spacing w:before="20" w:after="20"/>
      <w:ind w:left="360"/>
    </w:pPr>
    <w:rPr>
      <w:rFonts w:eastAsiaTheme="minorHAnsi" w:cstheme="minorBidi"/>
      <w:color w:val="000000" w:themeColor="text1"/>
      <w:sz w:val="18"/>
      <w:szCs w:val="18"/>
      <w:lang w:val="en-US" w:eastAsia="it-IT"/>
    </w:rPr>
  </w:style>
  <w:style w:type="paragraph" w:styleId="TOC6">
    <w:name w:val="toc 6"/>
    <w:basedOn w:val="Normal"/>
    <w:next w:val="Normal"/>
    <w:autoRedefine/>
    <w:uiPriority w:val="39"/>
    <w:unhideWhenUsed/>
    <w:rsid w:val="00C76702"/>
    <w:pPr>
      <w:spacing w:after="0"/>
      <w:ind w:left="1000"/>
    </w:pPr>
    <w:rPr>
      <w:rFonts w:cstheme="minorHAnsi"/>
      <w:sz w:val="18"/>
      <w:szCs w:val="18"/>
    </w:rPr>
  </w:style>
  <w:style w:type="paragraph" w:styleId="TOC7">
    <w:name w:val="toc 7"/>
    <w:basedOn w:val="Normal"/>
    <w:next w:val="Normal"/>
    <w:autoRedefine/>
    <w:uiPriority w:val="39"/>
    <w:unhideWhenUsed/>
    <w:rsid w:val="00C76702"/>
    <w:pPr>
      <w:spacing w:after="0"/>
      <w:ind w:left="1200"/>
    </w:pPr>
    <w:rPr>
      <w:rFonts w:cstheme="minorHAnsi"/>
      <w:sz w:val="18"/>
      <w:szCs w:val="18"/>
    </w:rPr>
  </w:style>
  <w:style w:type="paragraph" w:styleId="TOC8">
    <w:name w:val="toc 8"/>
    <w:basedOn w:val="Normal"/>
    <w:next w:val="Normal"/>
    <w:autoRedefine/>
    <w:uiPriority w:val="39"/>
    <w:unhideWhenUsed/>
    <w:rsid w:val="00C76702"/>
    <w:pPr>
      <w:spacing w:after="0"/>
      <w:ind w:left="1400"/>
    </w:pPr>
    <w:rPr>
      <w:rFonts w:cstheme="minorHAnsi"/>
      <w:sz w:val="18"/>
      <w:szCs w:val="18"/>
    </w:rPr>
  </w:style>
  <w:style w:type="paragraph" w:styleId="TOC9">
    <w:name w:val="toc 9"/>
    <w:basedOn w:val="Normal"/>
    <w:next w:val="Normal"/>
    <w:autoRedefine/>
    <w:uiPriority w:val="39"/>
    <w:unhideWhenUsed/>
    <w:rsid w:val="00C76702"/>
    <w:pPr>
      <w:spacing w:after="0"/>
      <w:ind w:left="1600"/>
    </w:pPr>
    <w:rPr>
      <w:rFonts w:cstheme="minorHAnsi"/>
      <w:sz w:val="18"/>
      <w:szCs w:val="18"/>
    </w:rPr>
  </w:style>
  <w:style w:type="character" w:customStyle="1" w:styleId="Subtitle21">
    <w:name w:val="Subtitle 21"/>
    <w:basedOn w:val="DefaultParagraphFont"/>
    <w:uiPriority w:val="19"/>
    <w:qFormat/>
    <w:rsid w:val="00C76702"/>
    <w:rPr>
      <w:rFonts w:ascii="Verdana" w:hAnsi="Verdana"/>
      <w:i/>
      <w:iCs/>
      <w:color w:val="808080"/>
      <w:sz w:val="18"/>
    </w:rPr>
  </w:style>
  <w:style w:type="table" w:customStyle="1" w:styleId="Style11">
    <w:name w:val="Style11"/>
    <w:basedOn w:val="TableNormal"/>
    <w:uiPriority w:val="99"/>
    <w:rsid w:val="00C76702"/>
    <w:pPr>
      <w:spacing w:after="0" w:line="240" w:lineRule="auto"/>
    </w:pPr>
    <w:rPr>
      <w:rFonts w:ascii="Calibri" w:eastAsia="Calibri" w:hAnsi="Calibri" w:cs="Times New Roman"/>
      <w:sz w:val="22"/>
      <w:szCs w:val="22"/>
      <w:lang w:val="en-GB"/>
    </w:rPr>
    <w:tblPr/>
  </w:style>
  <w:style w:type="paragraph" w:styleId="DocumentMap">
    <w:name w:val="Document Map"/>
    <w:basedOn w:val="Normal"/>
    <w:link w:val="DocumentMapChar"/>
    <w:uiPriority w:val="99"/>
    <w:rsid w:val="00C76702"/>
    <w:pPr>
      <w:shd w:val="clear" w:color="auto" w:fill="000080"/>
      <w:spacing w:after="240" w:line="240" w:lineRule="auto"/>
      <w:jc w:val="both"/>
    </w:pPr>
    <w:rPr>
      <w:rFonts w:ascii="Tahoma" w:eastAsia="Times New Roman" w:hAnsi="Tahoma" w:cs="Times New Roman"/>
      <w:sz w:val="24"/>
      <w:lang w:val="fr-FR"/>
    </w:rPr>
  </w:style>
  <w:style w:type="character" w:customStyle="1" w:styleId="DocumentMapChar">
    <w:name w:val="Document Map Char"/>
    <w:basedOn w:val="DefaultParagraphFont"/>
    <w:link w:val="DocumentMap"/>
    <w:uiPriority w:val="99"/>
    <w:rsid w:val="00C76702"/>
    <w:rPr>
      <w:rFonts w:ascii="Tahoma" w:eastAsia="Times New Roman" w:hAnsi="Tahoma" w:cs="Times New Roman"/>
      <w:sz w:val="24"/>
      <w:shd w:val="clear" w:color="auto" w:fill="000080"/>
      <w:lang w:val="fr-FR"/>
    </w:rPr>
  </w:style>
  <w:style w:type="table" w:customStyle="1" w:styleId="DocumentTable12">
    <w:name w:val="Document Table12"/>
    <w:basedOn w:val="TableNormal"/>
    <w:next w:val="TableGrid"/>
    <w:uiPriority w:val="59"/>
    <w:rsid w:val="00C76702"/>
    <w:pPr>
      <w:spacing w:after="0" w:line="240" w:lineRule="auto"/>
    </w:pPr>
    <w:rPr>
      <w:rFonts w:ascii="Verdana" w:eastAsia="Times New Roman" w:hAnsi="Verdana" w:cs="Times New Roman"/>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ArialMT" w:hAnsi="ArialMT"/>
        <w:b/>
        <w:color w:val="FFFFFF" w:themeColor="background1"/>
        <w:sz w:val="18"/>
      </w:rPr>
      <w:tblPr/>
      <w:tcPr>
        <w:shd w:val="clear" w:color="auto" w:fill="00AEF0"/>
      </w:tcPr>
    </w:tblStylePr>
    <w:tblStylePr w:type="band1Horz">
      <w:rPr>
        <w:sz w:val="18"/>
      </w:rPr>
    </w:tblStylePr>
  </w:style>
  <w:style w:type="paragraph" w:styleId="BodyTextFirstIndent">
    <w:name w:val="Body Text First Indent"/>
    <w:basedOn w:val="BodyText"/>
    <w:link w:val="BodyTextFirstIndentChar"/>
    <w:uiPriority w:val="99"/>
    <w:rsid w:val="00C76702"/>
    <w:pPr>
      <w:spacing w:line="240" w:lineRule="auto"/>
      <w:ind w:firstLine="210"/>
      <w:jc w:val="both"/>
    </w:pPr>
    <w:rPr>
      <w:rFonts w:ascii="Times New Roman" w:eastAsia="Times New Roman" w:hAnsi="Times New Roman" w:cs="Times New Roman"/>
      <w:color w:val="auto"/>
      <w:sz w:val="24"/>
      <w:lang w:val="fr-FR"/>
    </w:rPr>
  </w:style>
  <w:style w:type="character" w:customStyle="1" w:styleId="BodyTextFirstIndentChar">
    <w:name w:val="Body Text First Indent Char"/>
    <w:basedOn w:val="BodyTextChar"/>
    <w:link w:val="BodyTextFirstIndent"/>
    <w:uiPriority w:val="99"/>
    <w:rsid w:val="00C76702"/>
    <w:rPr>
      <w:rFonts w:ascii="Times New Roman" w:eastAsia="Times New Roman" w:hAnsi="Times New Roman" w:cs="Times New Roman"/>
      <w:color w:val="000000"/>
      <w:sz w:val="24"/>
      <w:lang w:val="fr-FR"/>
    </w:rPr>
  </w:style>
  <w:style w:type="paragraph" w:customStyle="1" w:styleId="BulletPSP">
    <w:name w:val="Bullet PSP"/>
    <w:basedOn w:val="Normal"/>
    <w:uiPriority w:val="99"/>
    <w:qFormat/>
    <w:rsid w:val="00C76702"/>
    <w:pPr>
      <w:numPr>
        <w:numId w:val="34"/>
      </w:numPr>
      <w:spacing w:before="120" w:after="160" w:line="259" w:lineRule="auto"/>
      <w:contextualSpacing/>
      <w:jc w:val="both"/>
    </w:pPr>
    <w:rPr>
      <w:rFonts w:ascii="Franklin Gothic Medium" w:eastAsiaTheme="minorEastAsia" w:hAnsi="Franklin Gothic Medium"/>
      <w:color w:val="000000"/>
      <w:sz w:val="24"/>
      <w:szCs w:val="22"/>
      <w:lang w:val="en-GB"/>
    </w:rPr>
  </w:style>
  <w:style w:type="character" w:customStyle="1" w:styleId="show-more-description">
    <w:name w:val="show-more-description"/>
    <w:basedOn w:val="DefaultParagraphFont"/>
    <w:rsid w:val="00C76702"/>
  </w:style>
  <w:style w:type="character" w:customStyle="1" w:styleId="footnotereference0">
    <w:name w:val="footnotereference"/>
    <w:basedOn w:val="DefaultParagraphFont"/>
    <w:rsid w:val="00911B1D"/>
  </w:style>
  <w:style w:type="character" w:customStyle="1" w:styleId="wtoffscreen">
    <w:name w:val="wtoffscreen"/>
    <w:basedOn w:val="DefaultParagraphFont"/>
    <w:rsid w:val="00276A4F"/>
  </w:style>
  <w:style w:type="paragraph" w:customStyle="1" w:styleId="Footerapproval">
    <w:name w:val="Footer approval"/>
    <w:basedOn w:val="Footer"/>
    <w:link w:val="ApprovalfooterChar"/>
    <w:qFormat/>
    <w:rsid w:val="004D7FEE"/>
    <w:pPr>
      <w:tabs>
        <w:tab w:val="clear" w:pos="4535"/>
        <w:tab w:val="clear" w:pos="9071"/>
        <w:tab w:val="clear" w:pos="9921"/>
        <w:tab w:val="left" w:pos="6804"/>
      </w:tabs>
      <w:spacing w:before="0"/>
      <w:ind w:left="0" w:right="-567"/>
    </w:pPr>
    <w:rPr>
      <w:rFonts w:ascii="Verdana" w:eastAsia="Times New Roman" w:hAnsi="Verdana"/>
      <w:sz w:val="13"/>
      <w:lang w:val="fr-BE"/>
    </w:rPr>
  </w:style>
  <w:style w:type="character" w:customStyle="1" w:styleId="ApprovalfooterChar">
    <w:name w:val="Approval_footer Char"/>
    <w:basedOn w:val="FooterChar"/>
    <w:link w:val="Footerapproval"/>
    <w:rsid w:val="004D7FEE"/>
    <w:rPr>
      <w:rFonts w:ascii="Verdana" w:eastAsia="Times New Roman" w:hAnsi="Verdana" w:cs="Times New Roman"/>
      <w:sz w:val="13"/>
      <w:lang w:val="fr-BE"/>
    </w:rPr>
  </w:style>
  <w:style w:type="paragraph" w:customStyle="1" w:styleId="Table">
    <w:name w:val="Table"/>
    <w:basedOn w:val="BodyText"/>
    <w:link w:val="TableChar"/>
    <w:qFormat/>
    <w:rsid w:val="004D7FEE"/>
    <w:pPr>
      <w:spacing w:after="0" w:line="240" w:lineRule="auto"/>
    </w:pPr>
    <w:rPr>
      <w:rFonts w:ascii="Georgia" w:hAnsi="Georgia"/>
      <w:color w:val="auto"/>
      <w:kern w:val="16"/>
      <w:sz w:val="16"/>
      <w:szCs w:val="22"/>
    </w:rPr>
  </w:style>
  <w:style w:type="character" w:customStyle="1" w:styleId="TableChar">
    <w:name w:val="Table Char"/>
    <w:basedOn w:val="DefaultParagraphFont"/>
    <w:link w:val="Table"/>
    <w:rsid w:val="004D7FEE"/>
    <w:rPr>
      <w:rFonts w:ascii="Georgia" w:hAnsi="Georgia"/>
      <w:kern w:val="16"/>
      <w:sz w:val="16"/>
      <w:szCs w:val="22"/>
      <w:lang w:val="en-GB"/>
    </w:rPr>
  </w:style>
  <w:style w:type="paragraph" w:customStyle="1" w:styleId="Boxtext">
    <w:name w:val="Box text"/>
    <w:basedOn w:val="Normal"/>
    <w:link w:val="BoxtextChar"/>
    <w:qFormat/>
    <w:rsid w:val="0068616C"/>
    <w:pPr>
      <w:spacing w:after="0" w:line="240" w:lineRule="auto"/>
      <w:jc w:val="both"/>
    </w:pPr>
    <w:rPr>
      <w:rFonts w:ascii="Verdana" w:eastAsia="Times New Roman" w:hAnsi="Verdana" w:cs="Calibri"/>
      <w:color w:val="000000"/>
      <w:sz w:val="18"/>
      <w:szCs w:val="18"/>
      <w:lang w:val="en-GB" w:eastAsia="en-GB"/>
    </w:rPr>
  </w:style>
  <w:style w:type="character" w:customStyle="1" w:styleId="BoxtextChar">
    <w:name w:val="Box text Char"/>
    <w:basedOn w:val="BodyChar"/>
    <w:link w:val="Boxtext"/>
    <w:rsid w:val="0068616C"/>
    <w:rPr>
      <w:rFonts w:ascii="Verdana" w:eastAsia="Times New Roman" w:hAnsi="Verdana" w:cs="Calibri"/>
      <w:color w:val="000000"/>
      <w:sz w:val="18"/>
      <w:szCs w:val="18"/>
      <w:lang w:val="en-GB" w:eastAsia="en-GB"/>
    </w:rPr>
  </w:style>
  <w:style w:type="paragraph" w:customStyle="1" w:styleId="Bullettable">
    <w:name w:val="Bullet table"/>
    <w:basedOn w:val="ListParagraph"/>
    <w:link w:val="BullettableChar"/>
    <w:uiPriority w:val="99"/>
    <w:qFormat/>
    <w:rsid w:val="0068616C"/>
    <w:pPr>
      <w:numPr>
        <w:numId w:val="53"/>
      </w:numPr>
      <w:spacing w:after="0" w:line="240" w:lineRule="auto"/>
      <w:ind w:left="87" w:hanging="159"/>
      <w:jc w:val="both"/>
    </w:pPr>
    <w:rPr>
      <w:rFonts w:ascii="Verdana" w:eastAsia="Times New Roman" w:hAnsi="Verdana" w:cs="Calibri"/>
      <w:color w:val="000000" w:themeColor="text1"/>
      <w:sz w:val="18"/>
      <w:szCs w:val="18"/>
      <w:lang w:val="en-GB" w:eastAsia="en-GB"/>
    </w:rPr>
  </w:style>
  <w:style w:type="paragraph" w:customStyle="1" w:styleId="Tablebullet1">
    <w:name w:val="Table bullet 1"/>
    <w:basedOn w:val="Bullettable"/>
    <w:link w:val="Tablebullet1Char"/>
    <w:uiPriority w:val="99"/>
    <w:qFormat/>
    <w:rsid w:val="0068616C"/>
    <w:pPr>
      <w:ind w:left="720" w:hanging="360"/>
    </w:pPr>
  </w:style>
  <w:style w:type="character" w:customStyle="1" w:styleId="Tablebullet1Char">
    <w:name w:val="Table bullet 1 Char"/>
    <w:basedOn w:val="DefaultParagraphFont"/>
    <w:link w:val="Tablebullet1"/>
    <w:uiPriority w:val="99"/>
    <w:rsid w:val="0068616C"/>
    <w:rPr>
      <w:rFonts w:ascii="Verdana" w:eastAsia="Times New Roman" w:hAnsi="Verdana" w:cs="Calibri"/>
      <w:color w:val="000000" w:themeColor="text1"/>
      <w:sz w:val="18"/>
      <w:szCs w:val="18"/>
      <w:lang w:val="en-GB" w:eastAsia="en-GB"/>
    </w:rPr>
  </w:style>
  <w:style w:type="table" w:customStyle="1" w:styleId="DocumentTable11">
    <w:name w:val="Document Table11"/>
    <w:basedOn w:val="TableNormal"/>
    <w:next w:val="TableGrid"/>
    <w:uiPriority w:val="39"/>
    <w:rsid w:val="00A84FC7"/>
    <w:pPr>
      <w:spacing w:after="0" w:line="240" w:lineRule="auto"/>
    </w:pPr>
    <w:rPr>
      <w:rFonts w:ascii="Verdana" w:eastAsia="Times New Roman" w:hAnsi="Verdana" w:cs="Times New Roman"/>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Verdana" w:hAnsi="Verdana"/>
        <w:b/>
        <w:color w:val="FFFFFF"/>
        <w:sz w:val="18"/>
      </w:rPr>
      <w:tblPr/>
      <w:tcPr>
        <w:shd w:val="clear" w:color="auto" w:fill="00AEF0"/>
      </w:tcPr>
    </w:tblStylePr>
    <w:tblStylePr w:type="band1Horz">
      <w:rPr>
        <w:sz w:val="18"/>
      </w:rPr>
    </w:tblStylePr>
  </w:style>
  <w:style w:type="paragraph" w:customStyle="1" w:styleId="Tablebullet">
    <w:name w:val="Table bullet"/>
    <w:basedOn w:val="Normal"/>
    <w:uiPriority w:val="99"/>
    <w:rsid w:val="00B86F0E"/>
    <w:pPr>
      <w:widowControl w:val="0"/>
      <w:numPr>
        <w:numId w:val="54"/>
      </w:numPr>
      <w:adjustRightInd w:val="0"/>
      <w:spacing w:before="120" w:after="120" w:line="240" w:lineRule="auto"/>
      <w:jc w:val="both"/>
      <w:textAlignment w:val="baseline"/>
    </w:pPr>
    <w:rPr>
      <w:rFonts w:ascii="EYInterstate Light" w:eastAsia="Times New Roman" w:hAnsi="EYInterstate Light" w:cs="Times New Roman"/>
      <w:spacing w:val="-10"/>
      <w:sz w:val="18"/>
    </w:rPr>
  </w:style>
  <w:style w:type="character" w:customStyle="1" w:styleId="Caption1Char">
    <w:name w:val="Caption1 Char"/>
    <w:basedOn w:val="CaptionChar"/>
    <w:link w:val="Caption1"/>
    <w:uiPriority w:val="35"/>
    <w:rsid w:val="00B86F0E"/>
    <w:rPr>
      <w:rFonts w:ascii="Verdana" w:eastAsia="Times New Roman" w:hAnsi="Verdana" w:cs="Times New Roman"/>
      <w:b w:val="0"/>
      <w:i/>
      <w:iCs/>
      <w:color w:val="1F497D"/>
      <w:sz w:val="18"/>
      <w:szCs w:val="18"/>
      <w:lang w:val="fr-BE"/>
    </w:rPr>
  </w:style>
  <w:style w:type="character" w:customStyle="1" w:styleId="UnresolvedMention1">
    <w:name w:val="Unresolved Mention1"/>
    <w:basedOn w:val="DefaultParagraphFont"/>
    <w:uiPriority w:val="99"/>
    <w:unhideWhenUsed/>
    <w:rsid w:val="00B86F0E"/>
    <w:rPr>
      <w:color w:val="605E5C"/>
      <w:shd w:val="clear" w:color="auto" w:fill="E1DFDD"/>
    </w:rPr>
  </w:style>
  <w:style w:type="character" w:customStyle="1" w:styleId="Mention1">
    <w:name w:val="Mention1"/>
    <w:basedOn w:val="DefaultParagraphFont"/>
    <w:uiPriority w:val="99"/>
    <w:unhideWhenUsed/>
    <w:rsid w:val="00B86F0E"/>
    <w:rPr>
      <w:color w:val="2B579A"/>
      <w:shd w:val="clear" w:color="auto" w:fill="E1DFDD"/>
    </w:rPr>
  </w:style>
  <w:style w:type="character" w:customStyle="1" w:styleId="UnresolvedMention">
    <w:name w:val="Unresolved Mention"/>
    <w:basedOn w:val="DefaultParagraphFont"/>
    <w:uiPriority w:val="99"/>
    <w:unhideWhenUsed/>
    <w:rsid w:val="00B86F0E"/>
    <w:rPr>
      <w:color w:val="605E5C"/>
      <w:shd w:val="clear" w:color="auto" w:fill="E1DFDD"/>
    </w:rPr>
  </w:style>
  <w:style w:type="character" w:customStyle="1" w:styleId="Footnote1">
    <w:name w:val="Footnote|1_"/>
    <w:basedOn w:val="DefaultParagraphFont"/>
    <w:link w:val="Footnote10"/>
    <w:rsid w:val="00B86F0E"/>
    <w:rPr>
      <w:rFonts w:ascii="Verdana" w:eastAsia="Verdana" w:hAnsi="Verdana" w:cs="Verdana"/>
      <w:sz w:val="15"/>
      <w:szCs w:val="15"/>
      <w:shd w:val="clear" w:color="auto" w:fill="FFFFFF"/>
    </w:rPr>
  </w:style>
  <w:style w:type="character" w:customStyle="1" w:styleId="Footnote2">
    <w:name w:val="Footnote|2_"/>
    <w:basedOn w:val="DefaultParagraphFont"/>
    <w:link w:val="Footnote20"/>
    <w:rsid w:val="00B86F0E"/>
    <w:rPr>
      <w:rFonts w:ascii="Verdana" w:eastAsia="Verdana" w:hAnsi="Verdana" w:cs="Verdana"/>
      <w:i/>
      <w:iCs/>
      <w:sz w:val="15"/>
      <w:szCs w:val="15"/>
      <w:shd w:val="clear" w:color="auto" w:fill="FFFFFF"/>
    </w:rPr>
  </w:style>
  <w:style w:type="character" w:customStyle="1" w:styleId="Footnote2NotItalic">
    <w:name w:val="Footnote|2 + Not Italic"/>
    <w:basedOn w:val="Footnote2"/>
    <w:semiHidden/>
    <w:unhideWhenUsed/>
    <w:rsid w:val="00B86F0E"/>
    <w:rPr>
      <w:rFonts w:ascii="Verdana" w:eastAsia="Verdana" w:hAnsi="Verdana" w:cs="Verdana"/>
      <w:i/>
      <w:iCs/>
      <w:color w:val="000000"/>
      <w:spacing w:val="0"/>
      <w:w w:val="100"/>
      <w:position w:val="0"/>
      <w:sz w:val="15"/>
      <w:szCs w:val="15"/>
      <w:shd w:val="clear" w:color="auto" w:fill="FFFFFF"/>
      <w:lang w:val="en-US" w:eastAsia="en-US" w:bidi="en-US"/>
    </w:rPr>
  </w:style>
  <w:style w:type="character" w:customStyle="1" w:styleId="Bodytext4Exact">
    <w:name w:val="Body text|4 Exact"/>
    <w:basedOn w:val="DefaultParagraphFont"/>
    <w:semiHidden/>
    <w:unhideWhenUsed/>
    <w:rsid w:val="00B86F0E"/>
    <w:rPr>
      <w:rFonts w:ascii="Verdana" w:eastAsia="Verdana" w:hAnsi="Verdana" w:cs="Verdana"/>
      <w:b/>
      <w:bCs/>
      <w:i w:val="0"/>
      <w:iCs w:val="0"/>
      <w:smallCaps w:val="0"/>
      <w:strike w:val="0"/>
      <w:sz w:val="20"/>
      <w:szCs w:val="20"/>
      <w:u w:val="none"/>
    </w:rPr>
  </w:style>
  <w:style w:type="character" w:customStyle="1" w:styleId="Bodytext2Exact">
    <w:name w:val="Body text|2 Exact"/>
    <w:basedOn w:val="DefaultParagraphFont"/>
    <w:semiHidden/>
    <w:unhideWhenUsed/>
    <w:rsid w:val="00B86F0E"/>
    <w:rPr>
      <w:rFonts w:ascii="Verdana" w:eastAsia="Verdana" w:hAnsi="Verdana" w:cs="Verdana"/>
      <w:b w:val="0"/>
      <w:bCs w:val="0"/>
      <w:i w:val="0"/>
      <w:iCs w:val="0"/>
      <w:smallCaps w:val="0"/>
      <w:strike w:val="0"/>
      <w:sz w:val="20"/>
      <w:szCs w:val="20"/>
      <w:u w:val="none"/>
    </w:rPr>
  </w:style>
  <w:style w:type="character" w:customStyle="1" w:styleId="Bodytext3">
    <w:name w:val="Body text|3_"/>
    <w:basedOn w:val="DefaultParagraphFont"/>
    <w:link w:val="Bodytext30"/>
    <w:rsid w:val="00B86F0E"/>
    <w:rPr>
      <w:rFonts w:ascii="Verdana" w:eastAsia="Verdana" w:hAnsi="Verdana" w:cs="Verdana"/>
      <w:i/>
      <w:iCs/>
      <w:sz w:val="22"/>
      <w:szCs w:val="22"/>
      <w:shd w:val="clear" w:color="auto" w:fill="FFFFFF"/>
    </w:rPr>
  </w:style>
  <w:style w:type="character" w:customStyle="1" w:styleId="Heading21">
    <w:name w:val="Heading #2|1_"/>
    <w:basedOn w:val="DefaultParagraphFont"/>
    <w:rsid w:val="00B86F0E"/>
    <w:rPr>
      <w:rFonts w:ascii="Verdana" w:eastAsia="Verdana" w:hAnsi="Verdana" w:cs="Verdana"/>
      <w:b/>
      <w:bCs/>
      <w:i w:val="0"/>
      <w:iCs w:val="0"/>
      <w:smallCaps w:val="0"/>
      <w:strike w:val="0"/>
      <w:sz w:val="20"/>
      <w:szCs w:val="20"/>
      <w:u w:val="none"/>
    </w:rPr>
  </w:style>
  <w:style w:type="character" w:customStyle="1" w:styleId="Bodytext2">
    <w:name w:val="Body text|2_"/>
    <w:basedOn w:val="DefaultParagraphFont"/>
    <w:rsid w:val="00B86F0E"/>
    <w:rPr>
      <w:rFonts w:ascii="Verdana" w:eastAsia="Verdana" w:hAnsi="Verdana" w:cs="Verdana"/>
      <w:b w:val="0"/>
      <w:bCs w:val="0"/>
      <w:i w:val="0"/>
      <w:iCs w:val="0"/>
      <w:smallCaps w:val="0"/>
      <w:strike w:val="0"/>
      <w:sz w:val="20"/>
      <w:szCs w:val="20"/>
      <w:u w:val="none"/>
    </w:rPr>
  </w:style>
  <w:style w:type="character" w:customStyle="1" w:styleId="Bodytext20">
    <w:name w:val="Body text|2"/>
    <w:basedOn w:val="Bodytext2"/>
    <w:semiHidden/>
    <w:unhideWhenUsed/>
    <w:rsid w:val="00B86F0E"/>
    <w:rPr>
      <w:rFonts w:ascii="Verdana" w:eastAsia="Verdana" w:hAnsi="Verdana" w:cs="Verdana"/>
      <w:b w:val="0"/>
      <w:bCs w:val="0"/>
      <w:i w:val="0"/>
      <w:iCs w:val="0"/>
      <w:smallCaps w:val="0"/>
      <w:strike w:val="0"/>
      <w:color w:val="00AEF0"/>
      <w:spacing w:val="0"/>
      <w:w w:val="100"/>
      <w:position w:val="0"/>
      <w:sz w:val="20"/>
      <w:szCs w:val="20"/>
      <w:u w:val="none"/>
      <w:lang w:val="en-US" w:eastAsia="en-US" w:bidi="en-US"/>
    </w:rPr>
  </w:style>
  <w:style w:type="character" w:customStyle="1" w:styleId="Bodytext2CourierNew9pt">
    <w:name w:val="Body text|2 + Courier New;9 pt"/>
    <w:basedOn w:val="Bodytext2"/>
    <w:semiHidden/>
    <w:unhideWhenUsed/>
    <w:rsid w:val="00B86F0E"/>
    <w:rPr>
      <w:rFonts w:ascii="Courier New" w:eastAsia="Courier New" w:hAnsi="Courier New" w:cs="Courier New"/>
      <w:b w:val="0"/>
      <w:bCs w:val="0"/>
      <w:i w:val="0"/>
      <w:iCs w:val="0"/>
      <w:smallCaps w:val="0"/>
      <w:strike w:val="0"/>
      <w:color w:val="000000"/>
      <w:spacing w:val="0"/>
      <w:w w:val="100"/>
      <w:position w:val="0"/>
      <w:sz w:val="18"/>
      <w:szCs w:val="18"/>
      <w:u w:val="none"/>
      <w:lang w:val="en-US" w:eastAsia="en-US" w:bidi="en-US"/>
    </w:rPr>
  </w:style>
  <w:style w:type="character" w:customStyle="1" w:styleId="Bodytext5">
    <w:name w:val="Body text|5_"/>
    <w:basedOn w:val="DefaultParagraphFont"/>
    <w:rsid w:val="00B86F0E"/>
    <w:rPr>
      <w:rFonts w:ascii="Verdana" w:eastAsia="Verdana" w:hAnsi="Verdana" w:cs="Verdana"/>
      <w:b/>
      <w:bCs/>
      <w:i w:val="0"/>
      <w:iCs w:val="0"/>
      <w:smallCaps w:val="0"/>
      <w:strike w:val="0"/>
      <w:sz w:val="22"/>
      <w:szCs w:val="22"/>
      <w:u w:val="none"/>
    </w:rPr>
  </w:style>
  <w:style w:type="character" w:customStyle="1" w:styleId="Bodytext50">
    <w:name w:val="Body text|5"/>
    <w:basedOn w:val="Bodytext5"/>
    <w:semiHidden/>
    <w:unhideWhenUsed/>
    <w:rsid w:val="00B86F0E"/>
    <w:rPr>
      <w:rFonts w:ascii="Verdana" w:eastAsia="Verdana" w:hAnsi="Verdana" w:cs="Verdana"/>
      <w:b/>
      <w:bCs/>
      <w:i w:val="0"/>
      <w:iCs w:val="0"/>
      <w:smallCaps w:val="0"/>
      <w:strike w:val="0"/>
      <w:color w:val="365F91"/>
      <w:spacing w:val="0"/>
      <w:w w:val="100"/>
      <w:position w:val="0"/>
      <w:sz w:val="22"/>
      <w:szCs w:val="22"/>
      <w:u w:val="none"/>
      <w:lang w:val="en-US" w:eastAsia="en-US" w:bidi="en-US"/>
    </w:rPr>
  </w:style>
  <w:style w:type="character" w:customStyle="1" w:styleId="Bodytext2Bold">
    <w:name w:val="Body text|2 + Bold"/>
    <w:basedOn w:val="Bodytext2"/>
    <w:semiHidden/>
    <w:unhideWhenUsed/>
    <w:rsid w:val="00B86F0E"/>
    <w:rPr>
      <w:rFonts w:ascii="Verdana" w:eastAsia="Verdana" w:hAnsi="Verdana" w:cs="Verdana"/>
      <w:b/>
      <w:bCs/>
      <w:i w:val="0"/>
      <w:iCs w:val="0"/>
      <w:smallCaps w:val="0"/>
      <w:strike w:val="0"/>
      <w:color w:val="000000"/>
      <w:spacing w:val="0"/>
      <w:w w:val="100"/>
      <w:position w:val="0"/>
      <w:sz w:val="20"/>
      <w:szCs w:val="20"/>
      <w:u w:val="none"/>
      <w:lang w:val="en-US" w:eastAsia="en-US" w:bidi="en-US"/>
    </w:rPr>
  </w:style>
  <w:style w:type="character" w:customStyle="1" w:styleId="Bodytext4">
    <w:name w:val="Body text|4_"/>
    <w:basedOn w:val="DefaultParagraphFont"/>
    <w:rsid w:val="00B86F0E"/>
    <w:rPr>
      <w:rFonts w:ascii="Verdana" w:eastAsia="Verdana" w:hAnsi="Verdana" w:cs="Verdana"/>
      <w:b/>
      <w:bCs/>
      <w:i w:val="0"/>
      <w:iCs w:val="0"/>
      <w:smallCaps w:val="0"/>
      <w:strike w:val="0"/>
      <w:sz w:val="20"/>
      <w:szCs w:val="20"/>
      <w:u w:val="none"/>
    </w:rPr>
  </w:style>
  <w:style w:type="character" w:customStyle="1" w:styleId="Bodytext4NotBold">
    <w:name w:val="Body text|4 + Not Bold"/>
    <w:basedOn w:val="Bodytext4"/>
    <w:semiHidden/>
    <w:unhideWhenUsed/>
    <w:rsid w:val="00B86F0E"/>
    <w:rPr>
      <w:rFonts w:ascii="Verdana" w:eastAsia="Verdana" w:hAnsi="Verdana" w:cs="Verdana"/>
      <w:b/>
      <w:bCs/>
      <w:i w:val="0"/>
      <w:iCs w:val="0"/>
      <w:smallCaps w:val="0"/>
      <w:strike w:val="0"/>
      <w:color w:val="000000"/>
      <w:spacing w:val="0"/>
      <w:w w:val="100"/>
      <w:position w:val="0"/>
      <w:sz w:val="20"/>
      <w:szCs w:val="20"/>
      <w:u w:val="none"/>
      <w:lang w:val="en-US" w:eastAsia="en-US" w:bidi="en-US"/>
    </w:rPr>
  </w:style>
  <w:style w:type="character" w:customStyle="1" w:styleId="Bodytext265ptBold">
    <w:name w:val="Body text|2 + 6.5 pt;Bold"/>
    <w:basedOn w:val="Bodytext2"/>
    <w:semiHidden/>
    <w:unhideWhenUsed/>
    <w:rsid w:val="00B86F0E"/>
    <w:rPr>
      <w:rFonts w:ascii="Verdana" w:eastAsia="Verdana" w:hAnsi="Verdana" w:cs="Verdana"/>
      <w:b/>
      <w:bCs/>
      <w:i w:val="0"/>
      <w:iCs w:val="0"/>
      <w:smallCaps w:val="0"/>
      <w:strike w:val="0"/>
      <w:color w:val="000000"/>
      <w:spacing w:val="0"/>
      <w:w w:val="100"/>
      <w:position w:val="0"/>
      <w:sz w:val="13"/>
      <w:szCs w:val="13"/>
      <w:u w:val="none"/>
      <w:lang w:val="en-US" w:eastAsia="en-US" w:bidi="en-US"/>
    </w:rPr>
  </w:style>
  <w:style w:type="character" w:customStyle="1" w:styleId="Heading210">
    <w:name w:val="Heading #2|1"/>
    <w:basedOn w:val="Heading21"/>
    <w:semiHidden/>
    <w:unhideWhenUsed/>
    <w:rsid w:val="00B86F0E"/>
    <w:rPr>
      <w:rFonts w:ascii="Verdana" w:eastAsia="Verdana" w:hAnsi="Verdana" w:cs="Verdana"/>
      <w:b/>
      <w:bCs/>
      <w:i w:val="0"/>
      <w:iCs w:val="0"/>
      <w:smallCaps w:val="0"/>
      <w:strike w:val="0"/>
      <w:color w:val="000000"/>
      <w:spacing w:val="0"/>
      <w:w w:val="100"/>
      <w:position w:val="0"/>
      <w:sz w:val="20"/>
      <w:szCs w:val="20"/>
      <w:u w:val="single"/>
      <w:lang w:val="en-US" w:eastAsia="en-US" w:bidi="en-US"/>
    </w:rPr>
  </w:style>
  <w:style w:type="character" w:customStyle="1" w:styleId="Heading21NotBold">
    <w:name w:val="Heading #2|1 + Not Bold"/>
    <w:basedOn w:val="Heading21"/>
    <w:semiHidden/>
    <w:unhideWhenUsed/>
    <w:rsid w:val="00B86F0E"/>
    <w:rPr>
      <w:rFonts w:ascii="Verdana" w:eastAsia="Verdana" w:hAnsi="Verdana" w:cs="Verdana"/>
      <w:b/>
      <w:bCs/>
      <w:i w:val="0"/>
      <w:iCs w:val="0"/>
      <w:smallCaps w:val="0"/>
      <w:strike w:val="0"/>
      <w:color w:val="000000"/>
      <w:spacing w:val="0"/>
      <w:w w:val="100"/>
      <w:position w:val="0"/>
      <w:sz w:val="20"/>
      <w:szCs w:val="20"/>
      <w:u w:val="none"/>
      <w:lang w:val="en-US" w:eastAsia="en-US" w:bidi="en-US"/>
    </w:rPr>
  </w:style>
  <w:style w:type="character" w:customStyle="1" w:styleId="Bodytext40">
    <w:name w:val="Body text|4"/>
    <w:basedOn w:val="Bodytext4"/>
    <w:semiHidden/>
    <w:unhideWhenUsed/>
    <w:rsid w:val="00B86F0E"/>
    <w:rPr>
      <w:rFonts w:ascii="Verdana" w:eastAsia="Verdana" w:hAnsi="Verdana" w:cs="Verdana"/>
      <w:b/>
      <w:bCs/>
      <w:i w:val="0"/>
      <w:iCs w:val="0"/>
      <w:smallCaps w:val="0"/>
      <w:strike w:val="0"/>
      <w:color w:val="984806"/>
      <w:spacing w:val="0"/>
      <w:w w:val="100"/>
      <w:position w:val="0"/>
      <w:sz w:val="20"/>
      <w:szCs w:val="20"/>
      <w:u w:val="single"/>
      <w:lang w:val="en-US" w:eastAsia="en-US" w:bidi="en-US"/>
    </w:rPr>
  </w:style>
  <w:style w:type="character" w:customStyle="1" w:styleId="Bodytext2Arial105pt">
    <w:name w:val="Body text|2 + Arial;10.5 pt"/>
    <w:basedOn w:val="Bodytext2"/>
    <w:semiHidden/>
    <w:unhideWhenUsed/>
    <w:rsid w:val="00B86F0E"/>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Bodytext4CourierNew9ptNotBold">
    <w:name w:val="Body text|4 + Courier New;9 pt;Not Bold"/>
    <w:basedOn w:val="Bodytext4"/>
    <w:semiHidden/>
    <w:unhideWhenUsed/>
    <w:rsid w:val="00B86F0E"/>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Bodytext6">
    <w:name w:val="Body text|6_"/>
    <w:basedOn w:val="DefaultParagraphFont"/>
    <w:link w:val="Bodytext60"/>
    <w:rsid w:val="00B86F0E"/>
    <w:rPr>
      <w:rFonts w:ascii="Verdana" w:eastAsia="Verdana" w:hAnsi="Verdana" w:cs="Verdana"/>
      <w:b/>
      <w:bCs/>
      <w:sz w:val="18"/>
      <w:szCs w:val="18"/>
      <w:shd w:val="clear" w:color="auto" w:fill="FFFFFF"/>
    </w:rPr>
  </w:style>
  <w:style w:type="character" w:customStyle="1" w:styleId="Bodytext7">
    <w:name w:val="Body text|7_"/>
    <w:basedOn w:val="DefaultParagraphFont"/>
    <w:link w:val="Bodytext70"/>
    <w:rsid w:val="00B86F0E"/>
    <w:rPr>
      <w:rFonts w:ascii="Verdana" w:eastAsia="Verdana" w:hAnsi="Verdana" w:cs="Verdana"/>
      <w:sz w:val="18"/>
      <w:szCs w:val="18"/>
      <w:shd w:val="clear" w:color="auto" w:fill="FFFFFF"/>
    </w:rPr>
  </w:style>
  <w:style w:type="character" w:customStyle="1" w:styleId="Bodytext7Arial95pt">
    <w:name w:val="Body text|7 + Arial;9.5 pt"/>
    <w:basedOn w:val="Bodytext7"/>
    <w:semiHidden/>
    <w:unhideWhenUsed/>
    <w:rsid w:val="00B86F0E"/>
    <w:rPr>
      <w:rFonts w:ascii="Arial" w:eastAsia="Arial" w:hAnsi="Arial" w:cs="Arial"/>
      <w:color w:val="000000"/>
      <w:spacing w:val="0"/>
      <w:w w:val="100"/>
      <w:position w:val="0"/>
      <w:sz w:val="19"/>
      <w:szCs w:val="19"/>
      <w:shd w:val="clear" w:color="auto" w:fill="FFFFFF"/>
      <w:lang w:val="en-US" w:eastAsia="en-US" w:bidi="en-US"/>
    </w:rPr>
  </w:style>
  <w:style w:type="paragraph" w:customStyle="1" w:styleId="Footnote10">
    <w:name w:val="Footnote|1"/>
    <w:basedOn w:val="Normal"/>
    <w:link w:val="Footnote1"/>
    <w:qFormat/>
    <w:rsid w:val="00B86F0E"/>
    <w:pPr>
      <w:widowControl w:val="0"/>
      <w:shd w:val="clear" w:color="auto" w:fill="FFFFFF"/>
      <w:spacing w:after="0" w:line="182" w:lineRule="exact"/>
      <w:jc w:val="both"/>
    </w:pPr>
    <w:rPr>
      <w:rFonts w:ascii="Verdana" w:eastAsia="Verdana" w:hAnsi="Verdana" w:cs="Verdana"/>
      <w:sz w:val="15"/>
      <w:szCs w:val="15"/>
    </w:rPr>
  </w:style>
  <w:style w:type="paragraph" w:customStyle="1" w:styleId="Footnote20">
    <w:name w:val="Footnote|2"/>
    <w:basedOn w:val="Normal"/>
    <w:link w:val="Footnote2"/>
    <w:rsid w:val="00B86F0E"/>
    <w:pPr>
      <w:widowControl w:val="0"/>
      <w:shd w:val="clear" w:color="auto" w:fill="FFFFFF"/>
      <w:spacing w:after="0" w:line="197" w:lineRule="exact"/>
      <w:jc w:val="both"/>
    </w:pPr>
    <w:rPr>
      <w:rFonts w:ascii="Verdana" w:eastAsia="Verdana" w:hAnsi="Verdana" w:cs="Verdana"/>
      <w:i/>
      <w:iCs/>
      <w:sz w:val="15"/>
      <w:szCs w:val="15"/>
    </w:rPr>
  </w:style>
  <w:style w:type="paragraph" w:customStyle="1" w:styleId="Bodytext30">
    <w:name w:val="Body text|3"/>
    <w:basedOn w:val="Normal"/>
    <w:link w:val="Bodytext3"/>
    <w:rsid w:val="00B86F0E"/>
    <w:pPr>
      <w:widowControl w:val="0"/>
      <w:shd w:val="clear" w:color="auto" w:fill="FFFFFF"/>
      <w:spacing w:before="100" w:after="160" w:line="268" w:lineRule="exact"/>
      <w:jc w:val="center"/>
    </w:pPr>
    <w:rPr>
      <w:rFonts w:ascii="Verdana" w:eastAsia="Verdana" w:hAnsi="Verdana" w:cs="Verdana"/>
      <w:i/>
      <w:iCs/>
      <w:sz w:val="22"/>
      <w:szCs w:val="22"/>
    </w:rPr>
  </w:style>
  <w:style w:type="paragraph" w:customStyle="1" w:styleId="Bodytext60">
    <w:name w:val="Body text|6"/>
    <w:basedOn w:val="Normal"/>
    <w:link w:val="Bodytext6"/>
    <w:rsid w:val="00B86F0E"/>
    <w:pPr>
      <w:widowControl w:val="0"/>
      <w:shd w:val="clear" w:color="auto" w:fill="FFFFFF"/>
      <w:spacing w:before="240" w:after="240" w:line="218" w:lineRule="exact"/>
    </w:pPr>
    <w:rPr>
      <w:rFonts w:ascii="Verdana" w:eastAsia="Verdana" w:hAnsi="Verdana" w:cs="Verdana"/>
      <w:b/>
      <w:bCs/>
      <w:sz w:val="18"/>
      <w:szCs w:val="18"/>
    </w:rPr>
  </w:style>
  <w:style w:type="paragraph" w:customStyle="1" w:styleId="Bodytext70">
    <w:name w:val="Body text|7"/>
    <w:basedOn w:val="Normal"/>
    <w:link w:val="Bodytext7"/>
    <w:rsid w:val="00B86F0E"/>
    <w:pPr>
      <w:widowControl w:val="0"/>
      <w:shd w:val="clear" w:color="auto" w:fill="FFFFFF"/>
      <w:spacing w:after="0" w:line="216" w:lineRule="exact"/>
      <w:ind w:hanging="440"/>
      <w:jc w:val="both"/>
    </w:pPr>
    <w:rPr>
      <w:rFonts w:ascii="Verdana" w:eastAsia="Verdana" w:hAnsi="Verdana" w:cs="Verdana"/>
      <w:sz w:val="18"/>
      <w:szCs w:val="18"/>
    </w:rPr>
  </w:style>
  <w:style w:type="paragraph" w:customStyle="1" w:styleId="Bulletpointtable">
    <w:name w:val="Bullet point table"/>
    <w:basedOn w:val="Bulletpoint1"/>
    <w:link w:val="BulletpointtableChar"/>
    <w:qFormat/>
    <w:rsid w:val="00D44CF0"/>
    <w:pPr>
      <w:numPr>
        <w:numId w:val="0"/>
      </w:numPr>
      <w:spacing w:beforeLines="1" w:afterLines="1" w:after="0"/>
      <w:ind w:left="153" w:hanging="153"/>
    </w:pPr>
    <w:rPr>
      <w:sz w:val="16"/>
      <w:szCs w:val="18"/>
    </w:rPr>
  </w:style>
  <w:style w:type="character" w:customStyle="1" w:styleId="BulletpointtableChar">
    <w:name w:val="Bullet point table Char"/>
    <w:basedOn w:val="Bulletpoint1Char"/>
    <w:link w:val="Bulletpointtable"/>
    <w:locked/>
    <w:rsid w:val="00D44CF0"/>
    <w:rPr>
      <w:rFonts w:ascii="Verdana" w:eastAsia="Times New Roman" w:hAnsi="Verdana" w:cs="Times New Roman"/>
      <w:sz w:val="16"/>
      <w:szCs w:val="18"/>
      <w:lang w:val="en-GB" w:eastAsia="nl-BE"/>
    </w:rPr>
  </w:style>
  <w:style w:type="table" w:customStyle="1" w:styleId="none4">
    <w:name w:val="none4"/>
    <w:basedOn w:val="TableNormal"/>
    <w:uiPriority w:val="39"/>
    <w:rsid w:val="00D44CF0"/>
    <w:pPr>
      <w:spacing w:after="0" w:line="240" w:lineRule="auto"/>
    </w:pPr>
    <w:rPr>
      <w:rFonts w:ascii="Verdana" w:eastAsia="Times New Roman" w:hAnsi="Verdana" w:cs="Times New Roman"/>
      <w:sz w:val="18"/>
      <w:lang w:val="nl-BE" w:eastAsia="nl-BE"/>
    </w:rPr>
    <w:tblPr>
      <w:tblStyleRow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Verdana" w:hAnsi="Verdana" w:hint="default"/>
        <w:b/>
        <w:color w:val="FFFFFF" w:themeColor="background1"/>
        <w:sz w:val="18"/>
        <w:szCs w:val="18"/>
      </w:rPr>
      <w:tblPr/>
      <w:tcPr>
        <w:shd w:val="clear" w:color="auto" w:fill="00AEF0"/>
      </w:tcPr>
    </w:tblStylePr>
  </w:style>
  <w:style w:type="paragraph" w:styleId="Index9">
    <w:name w:val="index 9"/>
    <w:basedOn w:val="Normal"/>
    <w:next w:val="Normal"/>
    <w:autoRedefine/>
    <w:uiPriority w:val="99"/>
    <w:rsid w:val="002034CD"/>
    <w:pPr>
      <w:spacing w:after="240" w:line="240" w:lineRule="auto"/>
      <w:ind w:left="2160" w:hanging="240"/>
      <w:jc w:val="both"/>
    </w:pPr>
    <w:rPr>
      <w:rFonts w:ascii="Times New Roman" w:eastAsia="Times New Roman" w:hAnsi="Times New Roman" w:cs="Times New Roman"/>
      <w:sz w:val="24"/>
      <w:lang w:val="fr-FR"/>
    </w:rPr>
  </w:style>
  <w:style w:type="character" w:customStyle="1" w:styleId="Heading6Char">
    <w:name w:val="Heading 6 Char"/>
    <w:aliases w:val="sub2 Char,b Char,Heading 6 CFMU Char,h6 Char,Header 6 Char,UEH6 Char,Heading 6 CFMU1 Char,Heading 6 CFMU2 Char,Heading 6 CFMU3 Char,Heading 6 CFMU4 Char,Heading 6 CFMU5 Char,Para 6 Char,H6 Char,Legal Level 1. Char"/>
    <w:basedOn w:val="DefaultParagraphFont"/>
    <w:link w:val="Heading6"/>
    <w:uiPriority w:val="9"/>
    <w:rsid w:val="000F4A66"/>
    <w:rPr>
      <w:rFonts w:ascii="Arial" w:eastAsia="Times New Roman" w:hAnsi="Arial" w:cs="Times New Roman"/>
      <w:i/>
      <w:sz w:val="22"/>
      <w:lang w:val="fr-FR"/>
    </w:rPr>
  </w:style>
  <w:style w:type="character" w:customStyle="1" w:styleId="Heading7Char">
    <w:name w:val="Heading 7 Char"/>
    <w:aliases w:val="letter list Char,lettered list Char,Heading 7 CFMU Char,h7 Char,Header 7 Char,Legal Level 1.1. Char,sub3 Char,Heading 7 (do not use) Char,Para 7 Char,H7 Char,TITRE PARTIE Char"/>
    <w:basedOn w:val="DefaultParagraphFont"/>
    <w:link w:val="Heading7"/>
    <w:uiPriority w:val="9"/>
    <w:rsid w:val="000F4A66"/>
    <w:rPr>
      <w:rFonts w:ascii="Arial" w:eastAsia="Times New Roman" w:hAnsi="Arial" w:cs="Times New Roman"/>
      <w:lang w:val="fr-FR"/>
    </w:rPr>
  </w:style>
  <w:style w:type="character" w:customStyle="1" w:styleId="Heading8Char">
    <w:name w:val="Heading 8 Char"/>
    <w:aliases w:val="sub4 Char,Heading 8 (do not use) Char,Heading 8 CFMU Char,h8 Char,Header 8 Char,ASAPHeading 8 Char,8 Char,Titolo8 Char,action Char,action1 Char,action2 Char,action11 Char,action3 Char,action4 Char,action5 Char,action6 Char,action7 Char"/>
    <w:basedOn w:val="DefaultParagraphFont"/>
    <w:link w:val="Heading8"/>
    <w:uiPriority w:val="9"/>
    <w:rsid w:val="000F4A66"/>
    <w:rPr>
      <w:rFonts w:ascii="Arial" w:eastAsia="Times New Roman" w:hAnsi="Arial" w:cs="Times New Roman"/>
      <w:i/>
      <w:lang w:val="fr-FR"/>
    </w:rPr>
  </w:style>
  <w:style w:type="character" w:customStyle="1" w:styleId="Heading9Char">
    <w:name w:val="Heading 9 Char"/>
    <w:aliases w:val="sub5 Char,Heading 9 (do not use) Char,App Heading Char,Heading 9 CFMU Char,h9 Char,Header 9 Char,ASAPHeading 9 Char,Appendix Char,9 Char,Titolo9 Char,progress Char,progress1 Char,progress2 Char,progress11 Char,progress3 Char,App1 Char"/>
    <w:basedOn w:val="DefaultParagraphFont"/>
    <w:link w:val="Heading9"/>
    <w:uiPriority w:val="9"/>
    <w:rsid w:val="000F4A66"/>
    <w:rPr>
      <w:rFonts w:ascii="Arial" w:eastAsia="Times New Roman" w:hAnsi="Arial" w:cs="Times New Roman"/>
      <w:i/>
      <w:sz w:val="18"/>
      <w:lang w:val="fr-FR"/>
    </w:rPr>
  </w:style>
  <w:style w:type="paragraph" w:customStyle="1" w:styleId="Text3">
    <w:name w:val="Text 3"/>
    <w:basedOn w:val="Normal"/>
    <w:uiPriority w:val="99"/>
    <w:rsid w:val="000F4A66"/>
    <w:pPr>
      <w:tabs>
        <w:tab w:val="left" w:pos="2302"/>
      </w:tabs>
      <w:spacing w:after="240" w:line="240" w:lineRule="auto"/>
      <w:ind w:left="1202"/>
      <w:jc w:val="both"/>
    </w:pPr>
    <w:rPr>
      <w:rFonts w:ascii="Times New Roman" w:eastAsia="Times New Roman" w:hAnsi="Times New Roman" w:cs="Times New Roman"/>
      <w:sz w:val="24"/>
      <w:lang w:val="fr-FR"/>
    </w:rPr>
  </w:style>
  <w:style w:type="paragraph" w:customStyle="1" w:styleId="Text4">
    <w:name w:val="Text 4"/>
    <w:basedOn w:val="Normal"/>
    <w:uiPriority w:val="99"/>
    <w:rsid w:val="000F4A66"/>
    <w:pPr>
      <w:tabs>
        <w:tab w:val="left" w:pos="2302"/>
      </w:tabs>
      <w:spacing w:after="240" w:line="240" w:lineRule="auto"/>
      <w:ind w:left="1202"/>
      <w:jc w:val="both"/>
    </w:pPr>
    <w:rPr>
      <w:rFonts w:ascii="Times New Roman" w:eastAsia="Times New Roman" w:hAnsi="Times New Roman" w:cs="Times New Roman"/>
      <w:sz w:val="24"/>
      <w:lang w:val="fr-FR"/>
    </w:rPr>
  </w:style>
  <w:style w:type="paragraph" w:customStyle="1" w:styleId="Address">
    <w:name w:val="Address"/>
    <w:basedOn w:val="Normal"/>
    <w:uiPriority w:val="99"/>
    <w:rsid w:val="000F4A66"/>
    <w:pPr>
      <w:spacing w:after="0" w:line="240" w:lineRule="auto"/>
    </w:pPr>
    <w:rPr>
      <w:rFonts w:ascii="Times New Roman" w:eastAsia="Times New Roman" w:hAnsi="Times New Roman" w:cs="Times New Roman"/>
      <w:sz w:val="24"/>
      <w:lang w:val="fr-FR"/>
    </w:rPr>
  </w:style>
  <w:style w:type="paragraph" w:customStyle="1" w:styleId="AddressTL">
    <w:name w:val="AddressTL"/>
    <w:basedOn w:val="Normal"/>
    <w:next w:val="Normal"/>
    <w:uiPriority w:val="99"/>
    <w:rsid w:val="000F4A66"/>
    <w:pPr>
      <w:spacing w:after="720" w:line="240" w:lineRule="auto"/>
    </w:pPr>
    <w:rPr>
      <w:rFonts w:ascii="Times New Roman" w:eastAsia="Times New Roman" w:hAnsi="Times New Roman" w:cs="Times New Roman"/>
      <w:sz w:val="24"/>
      <w:lang w:val="fr-FR"/>
    </w:rPr>
  </w:style>
  <w:style w:type="paragraph" w:customStyle="1" w:styleId="AddressTR">
    <w:name w:val="AddressTR"/>
    <w:basedOn w:val="Normal"/>
    <w:next w:val="Normal"/>
    <w:rsid w:val="000F4A66"/>
    <w:pPr>
      <w:spacing w:after="720" w:line="240" w:lineRule="auto"/>
      <w:ind w:left="5103"/>
    </w:pPr>
    <w:rPr>
      <w:rFonts w:ascii="Times New Roman" w:eastAsia="Times New Roman" w:hAnsi="Times New Roman" w:cs="Times New Roman"/>
      <w:sz w:val="24"/>
      <w:lang w:val="fr-FR"/>
    </w:rPr>
  </w:style>
  <w:style w:type="paragraph" w:styleId="BlockText">
    <w:name w:val="Block Text"/>
    <w:basedOn w:val="Normal"/>
    <w:uiPriority w:val="99"/>
    <w:rsid w:val="000F4A66"/>
    <w:pPr>
      <w:spacing w:after="120" w:line="240" w:lineRule="auto"/>
      <w:ind w:left="1440" w:right="1440"/>
      <w:jc w:val="both"/>
    </w:pPr>
    <w:rPr>
      <w:rFonts w:ascii="Times New Roman" w:eastAsia="Times New Roman" w:hAnsi="Times New Roman" w:cs="Times New Roman"/>
      <w:sz w:val="24"/>
      <w:lang w:val="fr-FR"/>
    </w:rPr>
  </w:style>
  <w:style w:type="paragraph" w:styleId="BodyText21">
    <w:name w:val="Body Text 2"/>
    <w:basedOn w:val="Normal"/>
    <w:link w:val="BodyText2Char"/>
    <w:uiPriority w:val="99"/>
    <w:rsid w:val="000F4A66"/>
    <w:pPr>
      <w:spacing w:after="120" w:line="480" w:lineRule="auto"/>
      <w:jc w:val="both"/>
    </w:pPr>
    <w:rPr>
      <w:rFonts w:ascii="Times New Roman" w:eastAsia="Times New Roman" w:hAnsi="Times New Roman" w:cs="Times New Roman"/>
      <w:sz w:val="24"/>
      <w:lang w:val="fr-FR"/>
    </w:rPr>
  </w:style>
  <w:style w:type="character" w:customStyle="1" w:styleId="BodyText2Char">
    <w:name w:val="Body Text 2 Char"/>
    <w:basedOn w:val="DefaultParagraphFont"/>
    <w:link w:val="BodyText21"/>
    <w:uiPriority w:val="99"/>
    <w:rsid w:val="000F4A66"/>
    <w:rPr>
      <w:rFonts w:ascii="Times New Roman" w:eastAsia="Times New Roman" w:hAnsi="Times New Roman" w:cs="Times New Roman"/>
      <w:sz w:val="24"/>
      <w:lang w:val="fr-FR"/>
    </w:rPr>
  </w:style>
  <w:style w:type="paragraph" w:styleId="BodyText31">
    <w:name w:val="Body Text 3"/>
    <w:basedOn w:val="Normal"/>
    <w:link w:val="BodyText3Char"/>
    <w:uiPriority w:val="99"/>
    <w:rsid w:val="000F4A66"/>
    <w:pPr>
      <w:spacing w:after="120" w:line="240" w:lineRule="auto"/>
      <w:jc w:val="both"/>
    </w:pPr>
    <w:rPr>
      <w:rFonts w:ascii="Times New Roman" w:eastAsia="Times New Roman" w:hAnsi="Times New Roman" w:cs="Times New Roman"/>
      <w:sz w:val="16"/>
      <w:lang w:val="fr-FR"/>
    </w:rPr>
  </w:style>
  <w:style w:type="character" w:customStyle="1" w:styleId="BodyText3Char">
    <w:name w:val="Body Text 3 Char"/>
    <w:basedOn w:val="DefaultParagraphFont"/>
    <w:link w:val="BodyText31"/>
    <w:uiPriority w:val="99"/>
    <w:rsid w:val="000F4A66"/>
    <w:rPr>
      <w:rFonts w:ascii="Times New Roman" w:eastAsia="Times New Roman" w:hAnsi="Times New Roman" w:cs="Times New Roman"/>
      <w:sz w:val="16"/>
      <w:lang w:val="fr-FR"/>
    </w:rPr>
  </w:style>
  <w:style w:type="paragraph" w:styleId="BodyTextIndent">
    <w:name w:val="Body Text Indent"/>
    <w:basedOn w:val="Normal"/>
    <w:link w:val="BodyTextIndentChar"/>
    <w:uiPriority w:val="99"/>
    <w:rsid w:val="000F4A66"/>
    <w:pPr>
      <w:spacing w:after="120" w:line="240" w:lineRule="auto"/>
      <w:ind w:left="283"/>
      <w:jc w:val="both"/>
    </w:pPr>
    <w:rPr>
      <w:rFonts w:ascii="Times New Roman" w:eastAsia="Times New Roman" w:hAnsi="Times New Roman" w:cs="Times New Roman"/>
      <w:sz w:val="24"/>
      <w:lang w:val="fr-FR"/>
    </w:rPr>
  </w:style>
  <w:style w:type="character" w:customStyle="1" w:styleId="BodyTextIndentChar">
    <w:name w:val="Body Text Indent Char"/>
    <w:basedOn w:val="DefaultParagraphFont"/>
    <w:link w:val="BodyTextIndent"/>
    <w:uiPriority w:val="99"/>
    <w:rsid w:val="000F4A66"/>
    <w:rPr>
      <w:rFonts w:ascii="Times New Roman" w:eastAsia="Times New Roman" w:hAnsi="Times New Roman" w:cs="Times New Roman"/>
      <w:sz w:val="24"/>
      <w:lang w:val="fr-FR"/>
    </w:rPr>
  </w:style>
  <w:style w:type="paragraph" w:styleId="BodyTextFirstIndent2">
    <w:name w:val="Body Text First Indent 2"/>
    <w:basedOn w:val="BodyTextIndent"/>
    <w:link w:val="BodyTextFirstIndent2Char"/>
    <w:uiPriority w:val="99"/>
    <w:rsid w:val="000F4A66"/>
    <w:pPr>
      <w:ind w:firstLine="210"/>
    </w:pPr>
  </w:style>
  <w:style w:type="character" w:customStyle="1" w:styleId="BodyTextFirstIndent2Char">
    <w:name w:val="Body Text First Indent 2 Char"/>
    <w:basedOn w:val="BodyTextIndentChar"/>
    <w:link w:val="BodyTextFirstIndent2"/>
    <w:uiPriority w:val="99"/>
    <w:rsid w:val="000F4A66"/>
    <w:rPr>
      <w:rFonts w:ascii="Times New Roman" w:eastAsia="Times New Roman" w:hAnsi="Times New Roman" w:cs="Times New Roman"/>
      <w:sz w:val="24"/>
      <w:lang w:val="fr-FR"/>
    </w:rPr>
  </w:style>
  <w:style w:type="paragraph" w:styleId="BodyTextIndent2">
    <w:name w:val="Body Text Indent 2"/>
    <w:basedOn w:val="Normal"/>
    <w:link w:val="BodyTextIndent2Char"/>
    <w:uiPriority w:val="99"/>
    <w:rsid w:val="000F4A66"/>
    <w:pPr>
      <w:spacing w:after="120" w:line="480" w:lineRule="auto"/>
      <w:ind w:left="283"/>
      <w:jc w:val="both"/>
    </w:pPr>
    <w:rPr>
      <w:rFonts w:ascii="Times New Roman" w:eastAsia="Times New Roman" w:hAnsi="Times New Roman" w:cs="Times New Roman"/>
      <w:sz w:val="24"/>
      <w:lang w:val="fr-FR"/>
    </w:rPr>
  </w:style>
  <w:style w:type="character" w:customStyle="1" w:styleId="BodyTextIndent2Char">
    <w:name w:val="Body Text Indent 2 Char"/>
    <w:basedOn w:val="DefaultParagraphFont"/>
    <w:link w:val="BodyTextIndent2"/>
    <w:uiPriority w:val="99"/>
    <w:rsid w:val="000F4A66"/>
    <w:rPr>
      <w:rFonts w:ascii="Times New Roman" w:eastAsia="Times New Roman" w:hAnsi="Times New Roman" w:cs="Times New Roman"/>
      <w:sz w:val="24"/>
      <w:lang w:val="fr-FR"/>
    </w:rPr>
  </w:style>
  <w:style w:type="paragraph" w:styleId="BodyTextIndent3">
    <w:name w:val="Body Text Indent 3"/>
    <w:basedOn w:val="Normal"/>
    <w:link w:val="BodyTextIndent3Char"/>
    <w:uiPriority w:val="99"/>
    <w:rsid w:val="000F4A66"/>
    <w:pPr>
      <w:spacing w:after="120" w:line="240" w:lineRule="auto"/>
      <w:ind w:left="283"/>
      <w:jc w:val="both"/>
    </w:pPr>
    <w:rPr>
      <w:rFonts w:ascii="Times New Roman" w:eastAsia="Times New Roman" w:hAnsi="Times New Roman" w:cs="Times New Roman"/>
      <w:sz w:val="16"/>
      <w:lang w:val="fr-FR"/>
    </w:rPr>
  </w:style>
  <w:style w:type="character" w:customStyle="1" w:styleId="BodyTextIndent3Char">
    <w:name w:val="Body Text Indent 3 Char"/>
    <w:basedOn w:val="DefaultParagraphFont"/>
    <w:link w:val="BodyTextIndent3"/>
    <w:uiPriority w:val="99"/>
    <w:rsid w:val="000F4A66"/>
    <w:rPr>
      <w:rFonts w:ascii="Times New Roman" w:eastAsia="Times New Roman" w:hAnsi="Times New Roman" w:cs="Times New Roman"/>
      <w:sz w:val="16"/>
      <w:lang w:val="fr-FR"/>
    </w:rPr>
  </w:style>
  <w:style w:type="paragraph" w:customStyle="1" w:styleId="ChapterTitle">
    <w:name w:val="ChapterTitle"/>
    <w:basedOn w:val="Normal"/>
    <w:next w:val="SectionTitle"/>
    <w:uiPriority w:val="99"/>
    <w:rsid w:val="000F4A66"/>
    <w:pPr>
      <w:keepNext/>
      <w:spacing w:after="480" w:line="240" w:lineRule="auto"/>
      <w:jc w:val="center"/>
    </w:pPr>
    <w:rPr>
      <w:rFonts w:ascii="Times New Roman" w:eastAsia="Times New Roman" w:hAnsi="Times New Roman" w:cs="Times New Roman"/>
      <w:b/>
      <w:sz w:val="32"/>
      <w:lang w:val="fr-FR"/>
    </w:rPr>
  </w:style>
  <w:style w:type="paragraph" w:customStyle="1" w:styleId="SectionTitle">
    <w:name w:val="SectionTitle"/>
    <w:basedOn w:val="Normal"/>
    <w:next w:val="Heading1"/>
    <w:uiPriority w:val="99"/>
    <w:rsid w:val="000F4A66"/>
    <w:pPr>
      <w:keepNext/>
      <w:spacing w:after="480" w:line="240" w:lineRule="auto"/>
      <w:jc w:val="center"/>
    </w:pPr>
    <w:rPr>
      <w:rFonts w:ascii="Times New Roman" w:eastAsia="Times New Roman" w:hAnsi="Times New Roman" w:cs="Times New Roman"/>
      <w:b/>
      <w:smallCaps/>
      <w:sz w:val="28"/>
      <w:lang w:val="fr-FR"/>
    </w:rPr>
  </w:style>
  <w:style w:type="paragraph" w:styleId="Closing">
    <w:name w:val="Closing"/>
    <w:basedOn w:val="Normal"/>
    <w:link w:val="ClosingChar"/>
    <w:uiPriority w:val="99"/>
    <w:rsid w:val="000F4A66"/>
    <w:pPr>
      <w:spacing w:after="240" w:line="240" w:lineRule="auto"/>
      <w:ind w:left="4252"/>
      <w:jc w:val="both"/>
    </w:pPr>
    <w:rPr>
      <w:rFonts w:ascii="Times New Roman" w:eastAsia="Times New Roman" w:hAnsi="Times New Roman" w:cs="Times New Roman"/>
      <w:sz w:val="24"/>
      <w:lang w:val="fr-FR"/>
    </w:rPr>
  </w:style>
  <w:style w:type="character" w:customStyle="1" w:styleId="ClosingChar">
    <w:name w:val="Closing Char"/>
    <w:basedOn w:val="DefaultParagraphFont"/>
    <w:link w:val="Closing"/>
    <w:uiPriority w:val="99"/>
    <w:rsid w:val="000F4A66"/>
    <w:rPr>
      <w:rFonts w:ascii="Times New Roman" w:eastAsia="Times New Roman" w:hAnsi="Times New Roman" w:cs="Times New Roman"/>
      <w:sz w:val="24"/>
      <w:lang w:val="fr-FR"/>
    </w:rPr>
  </w:style>
  <w:style w:type="paragraph" w:styleId="Date">
    <w:name w:val="Date"/>
    <w:basedOn w:val="Normal"/>
    <w:next w:val="References"/>
    <w:link w:val="DateChar"/>
    <w:uiPriority w:val="99"/>
    <w:rsid w:val="000F4A66"/>
    <w:pPr>
      <w:spacing w:after="0" w:line="240" w:lineRule="auto"/>
      <w:ind w:left="5103" w:right="-567"/>
    </w:pPr>
    <w:rPr>
      <w:rFonts w:ascii="Times New Roman" w:eastAsia="Times New Roman" w:hAnsi="Times New Roman" w:cs="Times New Roman"/>
      <w:sz w:val="24"/>
      <w:lang w:val="fr-FR"/>
    </w:rPr>
  </w:style>
  <w:style w:type="character" w:customStyle="1" w:styleId="DateChar">
    <w:name w:val="Date Char"/>
    <w:basedOn w:val="DefaultParagraphFont"/>
    <w:link w:val="Date"/>
    <w:uiPriority w:val="99"/>
    <w:rsid w:val="000F4A66"/>
    <w:rPr>
      <w:rFonts w:ascii="Times New Roman" w:eastAsia="Times New Roman" w:hAnsi="Times New Roman" w:cs="Times New Roman"/>
      <w:sz w:val="24"/>
      <w:lang w:val="fr-FR"/>
    </w:rPr>
  </w:style>
  <w:style w:type="paragraph" w:customStyle="1" w:styleId="References">
    <w:name w:val="References"/>
    <w:basedOn w:val="Normal"/>
    <w:next w:val="AddressTR"/>
    <w:uiPriority w:val="99"/>
    <w:rsid w:val="000F4A66"/>
    <w:pPr>
      <w:spacing w:after="240" w:line="240" w:lineRule="auto"/>
      <w:ind w:left="5103"/>
    </w:pPr>
    <w:rPr>
      <w:rFonts w:ascii="Times New Roman" w:eastAsia="Times New Roman" w:hAnsi="Times New Roman" w:cs="Times New Roman"/>
      <w:lang w:val="fr-FR"/>
    </w:rPr>
  </w:style>
  <w:style w:type="paragraph" w:customStyle="1" w:styleId="DoubSign">
    <w:name w:val="DoubSign"/>
    <w:basedOn w:val="Normal"/>
    <w:next w:val="Enclosures"/>
    <w:uiPriority w:val="99"/>
    <w:rsid w:val="000F4A66"/>
    <w:pPr>
      <w:tabs>
        <w:tab w:val="left" w:pos="5103"/>
      </w:tabs>
      <w:spacing w:before="1200" w:after="0" w:line="240" w:lineRule="auto"/>
    </w:pPr>
    <w:rPr>
      <w:rFonts w:ascii="Times New Roman" w:eastAsia="Times New Roman" w:hAnsi="Times New Roman" w:cs="Times New Roman"/>
      <w:sz w:val="24"/>
      <w:lang w:val="fr-FR"/>
    </w:rPr>
  </w:style>
  <w:style w:type="paragraph" w:customStyle="1" w:styleId="Enclosures">
    <w:name w:val="Enclosures"/>
    <w:basedOn w:val="Normal"/>
    <w:uiPriority w:val="99"/>
    <w:rsid w:val="000F4A66"/>
    <w:pPr>
      <w:keepNext/>
      <w:keepLines/>
      <w:tabs>
        <w:tab w:val="left" w:pos="5642"/>
      </w:tabs>
      <w:spacing w:before="480" w:after="0" w:line="240" w:lineRule="auto"/>
      <w:ind w:left="1191" w:hanging="1191"/>
    </w:pPr>
    <w:rPr>
      <w:rFonts w:ascii="Times New Roman" w:eastAsia="Times New Roman" w:hAnsi="Times New Roman" w:cs="Times New Roman"/>
      <w:sz w:val="24"/>
      <w:lang w:val="fr-FR"/>
    </w:rPr>
  </w:style>
  <w:style w:type="paragraph" w:styleId="EnvelopeAddress">
    <w:name w:val="envelope address"/>
    <w:basedOn w:val="Normal"/>
    <w:uiPriority w:val="99"/>
    <w:rsid w:val="000F4A66"/>
    <w:pPr>
      <w:framePr w:w="7920" w:h="1980" w:hRule="exact" w:hSpace="180" w:wrap="auto" w:hAnchor="page" w:xAlign="center" w:yAlign="bottom"/>
      <w:spacing w:after="0" w:line="240" w:lineRule="auto"/>
      <w:jc w:val="both"/>
    </w:pPr>
    <w:rPr>
      <w:rFonts w:ascii="Times New Roman" w:eastAsia="Times New Roman" w:hAnsi="Times New Roman" w:cs="Times New Roman"/>
      <w:sz w:val="24"/>
      <w:lang w:val="fr-FR"/>
    </w:rPr>
  </w:style>
  <w:style w:type="paragraph" w:styleId="EnvelopeReturn">
    <w:name w:val="envelope return"/>
    <w:basedOn w:val="Normal"/>
    <w:uiPriority w:val="99"/>
    <w:rsid w:val="000F4A66"/>
    <w:pPr>
      <w:spacing w:after="0" w:line="240" w:lineRule="auto"/>
      <w:jc w:val="both"/>
    </w:pPr>
    <w:rPr>
      <w:rFonts w:ascii="Times New Roman" w:eastAsia="Times New Roman" w:hAnsi="Times New Roman" w:cs="Times New Roman"/>
      <w:lang w:val="fr-FR"/>
    </w:rPr>
  </w:style>
  <w:style w:type="paragraph" w:styleId="Index1">
    <w:name w:val="index 1"/>
    <w:basedOn w:val="Normal"/>
    <w:next w:val="Normal"/>
    <w:autoRedefine/>
    <w:uiPriority w:val="99"/>
    <w:rsid w:val="000F4A66"/>
    <w:pPr>
      <w:spacing w:after="240" w:line="240" w:lineRule="auto"/>
      <w:ind w:left="240" w:hanging="240"/>
      <w:jc w:val="both"/>
    </w:pPr>
    <w:rPr>
      <w:rFonts w:ascii="Times New Roman" w:eastAsia="Times New Roman" w:hAnsi="Times New Roman" w:cs="Times New Roman"/>
      <w:sz w:val="24"/>
      <w:lang w:val="fr-FR"/>
    </w:rPr>
  </w:style>
  <w:style w:type="paragraph" w:styleId="Index2">
    <w:name w:val="index 2"/>
    <w:basedOn w:val="Normal"/>
    <w:next w:val="Normal"/>
    <w:autoRedefine/>
    <w:uiPriority w:val="99"/>
    <w:rsid w:val="000F4A66"/>
    <w:pPr>
      <w:spacing w:after="240" w:line="240" w:lineRule="auto"/>
      <w:ind w:left="480" w:hanging="240"/>
      <w:jc w:val="both"/>
    </w:pPr>
    <w:rPr>
      <w:rFonts w:ascii="Times New Roman" w:eastAsia="Times New Roman" w:hAnsi="Times New Roman" w:cs="Times New Roman"/>
      <w:sz w:val="24"/>
      <w:lang w:val="fr-FR"/>
    </w:rPr>
  </w:style>
  <w:style w:type="paragraph" w:styleId="Index3">
    <w:name w:val="index 3"/>
    <w:basedOn w:val="Normal"/>
    <w:next w:val="Normal"/>
    <w:autoRedefine/>
    <w:uiPriority w:val="99"/>
    <w:rsid w:val="000F4A66"/>
    <w:pPr>
      <w:spacing w:after="240" w:line="240" w:lineRule="auto"/>
      <w:ind w:left="720" w:hanging="240"/>
      <w:jc w:val="both"/>
    </w:pPr>
    <w:rPr>
      <w:rFonts w:ascii="Times New Roman" w:eastAsia="Times New Roman" w:hAnsi="Times New Roman" w:cs="Times New Roman"/>
      <w:sz w:val="24"/>
      <w:lang w:val="fr-FR"/>
    </w:rPr>
  </w:style>
  <w:style w:type="paragraph" w:styleId="Index4">
    <w:name w:val="index 4"/>
    <w:basedOn w:val="Normal"/>
    <w:next w:val="Normal"/>
    <w:autoRedefine/>
    <w:uiPriority w:val="99"/>
    <w:rsid w:val="000F4A66"/>
    <w:pPr>
      <w:spacing w:after="240" w:line="240" w:lineRule="auto"/>
      <w:ind w:left="960" w:hanging="240"/>
      <w:jc w:val="both"/>
    </w:pPr>
    <w:rPr>
      <w:rFonts w:ascii="Times New Roman" w:eastAsia="Times New Roman" w:hAnsi="Times New Roman" w:cs="Times New Roman"/>
      <w:sz w:val="24"/>
      <w:lang w:val="fr-FR"/>
    </w:rPr>
  </w:style>
  <w:style w:type="paragraph" w:styleId="Index5">
    <w:name w:val="index 5"/>
    <w:basedOn w:val="Normal"/>
    <w:next w:val="Normal"/>
    <w:autoRedefine/>
    <w:uiPriority w:val="99"/>
    <w:rsid w:val="000F4A66"/>
    <w:pPr>
      <w:spacing w:after="240" w:line="240" w:lineRule="auto"/>
      <w:ind w:left="1200" w:hanging="240"/>
      <w:jc w:val="both"/>
    </w:pPr>
    <w:rPr>
      <w:rFonts w:ascii="Times New Roman" w:eastAsia="Times New Roman" w:hAnsi="Times New Roman" w:cs="Times New Roman"/>
      <w:sz w:val="24"/>
      <w:lang w:val="fr-FR"/>
    </w:rPr>
  </w:style>
  <w:style w:type="paragraph" w:styleId="Index6">
    <w:name w:val="index 6"/>
    <w:basedOn w:val="Normal"/>
    <w:next w:val="Normal"/>
    <w:autoRedefine/>
    <w:uiPriority w:val="99"/>
    <w:rsid w:val="000F4A66"/>
    <w:pPr>
      <w:spacing w:after="240" w:line="240" w:lineRule="auto"/>
      <w:ind w:left="1440" w:hanging="240"/>
      <w:jc w:val="both"/>
    </w:pPr>
    <w:rPr>
      <w:rFonts w:ascii="Times New Roman" w:eastAsia="Times New Roman" w:hAnsi="Times New Roman" w:cs="Times New Roman"/>
      <w:sz w:val="24"/>
      <w:lang w:val="fr-FR"/>
    </w:rPr>
  </w:style>
  <w:style w:type="paragraph" w:styleId="Index7">
    <w:name w:val="index 7"/>
    <w:basedOn w:val="Normal"/>
    <w:next w:val="Normal"/>
    <w:autoRedefine/>
    <w:uiPriority w:val="99"/>
    <w:rsid w:val="000F4A66"/>
    <w:pPr>
      <w:spacing w:after="240" w:line="240" w:lineRule="auto"/>
      <w:ind w:left="1680" w:hanging="240"/>
      <w:jc w:val="both"/>
    </w:pPr>
    <w:rPr>
      <w:rFonts w:ascii="Times New Roman" w:eastAsia="Times New Roman" w:hAnsi="Times New Roman" w:cs="Times New Roman"/>
      <w:sz w:val="24"/>
      <w:lang w:val="fr-FR"/>
    </w:rPr>
  </w:style>
  <w:style w:type="paragraph" w:styleId="Index8">
    <w:name w:val="index 8"/>
    <w:basedOn w:val="Normal"/>
    <w:next w:val="Normal"/>
    <w:autoRedefine/>
    <w:uiPriority w:val="99"/>
    <w:rsid w:val="000F4A66"/>
    <w:pPr>
      <w:spacing w:after="240" w:line="240" w:lineRule="auto"/>
      <w:ind w:left="1920" w:hanging="240"/>
      <w:jc w:val="both"/>
    </w:pPr>
    <w:rPr>
      <w:rFonts w:ascii="Times New Roman" w:eastAsia="Times New Roman" w:hAnsi="Times New Roman" w:cs="Times New Roman"/>
      <w:sz w:val="24"/>
      <w:lang w:val="fr-FR"/>
    </w:rPr>
  </w:style>
  <w:style w:type="paragraph" w:styleId="IndexHeading">
    <w:name w:val="index heading"/>
    <w:basedOn w:val="Normal"/>
    <w:next w:val="Index1"/>
    <w:uiPriority w:val="99"/>
    <w:rsid w:val="000F4A66"/>
    <w:pPr>
      <w:spacing w:after="240" w:line="240" w:lineRule="auto"/>
      <w:jc w:val="both"/>
    </w:pPr>
    <w:rPr>
      <w:rFonts w:ascii="Arial" w:eastAsia="Times New Roman" w:hAnsi="Arial" w:cs="Times New Roman"/>
      <w:b/>
      <w:sz w:val="24"/>
      <w:lang w:val="fr-FR"/>
    </w:rPr>
  </w:style>
  <w:style w:type="paragraph" w:styleId="List">
    <w:name w:val="List"/>
    <w:basedOn w:val="Normal"/>
    <w:uiPriority w:val="99"/>
    <w:rsid w:val="000F4A66"/>
    <w:pPr>
      <w:spacing w:after="240" w:line="240" w:lineRule="auto"/>
      <w:ind w:left="283" w:hanging="283"/>
      <w:jc w:val="both"/>
    </w:pPr>
    <w:rPr>
      <w:rFonts w:ascii="Times New Roman" w:eastAsia="Times New Roman" w:hAnsi="Times New Roman" w:cs="Times New Roman"/>
      <w:sz w:val="24"/>
      <w:lang w:val="fr-FR"/>
    </w:rPr>
  </w:style>
  <w:style w:type="paragraph" w:styleId="List2">
    <w:name w:val="List 2"/>
    <w:basedOn w:val="Normal"/>
    <w:uiPriority w:val="99"/>
    <w:rsid w:val="000F4A66"/>
    <w:pPr>
      <w:spacing w:after="240" w:line="240" w:lineRule="auto"/>
      <w:ind w:left="566" w:hanging="283"/>
      <w:jc w:val="both"/>
    </w:pPr>
    <w:rPr>
      <w:rFonts w:ascii="Times New Roman" w:eastAsia="Times New Roman" w:hAnsi="Times New Roman" w:cs="Times New Roman"/>
      <w:sz w:val="24"/>
      <w:lang w:val="fr-FR"/>
    </w:rPr>
  </w:style>
  <w:style w:type="paragraph" w:styleId="List3">
    <w:name w:val="List 3"/>
    <w:basedOn w:val="Normal"/>
    <w:uiPriority w:val="99"/>
    <w:rsid w:val="000F4A66"/>
    <w:pPr>
      <w:spacing w:after="240" w:line="240" w:lineRule="auto"/>
      <w:ind w:left="849" w:hanging="283"/>
      <w:jc w:val="both"/>
    </w:pPr>
    <w:rPr>
      <w:rFonts w:ascii="Times New Roman" w:eastAsia="Times New Roman" w:hAnsi="Times New Roman" w:cs="Times New Roman"/>
      <w:sz w:val="24"/>
      <w:lang w:val="fr-FR"/>
    </w:rPr>
  </w:style>
  <w:style w:type="paragraph" w:styleId="List4">
    <w:name w:val="List 4"/>
    <w:basedOn w:val="Normal"/>
    <w:uiPriority w:val="99"/>
    <w:rsid w:val="000F4A66"/>
    <w:pPr>
      <w:spacing w:after="240" w:line="240" w:lineRule="auto"/>
      <w:ind w:left="1132" w:hanging="283"/>
      <w:jc w:val="both"/>
    </w:pPr>
    <w:rPr>
      <w:rFonts w:ascii="Times New Roman" w:eastAsia="Times New Roman" w:hAnsi="Times New Roman" w:cs="Times New Roman"/>
      <w:sz w:val="24"/>
      <w:lang w:val="fr-FR"/>
    </w:rPr>
  </w:style>
  <w:style w:type="paragraph" w:styleId="List5">
    <w:name w:val="List 5"/>
    <w:basedOn w:val="Normal"/>
    <w:uiPriority w:val="99"/>
    <w:rsid w:val="000F4A66"/>
    <w:pPr>
      <w:spacing w:after="240" w:line="240" w:lineRule="auto"/>
      <w:ind w:left="1415" w:hanging="283"/>
      <w:jc w:val="both"/>
    </w:pPr>
    <w:rPr>
      <w:rFonts w:ascii="Times New Roman" w:eastAsia="Times New Roman" w:hAnsi="Times New Roman" w:cs="Times New Roman"/>
      <w:sz w:val="24"/>
      <w:lang w:val="fr-FR"/>
    </w:rPr>
  </w:style>
  <w:style w:type="character" w:customStyle="1" w:styleId="ListBulletChar">
    <w:name w:val="List Bullet Char"/>
    <w:aliases w:val="First Tier Bullet Char,résumé Char,UL Char,List Bullet2 Char,List Bullet Char1 Char Char,List Bullet Char Char Char Char,List Bullet Char1 Char Char Char Char,List Bullet Char Char Char Char Char Char,List Bullet Char Char1 Char"/>
    <w:basedOn w:val="BodyTextChar"/>
    <w:link w:val="ListBullet"/>
    <w:uiPriority w:val="99"/>
    <w:rsid w:val="000F4A66"/>
    <w:rPr>
      <w:rFonts w:ascii="Times New Roman" w:eastAsia="Times New Roman" w:hAnsi="Times New Roman" w:cs="Times New Roman"/>
      <w:color w:val="000000"/>
      <w:sz w:val="24"/>
      <w:lang w:val="en-GB"/>
    </w:rPr>
  </w:style>
  <w:style w:type="paragraph" w:styleId="ListBullet3">
    <w:name w:val="List Bullet 3"/>
    <w:basedOn w:val="Text3"/>
    <w:uiPriority w:val="99"/>
    <w:rsid w:val="000F4A66"/>
    <w:pPr>
      <w:numPr>
        <w:numId w:val="91"/>
      </w:numPr>
      <w:tabs>
        <w:tab w:val="clear" w:pos="2302"/>
      </w:tabs>
    </w:pPr>
  </w:style>
  <w:style w:type="paragraph" w:styleId="ListBullet4">
    <w:name w:val="List Bullet 4"/>
    <w:basedOn w:val="Text4"/>
    <w:rsid w:val="000F4A66"/>
    <w:pPr>
      <w:numPr>
        <w:numId w:val="92"/>
      </w:numPr>
      <w:tabs>
        <w:tab w:val="clear" w:pos="2302"/>
      </w:tabs>
    </w:pPr>
  </w:style>
  <w:style w:type="paragraph" w:styleId="ListBullet5">
    <w:name w:val="List Bullet 5"/>
    <w:basedOn w:val="Normal"/>
    <w:autoRedefine/>
    <w:uiPriority w:val="99"/>
    <w:rsid w:val="000F4A66"/>
    <w:pPr>
      <w:numPr>
        <w:numId w:val="88"/>
      </w:numPr>
      <w:spacing w:after="240" w:line="240" w:lineRule="auto"/>
      <w:jc w:val="both"/>
    </w:pPr>
    <w:rPr>
      <w:rFonts w:ascii="Times New Roman" w:eastAsia="Times New Roman" w:hAnsi="Times New Roman" w:cs="Times New Roman"/>
      <w:sz w:val="24"/>
      <w:lang w:val="fr-FR"/>
    </w:rPr>
  </w:style>
  <w:style w:type="paragraph" w:styleId="ListContinue">
    <w:name w:val="List Continue"/>
    <w:basedOn w:val="Normal"/>
    <w:uiPriority w:val="99"/>
    <w:rsid w:val="000F4A66"/>
    <w:pPr>
      <w:spacing w:after="120" w:line="240" w:lineRule="auto"/>
      <w:ind w:left="283"/>
      <w:jc w:val="both"/>
    </w:pPr>
    <w:rPr>
      <w:rFonts w:ascii="Times New Roman" w:eastAsia="Times New Roman" w:hAnsi="Times New Roman" w:cs="Times New Roman"/>
      <w:sz w:val="24"/>
      <w:lang w:val="fr-FR"/>
    </w:rPr>
  </w:style>
  <w:style w:type="paragraph" w:styleId="ListContinue2">
    <w:name w:val="List Continue 2"/>
    <w:basedOn w:val="Normal"/>
    <w:uiPriority w:val="99"/>
    <w:rsid w:val="000F4A66"/>
    <w:pPr>
      <w:spacing w:after="120" w:line="240" w:lineRule="auto"/>
      <w:ind w:left="566"/>
      <w:jc w:val="both"/>
    </w:pPr>
    <w:rPr>
      <w:rFonts w:ascii="Times New Roman" w:eastAsia="Times New Roman" w:hAnsi="Times New Roman" w:cs="Times New Roman"/>
      <w:sz w:val="24"/>
      <w:lang w:val="fr-FR"/>
    </w:rPr>
  </w:style>
  <w:style w:type="paragraph" w:styleId="ListContinue3">
    <w:name w:val="List Continue 3"/>
    <w:basedOn w:val="Normal"/>
    <w:uiPriority w:val="99"/>
    <w:rsid w:val="000F4A66"/>
    <w:pPr>
      <w:spacing w:after="120" w:line="240" w:lineRule="auto"/>
      <w:ind w:left="849"/>
      <w:jc w:val="both"/>
    </w:pPr>
    <w:rPr>
      <w:rFonts w:ascii="Times New Roman" w:eastAsia="Times New Roman" w:hAnsi="Times New Roman" w:cs="Times New Roman"/>
      <w:sz w:val="24"/>
      <w:lang w:val="fr-FR"/>
    </w:rPr>
  </w:style>
  <w:style w:type="paragraph" w:styleId="ListContinue4">
    <w:name w:val="List Continue 4"/>
    <w:basedOn w:val="Normal"/>
    <w:uiPriority w:val="99"/>
    <w:rsid w:val="000F4A66"/>
    <w:pPr>
      <w:spacing w:after="120" w:line="240" w:lineRule="auto"/>
      <w:ind w:left="1132"/>
      <w:jc w:val="both"/>
    </w:pPr>
    <w:rPr>
      <w:rFonts w:ascii="Times New Roman" w:eastAsia="Times New Roman" w:hAnsi="Times New Roman" w:cs="Times New Roman"/>
      <w:sz w:val="24"/>
      <w:lang w:val="fr-FR"/>
    </w:rPr>
  </w:style>
  <w:style w:type="paragraph" w:styleId="ListContinue5">
    <w:name w:val="List Continue 5"/>
    <w:basedOn w:val="Normal"/>
    <w:uiPriority w:val="99"/>
    <w:rsid w:val="000F4A66"/>
    <w:pPr>
      <w:spacing w:after="120" w:line="240" w:lineRule="auto"/>
      <w:ind w:left="1415"/>
      <w:jc w:val="both"/>
    </w:pPr>
    <w:rPr>
      <w:rFonts w:ascii="Times New Roman" w:eastAsia="Times New Roman" w:hAnsi="Times New Roman" w:cs="Times New Roman"/>
      <w:sz w:val="24"/>
      <w:lang w:val="fr-FR"/>
    </w:rPr>
  </w:style>
  <w:style w:type="paragraph" w:styleId="ListNumber">
    <w:name w:val="List Number"/>
    <w:basedOn w:val="Normal"/>
    <w:uiPriority w:val="99"/>
    <w:qFormat/>
    <w:rsid w:val="000F4A66"/>
    <w:pPr>
      <w:numPr>
        <w:numId w:val="97"/>
      </w:numPr>
      <w:spacing w:after="240" w:line="240" w:lineRule="auto"/>
      <w:jc w:val="both"/>
    </w:pPr>
    <w:rPr>
      <w:rFonts w:ascii="Times New Roman" w:eastAsia="Times New Roman" w:hAnsi="Times New Roman" w:cs="Times New Roman"/>
      <w:sz w:val="24"/>
      <w:lang w:val="fr-FR"/>
    </w:rPr>
  </w:style>
  <w:style w:type="paragraph" w:styleId="ListNumber2">
    <w:name w:val="List Number 2"/>
    <w:basedOn w:val="Text2"/>
    <w:uiPriority w:val="99"/>
    <w:qFormat/>
    <w:rsid w:val="000F4A66"/>
    <w:pPr>
      <w:numPr>
        <w:numId w:val="99"/>
      </w:numPr>
      <w:tabs>
        <w:tab w:val="clear" w:pos="2302"/>
      </w:tabs>
    </w:pPr>
    <w:rPr>
      <w:lang w:val="fr-FR"/>
    </w:rPr>
  </w:style>
  <w:style w:type="paragraph" w:styleId="ListNumber3">
    <w:name w:val="List Number 3"/>
    <w:basedOn w:val="Text3"/>
    <w:uiPriority w:val="99"/>
    <w:qFormat/>
    <w:rsid w:val="000F4A66"/>
    <w:pPr>
      <w:numPr>
        <w:numId w:val="100"/>
      </w:numPr>
      <w:tabs>
        <w:tab w:val="clear" w:pos="2302"/>
      </w:tabs>
    </w:pPr>
  </w:style>
  <w:style w:type="paragraph" w:styleId="ListNumber4">
    <w:name w:val="List Number 4"/>
    <w:basedOn w:val="Text4"/>
    <w:uiPriority w:val="99"/>
    <w:rsid w:val="000F4A66"/>
    <w:pPr>
      <w:numPr>
        <w:numId w:val="101"/>
      </w:numPr>
      <w:tabs>
        <w:tab w:val="clear" w:pos="2302"/>
      </w:tabs>
    </w:pPr>
  </w:style>
  <w:style w:type="paragraph" w:styleId="ListNumber5">
    <w:name w:val="List Number 5"/>
    <w:basedOn w:val="Normal"/>
    <w:uiPriority w:val="99"/>
    <w:rsid w:val="000F4A66"/>
    <w:pPr>
      <w:numPr>
        <w:numId w:val="89"/>
      </w:numPr>
      <w:spacing w:after="240" w:line="240" w:lineRule="auto"/>
      <w:jc w:val="both"/>
    </w:pPr>
    <w:rPr>
      <w:rFonts w:ascii="Times New Roman" w:eastAsia="Times New Roman" w:hAnsi="Times New Roman" w:cs="Times New Roman"/>
      <w:sz w:val="24"/>
      <w:lang w:val="fr-FR"/>
    </w:rPr>
  </w:style>
  <w:style w:type="paragraph" w:styleId="MacroText">
    <w:name w:val="macro"/>
    <w:link w:val="MacroTextChar"/>
    <w:uiPriority w:val="99"/>
    <w:rsid w:val="000F4A66"/>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lang w:val="en-GB"/>
    </w:rPr>
  </w:style>
  <w:style w:type="character" w:customStyle="1" w:styleId="MacroTextChar">
    <w:name w:val="Macro Text Char"/>
    <w:basedOn w:val="DefaultParagraphFont"/>
    <w:link w:val="MacroText"/>
    <w:uiPriority w:val="99"/>
    <w:rsid w:val="000F4A66"/>
    <w:rPr>
      <w:rFonts w:ascii="Courier New" w:eastAsia="Times New Roman" w:hAnsi="Courier New" w:cs="Times New Roman"/>
      <w:lang w:val="en-GB"/>
    </w:rPr>
  </w:style>
  <w:style w:type="paragraph" w:styleId="MessageHeader">
    <w:name w:val="Message Header"/>
    <w:basedOn w:val="Normal"/>
    <w:link w:val="MessageHeaderChar"/>
    <w:uiPriority w:val="99"/>
    <w:rsid w:val="000F4A66"/>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fr-FR"/>
    </w:rPr>
  </w:style>
  <w:style w:type="character" w:customStyle="1" w:styleId="MessageHeaderChar">
    <w:name w:val="Message Header Char"/>
    <w:basedOn w:val="DefaultParagraphFont"/>
    <w:link w:val="MessageHeader"/>
    <w:uiPriority w:val="99"/>
    <w:rsid w:val="000F4A66"/>
    <w:rPr>
      <w:rFonts w:ascii="Arial" w:eastAsia="Times New Roman" w:hAnsi="Arial" w:cs="Times New Roman"/>
      <w:sz w:val="24"/>
      <w:shd w:val="pct20" w:color="auto" w:fill="auto"/>
      <w:lang w:val="fr-FR"/>
    </w:rPr>
  </w:style>
  <w:style w:type="character" w:customStyle="1" w:styleId="NormalIndentChar">
    <w:name w:val="Normal Indent Char"/>
    <w:link w:val="NormalIndent"/>
    <w:uiPriority w:val="99"/>
    <w:rsid w:val="000F4A66"/>
    <w:rPr>
      <w:sz w:val="22"/>
      <w:szCs w:val="22"/>
      <w:lang w:val="en-GB"/>
    </w:rPr>
  </w:style>
  <w:style w:type="paragraph" w:styleId="NoteHeading">
    <w:name w:val="Note Heading"/>
    <w:basedOn w:val="Normal"/>
    <w:next w:val="Normal"/>
    <w:link w:val="NoteHeadingChar"/>
    <w:uiPriority w:val="99"/>
    <w:rsid w:val="000F4A66"/>
    <w:pPr>
      <w:spacing w:after="240" w:line="240" w:lineRule="auto"/>
      <w:jc w:val="both"/>
    </w:pPr>
    <w:rPr>
      <w:rFonts w:ascii="Times New Roman" w:eastAsia="Times New Roman" w:hAnsi="Times New Roman" w:cs="Times New Roman"/>
      <w:sz w:val="24"/>
      <w:lang w:val="fr-FR"/>
    </w:rPr>
  </w:style>
  <w:style w:type="character" w:customStyle="1" w:styleId="NoteHeadingChar">
    <w:name w:val="Note Heading Char"/>
    <w:basedOn w:val="DefaultParagraphFont"/>
    <w:link w:val="NoteHeading"/>
    <w:uiPriority w:val="99"/>
    <w:rsid w:val="000F4A66"/>
    <w:rPr>
      <w:rFonts w:ascii="Times New Roman" w:eastAsia="Times New Roman" w:hAnsi="Times New Roman" w:cs="Times New Roman"/>
      <w:sz w:val="24"/>
      <w:lang w:val="fr-FR"/>
    </w:rPr>
  </w:style>
  <w:style w:type="paragraph" w:customStyle="1" w:styleId="NoteHead">
    <w:name w:val="NoteHead"/>
    <w:basedOn w:val="Normal"/>
    <w:next w:val="Subject"/>
    <w:uiPriority w:val="99"/>
    <w:rsid w:val="000F4A66"/>
    <w:pPr>
      <w:spacing w:before="720" w:after="720" w:line="240" w:lineRule="auto"/>
      <w:jc w:val="center"/>
    </w:pPr>
    <w:rPr>
      <w:rFonts w:ascii="Times New Roman" w:eastAsia="Times New Roman" w:hAnsi="Times New Roman" w:cs="Times New Roman"/>
      <w:b/>
      <w:smallCaps/>
      <w:sz w:val="24"/>
      <w:lang w:val="fr-FR"/>
    </w:rPr>
  </w:style>
  <w:style w:type="paragraph" w:customStyle="1" w:styleId="Subject">
    <w:name w:val="Subject"/>
    <w:basedOn w:val="Normal"/>
    <w:next w:val="Normal"/>
    <w:uiPriority w:val="99"/>
    <w:rsid w:val="000F4A66"/>
    <w:pPr>
      <w:spacing w:after="480" w:line="240" w:lineRule="auto"/>
      <w:ind w:left="1531" w:hanging="1531"/>
    </w:pPr>
    <w:rPr>
      <w:rFonts w:ascii="Times New Roman" w:eastAsia="Times New Roman" w:hAnsi="Times New Roman" w:cs="Times New Roman"/>
      <w:b/>
      <w:sz w:val="24"/>
      <w:lang w:val="fr-FR"/>
    </w:rPr>
  </w:style>
  <w:style w:type="paragraph" w:customStyle="1" w:styleId="NoteList">
    <w:name w:val="NoteList"/>
    <w:basedOn w:val="Normal"/>
    <w:next w:val="Subject"/>
    <w:uiPriority w:val="99"/>
    <w:rsid w:val="000F4A66"/>
    <w:pPr>
      <w:tabs>
        <w:tab w:val="left" w:pos="5823"/>
      </w:tabs>
      <w:spacing w:before="720" w:after="720" w:line="240" w:lineRule="auto"/>
      <w:ind w:left="5104" w:hanging="3119"/>
    </w:pPr>
    <w:rPr>
      <w:rFonts w:ascii="Times New Roman" w:eastAsia="Times New Roman" w:hAnsi="Times New Roman" w:cs="Times New Roman"/>
      <w:b/>
      <w:smallCaps/>
      <w:sz w:val="24"/>
      <w:lang w:val="fr-FR"/>
    </w:rPr>
  </w:style>
  <w:style w:type="paragraph" w:customStyle="1" w:styleId="NumPar2">
    <w:name w:val="NumPar 2"/>
    <w:basedOn w:val="Heading2"/>
    <w:next w:val="Text2"/>
    <w:uiPriority w:val="99"/>
    <w:rsid w:val="000F4A66"/>
    <w:pPr>
      <w:numPr>
        <w:ilvl w:val="0"/>
        <w:numId w:val="0"/>
      </w:numPr>
      <w:tabs>
        <w:tab w:val="left" w:pos="1026"/>
      </w:tabs>
      <w:spacing w:before="240" w:after="240"/>
      <w:ind w:left="576" w:hanging="576"/>
      <w:jc w:val="left"/>
      <w:outlineLvl w:val="9"/>
    </w:pPr>
    <w:rPr>
      <w:rFonts w:ascii="Verdana" w:hAnsi="Verdana"/>
      <w:b w:val="0"/>
      <w:lang w:val="en-GB"/>
    </w:rPr>
  </w:style>
  <w:style w:type="paragraph" w:customStyle="1" w:styleId="NumPar3">
    <w:name w:val="NumPar 3"/>
    <w:basedOn w:val="Heading3"/>
    <w:next w:val="Text3"/>
    <w:uiPriority w:val="99"/>
    <w:rsid w:val="000F4A66"/>
    <w:pPr>
      <w:tabs>
        <w:tab w:val="left" w:pos="1026"/>
      </w:tabs>
      <w:spacing w:after="240"/>
      <w:jc w:val="left"/>
      <w:outlineLvl w:val="9"/>
    </w:pPr>
    <w:rPr>
      <w:rFonts w:ascii="Verdana" w:hAnsi="Verdana"/>
      <w:sz w:val="22"/>
      <w:szCs w:val="20"/>
    </w:rPr>
  </w:style>
  <w:style w:type="paragraph" w:customStyle="1" w:styleId="NumPar4">
    <w:name w:val="NumPar 4"/>
    <w:basedOn w:val="Heading4"/>
    <w:next w:val="Text4"/>
    <w:uiPriority w:val="99"/>
    <w:rsid w:val="000F4A66"/>
    <w:pPr>
      <w:keepNext w:val="0"/>
      <w:numPr>
        <w:ilvl w:val="0"/>
        <w:numId w:val="0"/>
      </w:numPr>
      <w:tabs>
        <w:tab w:val="left" w:pos="1026"/>
      </w:tabs>
      <w:spacing w:before="240"/>
      <w:ind w:left="864" w:hanging="864"/>
      <w:outlineLvl w:val="9"/>
    </w:pPr>
    <w:rPr>
      <w:rFonts w:ascii="Verdana" w:hAnsi="Verdana"/>
      <w:b/>
      <w:i/>
      <w:color w:val="808080" w:themeColor="background1" w:themeShade="80"/>
      <w:sz w:val="20"/>
      <w:lang w:val="en-GB"/>
    </w:rPr>
  </w:style>
  <w:style w:type="paragraph" w:customStyle="1" w:styleId="PartTitle">
    <w:name w:val="PartTitle"/>
    <w:basedOn w:val="Normal"/>
    <w:next w:val="ChapterTitle"/>
    <w:uiPriority w:val="99"/>
    <w:rsid w:val="000F4A66"/>
    <w:pPr>
      <w:keepNext/>
      <w:pageBreakBefore/>
      <w:spacing w:after="480" w:line="240" w:lineRule="auto"/>
      <w:jc w:val="center"/>
    </w:pPr>
    <w:rPr>
      <w:rFonts w:ascii="Times New Roman" w:eastAsia="Times New Roman" w:hAnsi="Times New Roman" w:cs="Times New Roman"/>
      <w:b/>
      <w:sz w:val="36"/>
      <w:lang w:val="fr-FR"/>
    </w:rPr>
  </w:style>
  <w:style w:type="paragraph" w:styleId="PlainText">
    <w:name w:val="Plain Text"/>
    <w:basedOn w:val="Normal"/>
    <w:link w:val="PlainTextChar"/>
    <w:uiPriority w:val="99"/>
    <w:rsid w:val="000F4A66"/>
    <w:pPr>
      <w:spacing w:after="240" w:line="240" w:lineRule="auto"/>
      <w:jc w:val="both"/>
    </w:pPr>
    <w:rPr>
      <w:rFonts w:ascii="Courier New" w:eastAsia="Times New Roman" w:hAnsi="Courier New" w:cs="Times New Roman"/>
      <w:lang w:val="fr-FR"/>
    </w:rPr>
  </w:style>
  <w:style w:type="character" w:customStyle="1" w:styleId="PlainTextChar">
    <w:name w:val="Plain Text Char"/>
    <w:basedOn w:val="DefaultParagraphFont"/>
    <w:link w:val="PlainText"/>
    <w:uiPriority w:val="99"/>
    <w:rsid w:val="000F4A66"/>
    <w:rPr>
      <w:rFonts w:ascii="Courier New" w:eastAsia="Times New Roman" w:hAnsi="Courier New" w:cs="Times New Roman"/>
      <w:lang w:val="fr-FR"/>
    </w:rPr>
  </w:style>
  <w:style w:type="paragraph" w:styleId="Salutation">
    <w:name w:val="Salutation"/>
    <w:basedOn w:val="Normal"/>
    <w:next w:val="Normal"/>
    <w:link w:val="SalutationChar"/>
    <w:uiPriority w:val="99"/>
    <w:rsid w:val="000F4A66"/>
    <w:pPr>
      <w:spacing w:after="240" w:line="240" w:lineRule="auto"/>
      <w:jc w:val="both"/>
    </w:pPr>
    <w:rPr>
      <w:rFonts w:ascii="Times New Roman" w:eastAsia="Times New Roman" w:hAnsi="Times New Roman" w:cs="Times New Roman"/>
      <w:sz w:val="24"/>
      <w:lang w:val="fr-FR"/>
    </w:rPr>
  </w:style>
  <w:style w:type="character" w:customStyle="1" w:styleId="SalutationChar">
    <w:name w:val="Salutation Char"/>
    <w:basedOn w:val="DefaultParagraphFont"/>
    <w:link w:val="Salutation"/>
    <w:uiPriority w:val="99"/>
    <w:rsid w:val="000F4A66"/>
    <w:rPr>
      <w:rFonts w:ascii="Times New Roman" w:eastAsia="Times New Roman" w:hAnsi="Times New Roman" w:cs="Times New Roman"/>
      <w:sz w:val="24"/>
      <w:lang w:val="fr-FR"/>
    </w:rPr>
  </w:style>
  <w:style w:type="paragraph" w:styleId="Signature">
    <w:name w:val="Signature"/>
    <w:basedOn w:val="Normal"/>
    <w:next w:val="Enclosures"/>
    <w:link w:val="SignatureChar"/>
    <w:uiPriority w:val="99"/>
    <w:rsid w:val="000F4A66"/>
    <w:pPr>
      <w:tabs>
        <w:tab w:val="left" w:pos="5103"/>
      </w:tabs>
      <w:spacing w:before="1200" w:after="0" w:line="240" w:lineRule="auto"/>
      <w:ind w:left="5103"/>
      <w:jc w:val="center"/>
    </w:pPr>
    <w:rPr>
      <w:rFonts w:ascii="Times New Roman" w:eastAsia="Times New Roman" w:hAnsi="Times New Roman" w:cs="Times New Roman"/>
      <w:sz w:val="24"/>
      <w:lang w:val="fr-FR"/>
    </w:rPr>
  </w:style>
  <w:style w:type="character" w:customStyle="1" w:styleId="SignatureChar">
    <w:name w:val="Signature Char"/>
    <w:basedOn w:val="DefaultParagraphFont"/>
    <w:link w:val="Signature"/>
    <w:uiPriority w:val="99"/>
    <w:rsid w:val="000F4A66"/>
    <w:rPr>
      <w:rFonts w:ascii="Times New Roman" w:eastAsia="Times New Roman" w:hAnsi="Times New Roman" w:cs="Times New Roman"/>
      <w:sz w:val="24"/>
      <w:lang w:val="fr-FR"/>
    </w:rPr>
  </w:style>
  <w:style w:type="paragraph" w:styleId="Subtitle">
    <w:name w:val="Subtitle"/>
    <w:basedOn w:val="Normal"/>
    <w:link w:val="SubtitleChar"/>
    <w:uiPriority w:val="11"/>
    <w:qFormat/>
    <w:rsid w:val="000F4A66"/>
    <w:pPr>
      <w:spacing w:after="60" w:line="240" w:lineRule="auto"/>
      <w:jc w:val="center"/>
      <w:outlineLvl w:val="1"/>
    </w:pPr>
    <w:rPr>
      <w:rFonts w:ascii="Arial" w:eastAsia="Times New Roman" w:hAnsi="Arial" w:cs="Times New Roman"/>
      <w:sz w:val="24"/>
      <w:lang w:val="fr-FR"/>
    </w:rPr>
  </w:style>
  <w:style w:type="character" w:customStyle="1" w:styleId="SubtitleChar">
    <w:name w:val="Subtitle Char"/>
    <w:basedOn w:val="DefaultParagraphFont"/>
    <w:link w:val="Subtitle"/>
    <w:uiPriority w:val="11"/>
    <w:rsid w:val="000F4A66"/>
    <w:rPr>
      <w:rFonts w:ascii="Arial" w:eastAsia="Times New Roman" w:hAnsi="Arial" w:cs="Times New Roman"/>
      <w:sz w:val="24"/>
      <w:lang w:val="fr-FR"/>
    </w:rPr>
  </w:style>
  <w:style w:type="paragraph" w:customStyle="1" w:styleId="SubTitle20">
    <w:name w:val="SubTitle 2"/>
    <w:basedOn w:val="Normal"/>
    <w:uiPriority w:val="99"/>
    <w:rsid w:val="000F4A66"/>
    <w:pPr>
      <w:spacing w:after="240" w:line="240" w:lineRule="auto"/>
      <w:jc w:val="center"/>
    </w:pPr>
    <w:rPr>
      <w:rFonts w:ascii="Times New Roman" w:eastAsia="Times New Roman" w:hAnsi="Times New Roman" w:cs="Times New Roman"/>
      <w:b/>
      <w:sz w:val="32"/>
      <w:lang w:val="fr-FR"/>
    </w:rPr>
  </w:style>
  <w:style w:type="paragraph" w:styleId="TableofAuthorities">
    <w:name w:val="table of authorities"/>
    <w:basedOn w:val="Normal"/>
    <w:next w:val="Normal"/>
    <w:uiPriority w:val="99"/>
    <w:rsid w:val="000F4A66"/>
    <w:pPr>
      <w:spacing w:after="240" w:line="240" w:lineRule="auto"/>
      <w:ind w:left="240" w:hanging="240"/>
      <w:jc w:val="both"/>
    </w:pPr>
    <w:rPr>
      <w:rFonts w:ascii="Times New Roman" w:eastAsia="Times New Roman" w:hAnsi="Times New Roman" w:cs="Times New Roman"/>
      <w:sz w:val="24"/>
      <w:lang w:val="fr-FR"/>
    </w:rPr>
  </w:style>
  <w:style w:type="paragraph" w:styleId="TableofFigures">
    <w:name w:val="table of figures"/>
    <w:basedOn w:val="Normal"/>
    <w:next w:val="Normal"/>
    <w:uiPriority w:val="99"/>
    <w:rsid w:val="000F4A66"/>
    <w:pPr>
      <w:spacing w:after="240" w:line="240" w:lineRule="auto"/>
      <w:ind w:left="480" w:hanging="480"/>
      <w:jc w:val="both"/>
    </w:pPr>
    <w:rPr>
      <w:rFonts w:ascii="Times New Roman" w:eastAsia="Times New Roman" w:hAnsi="Times New Roman" w:cs="Times New Roman"/>
      <w:sz w:val="24"/>
      <w:lang w:val="fr-FR"/>
    </w:rPr>
  </w:style>
  <w:style w:type="paragraph" w:styleId="TOAHeading">
    <w:name w:val="toa heading"/>
    <w:basedOn w:val="Normal"/>
    <w:next w:val="Normal"/>
    <w:uiPriority w:val="99"/>
    <w:rsid w:val="000F4A66"/>
    <w:pPr>
      <w:spacing w:before="120" w:after="240" w:line="240" w:lineRule="auto"/>
      <w:jc w:val="both"/>
    </w:pPr>
    <w:rPr>
      <w:rFonts w:ascii="Arial" w:eastAsia="Times New Roman" w:hAnsi="Arial" w:cs="Times New Roman"/>
      <w:b/>
      <w:sz w:val="24"/>
      <w:lang w:val="fr-FR"/>
    </w:rPr>
  </w:style>
  <w:style w:type="paragraph" w:customStyle="1" w:styleId="YReferences">
    <w:name w:val="YReferences"/>
    <w:basedOn w:val="Normal"/>
    <w:next w:val="Normal"/>
    <w:uiPriority w:val="99"/>
    <w:rsid w:val="000F4A66"/>
    <w:pPr>
      <w:spacing w:after="480" w:line="240" w:lineRule="auto"/>
      <w:ind w:left="1531" w:hanging="1531"/>
      <w:jc w:val="both"/>
    </w:pPr>
    <w:rPr>
      <w:rFonts w:ascii="Times New Roman" w:eastAsia="Times New Roman" w:hAnsi="Times New Roman" w:cs="Times New Roman"/>
      <w:sz w:val="24"/>
      <w:lang w:val="fr-FR"/>
    </w:rPr>
  </w:style>
  <w:style w:type="paragraph" w:customStyle="1" w:styleId="ListBullet1">
    <w:name w:val="List Bullet 1"/>
    <w:basedOn w:val="Text1"/>
    <w:uiPriority w:val="99"/>
    <w:rsid w:val="000F4A66"/>
    <w:pPr>
      <w:numPr>
        <w:numId w:val="90"/>
      </w:numPr>
    </w:pPr>
    <w:rPr>
      <w:lang w:val="fr-FR"/>
    </w:rPr>
  </w:style>
  <w:style w:type="paragraph" w:customStyle="1" w:styleId="ListDash">
    <w:name w:val="List Dash"/>
    <w:basedOn w:val="Normal"/>
    <w:uiPriority w:val="99"/>
    <w:rsid w:val="000F4A66"/>
    <w:pPr>
      <w:numPr>
        <w:numId w:val="93"/>
      </w:numPr>
      <w:spacing w:after="240" w:line="240" w:lineRule="auto"/>
      <w:jc w:val="both"/>
    </w:pPr>
    <w:rPr>
      <w:rFonts w:ascii="Times New Roman" w:eastAsia="Times New Roman" w:hAnsi="Times New Roman" w:cs="Times New Roman"/>
      <w:sz w:val="24"/>
      <w:lang w:val="fr-FR"/>
    </w:rPr>
  </w:style>
  <w:style w:type="paragraph" w:customStyle="1" w:styleId="ListDash2">
    <w:name w:val="List Dash 2"/>
    <w:basedOn w:val="Text2"/>
    <w:uiPriority w:val="99"/>
    <w:rsid w:val="000F4A66"/>
    <w:pPr>
      <w:numPr>
        <w:numId w:val="94"/>
      </w:numPr>
      <w:tabs>
        <w:tab w:val="clear" w:pos="2302"/>
      </w:tabs>
    </w:pPr>
    <w:rPr>
      <w:lang w:val="fr-FR"/>
    </w:rPr>
  </w:style>
  <w:style w:type="paragraph" w:customStyle="1" w:styleId="ListDash3">
    <w:name w:val="List Dash 3"/>
    <w:basedOn w:val="Text3"/>
    <w:uiPriority w:val="99"/>
    <w:rsid w:val="000F4A66"/>
    <w:pPr>
      <w:numPr>
        <w:numId w:val="95"/>
      </w:numPr>
      <w:tabs>
        <w:tab w:val="clear" w:pos="1485"/>
      </w:tabs>
      <w:ind w:left="1202" w:firstLine="0"/>
    </w:pPr>
  </w:style>
  <w:style w:type="paragraph" w:customStyle="1" w:styleId="ListDash4">
    <w:name w:val="List Dash 4"/>
    <w:basedOn w:val="Text4"/>
    <w:uiPriority w:val="99"/>
    <w:rsid w:val="000F4A66"/>
    <w:pPr>
      <w:numPr>
        <w:numId w:val="96"/>
      </w:numPr>
      <w:tabs>
        <w:tab w:val="clear" w:pos="2302"/>
      </w:tabs>
    </w:pPr>
  </w:style>
  <w:style w:type="paragraph" w:customStyle="1" w:styleId="ListNumberLevel2">
    <w:name w:val="List Number (Level 2)"/>
    <w:basedOn w:val="Normal"/>
    <w:uiPriority w:val="99"/>
    <w:rsid w:val="000F4A66"/>
    <w:pPr>
      <w:numPr>
        <w:ilvl w:val="1"/>
        <w:numId w:val="97"/>
      </w:numPr>
      <w:spacing w:after="240" w:line="240" w:lineRule="auto"/>
      <w:jc w:val="both"/>
    </w:pPr>
    <w:rPr>
      <w:rFonts w:ascii="Times New Roman" w:eastAsia="Times New Roman" w:hAnsi="Times New Roman" w:cs="Times New Roman"/>
      <w:sz w:val="24"/>
      <w:lang w:val="fr-FR"/>
    </w:rPr>
  </w:style>
  <w:style w:type="paragraph" w:customStyle="1" w:styleId="ListNumberLevel3">
    <w:name w:val="List Number (Level 3)"/>
    <w:basedOn w:val="Normal"/>
    <w:uiPriority w:val="99"/>
    <w:rsid w:val="000F4A66"/>
    <w:pPr>
      <w:numPr>
        <w:ilvl w:val="2"/>
        <w:numId w:val="97"/>
      </w:numPr>
      <w:spacing w:after="240" w:line="240" w:lineRule="auto"/>
      <w:jc w:val="both"/>
    </w:pPr>
    <w:rPr>
      <w:rFonts w:ascii="Times New Roman" w:eastAsia="Times New Roman" w:hAnsi="Times New Roman" w:cs="Times New Roman"/>
      <w:sz w:val="24"/>
      <w:lang w:val="fr-FR"/>
    </w:rPr>
  </w:style>
  <w:style w:type="paragraph" w:customStyle="1" w:styleId="ListNumberLevel4">
    <w:name w:val="List Number (Level 4)"/>
    <w:basedOn w:val="Normal"/>
    <w:uiPriority w:val="99"/>
    <w:rsid w:val="000F4A66"/>
    <w:pPr>
      <w:numPr>
        <w:ilvl w:val="3"/>
        <w:numId w:val="97"/>
      </w:numPr>
      <w:spacing w:after="240" w:line="240" w:lineRule="auto"/>
      <w:jc w:val="both"/>
    </w:pPr>
    <w:rPr>
      <w:rFonts w:ascii="Times New Roman" w:eastAsia="Times New Roman" w:hAnsi="Times New Roman" w:cs="Times New Roman"/>
      <w:sz w:val="24"/>
      <w:lang w:val="fr-FR"/>
    </w:rPr>
  </w:style>
  <w:style w:type="paragraph" w:customStyle="1" w:styleId="ListNumber1">
    <w:name w:val="List Number 1"/>
    <w:basedOn w:val="Text1"/>
    <w:uiPriority w:val="99"/>
    <w:rsid w:val="000F4A66"/>
    <w:pPr>
      <w:numPr>
        <w:numId w:val="98"/>
      </w:numPr>
    </w:pPr>
    <w:rPr>
      <w:lang w:val="fr-FR"/>
    </w:rPr>
  </w:style>
  <w:style w:type="paragraph" w:customStyle="1" w:styleId="ListNumber1Level2">
    <w:name w:val="List Number 1 (Level 2)"/>
    <w:basedOn w:val="Text1"/>
    <w:uiPriority w:val="99"/>
    <w:rsid w:val="000F4A66"/>
    <w:pPr>
      <w:numPr>
        <w:ilvl w:val="1"/>
        <w:numId w:val="98"/>
      </w:numPr>
    </w:pPr>
    <w:rPr>
      <w:lang w:val="fr-FR"/>
    </w:rPr>
  </w:style>
  <w:style w:type="paragraph" w:customStyle="1" w:styleId="ListNumber1Level3">
    <w:name w:val="List Number 1 (Level 3)"/>
    <w:basedOn w:val="Text1"/>
    <w:uiPriority w:val="99"/>
    <w:rsid w:val="000F4A66"/>
    <w:pPr>
      <w:numPr>
        <w:ilvl w:val="2"/>
        <w:numId w:val="98"/>
      </w:numPr>
    </w:pPr>
    <w:rPr>
      <w:lang w:val="fr-FR"/>
    </w:rPr>
  </w:style>
  <w:style w:type="paragraph" w:customStyle="1" w:styleId="ListNumber1Level4">
    <w:name w:val="List Number 1 (Level 4)"/>
    <w:basedOn w:val="Text1"/>
    <w:uiPriority w:val="99"/>
    <w:rsid w:val="000F4A66"/>
    <w:pPr>
      <w:numPr>
        <w:ilvl w:val="3"/>
        <w:numId w:val="98"/>
      </w:numPr>
    </w:pPr>
    <w:rPr>
      <w:lang w:val="fr-FR"/>
    </w:rPr>
  </w:style>
  <w:style w:type="paragraph" w:customStyle="1" w:styleId="ListNumber2Level2">
    <w:name w:val="List Number 2 (Level 2)"/>
    <w:basedOn w:val="Text2"/>
    <w:uiPriority w:val="99"/>
    <w:rsid w:val="000F4A66"/>
    <w:pPr>
      <w:numPr>
        <w:ilvl w:val="1"/>
        <w:numId w:val="99"/>
      </w:numPr>
      <w:tabs>
        <w:tab w:val="clear" w:pos="2302"/>
      </w:tabs>
    </w:pPr>
    <w:rPr>
      <w:lang w:val="fr-FR"/>
    </w:rPr>
  </w:style>
  <w:style w:type="paragraph" w:customStyle="1" w:styleId="ListNumber2Level3">
    <w:name w:val="List Number 2 (Level 3)"/>
    <w:basedOn w:val="Text2"/>
    <w:uiPriority w:val="99"/>
    <w:rsid w:val="000F4A66"/>
    <w:pPr>
      <w:numPr>
        <w:ilvl w:val="2"/>
        <w:numId w:val="99"/>
      </w:numPr>
      <w:tabs>
        <w:tab w:val="clear" w:pos="2302"/>
      </w:tabs>
    </w:pPr>
    <w:rPr>
      <w:lang w:val="fr-FR"/>
    </w:rPr>
  </w:style>
  <w:style w:type="paragraph" w:customStyle="1" w:styleId="ListNumber2Level4">
    <w:name w:val="List Number 2 (Level 4)"/>
    <w:basedOn w:val="Text2"/>
    <w:uiPriority w:val="99"/>
    <w:rsid w:val="000F4A66"/>
    <w:pPr>
      <w:numPr>
        <w:ilvl w:val="3"/>
        <w:numId w:val="99"/>
      </w:numPr>
      <w:tabs>
        <w:tab w:val="clear" w:pos="2302"/>
      </w:tabs>
    </w:pPr>
    <w:rPr>
      <w:lang w:val="fr-FR"/>
    </w:rPr>
  </w:style>
  <w:style w:type="paragraph" w:customStyle="1" w:styleId="ListNumber3Level2">
    <w:name w:val="List Number 3 (Level 2)"/>
    <w:basedOn w:val="Text3"/>
    <w:uiPriority w:val="99"/>
    <w:rsid w:val="000F4A66"/>
    <w:pPr>
      <w:numPr>
        <w:ilvl w:val="1"/>
        <w:numId w:val="100"/>
      </w:numPr>
      <w:tabs>
        <w:tab w:val="clear" w:pos="2619"/>
      </w:tabs>
      <w:ind w:left="1202" w:firstLine="0"/>
    </w:pPr>
  </w:style>
  <w:style w:type="paragraph" w:customStyle="1" w:styleId="ListNumber3Level3">
    <w:name w:val="List Number 3 (Level 3)"/>
    <w:basedOn w:val="Text3"/>
    <w:uiPriority w:val="99"/>
    <w:rsid w:val="000F4A66"/>
    <w:pPr>
      <w:numPr>
        <w:ilvl w:val="2"/>
        <w:numId w:val="100"/>
      </w:numPr>
      <w:tabs>
        <w:tab w:val="clear" w:pos="3328"/>
      </w:tabs>
      <w:ind w:left="1202" w:firstLine="0"/>
    </w:pPr>
  </w:style>
  <w:style w:type="paragraph" w:customStyle="1" w:styleId="ListNumber3Level4">
    <w:name w:val="List Number 3 (Level 4)"/>
    <w:basedOn w:val="Text3"/>
    <w:uiPriority w:val="99"/>
    <w:rsid w:val="000F4A66"/>
    <w:pPr>
      <w:numPr>
        <w:ilvl w:val="3"/>
        <w:numId w:val="100"/>
      </w:numPr>
      <w:tabs>
        <w:tab w:val="clear" w:pos="4037"/>
      </w:tabs>
      <w:ind w:left="1202" w:firstLine="0"/>
    </w:pPr>
  </w:style>
  <w:style w:type="paragraph" w:customStyle="1" w:styleId="ListNumber4Level2">
    <w:name w:val="List Number 4 (Level 2)"/>
    <w:basedOn w:val="Text4"/>
    <w:uiPriority w:val="99"/>
    <w:rsid w:val="000F4A66"/>
    <w:pPr>
      <w:numPr>
        <w:ilvl w:val="1"/>
        <w:numId w:val="101"/>
      </w:numPr>
      <w:tabs>
        <w:tab w:val="clear" w:pos="2302"/>
      </w:tabs>
    </w:pPr>
  </w:style>
  <w:style w:type="paragraph" w:customStyle="1" w:styleId="ListNumber4Level3">
    <w:name w:val="List Number 4 (Level 3)"/>
    <w:basedOn w:val="Text4"/>
    <w:uiPriority w:val="99"/>
    <w:rsid w:val="000F4A66"/>
    <w:pPr>
      <w:numPr>
        <w:ilvl w:val="2"/>
        <w:numId w:val="101"/>
      </w:numPr>
      <w:tabs>
        <w:tab w:val="clear" w:pos="2302"/>
      </w:tabs>
    </w:pPr>
  </w:style>
  <w:style w:type="paragraph" w:customStyle="1" w:styleId="ListNumber4Level4">
    <w:name w:val="List Number 4 (Level 4)"/>
    <w:basedOn w:val="Text4"/>
    <w:uiPriority w:val="99"/>
    <w:rsid w:val="000F4A66"/>
    <w:pPr>
      <w:numPr>
        <w:ilvl w:val="3"/>
        <w:numId w:val="101"/>
      </w:numPr>
      <w:tabs>
        <w:tab w:val="clear" w:pos="2302"/>
      </w:tabs>
    </w:pPr>
  </w:style>
  <w:style w:type="paragraph" w:customStyle="1" w:styleId="TOCHeading1">
    <w:name w:val="TOC Heading1"/>
    <w:basedOn w:val="Normal"/>
    <w:next w:val="Normal"/>
    <w:uiPriority w:val="99"/>
    <w:rsid w:val="000F4A66"/>
    <w:pPr>
      <w:keepNext/>
      <w:spacing w:before="240" w:after="240" w:line="240" w:lineRule="auto"/>
      <w:jc w:val="center"/>
    </w:pPr>
    <w:rPr>
      <w:rFonts w:ascii="Times New Roman" w:eastAsia="Times New Roman" w:hAnsi="Times New Roman" w:cs="Times New Roman"/>
      <w:b/>
      <w:sz w:val="24"/>
      <w:lang w:val="fr-FR"/>
    </w:rPr>
  </w:style>
  <w:style w:type="paragraph" w:customStyle="1" w:styleId="Contact">
    <w:name w:val="Contact"/>
    <w:basedOn w:val="Normal"/>
    <w:next w:val="Normal"/>
    <w:uiPriority w:val="99"/>
    <w:rsid w:val="000F4A66"/>
    <w:pPr>
      <w:spacing w:after="480" w:line="240" w:lineRule="auto"/>
      <w:ind w:left="567" w:hanging="567"/>
    </w:pPr>
    <w:rPr>
      <w:rFonts w:ascii="Times New Roman" w:eastAsia="Times New Roman" w:hAnsi="Times New Roman" w:cs="Times New Roman"/>
      <w:sz w:val="24"/>
      <w:lang w:val="fr-FR"/>
    </w:rPr>
  </w:style>
  <w:style w:type="paragraph" w:customStyle="1" w:styleId="ZCom">
    <w:name w:val="Z_Com"/>
    <w:basedOn w:val="Normal"/>
    <w:next w:val="ZDGName"/>
    <w:uiPriority w:val="99"/>
    <w:rsid w:val="000F4A66"/>
    <w:pPr>
      <w:widowControl w:val="0"/>
      <w:autoSpaceDE w:val="0"/>
      <w:autoSpaceDN w:val="0"/>
      <w:spacing w:after="0" w:line="240" w:lineRule="auto"/>
      <w:ind w:right="85"/>
      <w:jc w:val="both"/>
    </w:pPr>
    <w:rPr>
      <w:rFonts w:ascii="Arial" w:eastAsia="Times New Roman" w:hAnsi="Arial" w:cs="Arial"/>
      <w:sz w:val="24"/>
      <w:szCs w:val="24"/>
      <w:lang w:val="fr-FR" w:eastAsia="en-GB"/>
    </w:rPr>
  </w:style>
  <w:style w:type="paragraph" w:customStyle="1" w:styleId="ZDGName">
    <w:name w:val="Z_DGName"/>
    <w:basedOn w:val="Normal"/>
    <w:uiPriority w:val="99"/>
    <w:rsid w:val="000F4A66"/>
    <w:pPr>
      <w:widowControl w:val="0"/>
      <w:autoSpaceDE w:val="0"/>
      <w:autoSpaceDN w:val="0"/>
      <w:spacing w:after="0" w:line="240" w:lineRule="auto"/>
      <w:ind w:right="85"/>
    </w:pPr>
    <w:rPr>
      <w:rFonts w:ascii="Arial" w:eastAsia="Times New Roman" w:hAnsi="Arial" w:cs="Arial"/>
      <w:sz w:val="16"/>
      <w:szCs w:val="16"/>
      <w:lang w:val="fr-FR" w:eastAsia="en-GB"/>
    </w:rPr>
  </w:style>
  <w:style w:type="table" w:styleId="ColorfulGrid-Accent3">
    <w:name w:val="Colorful Grid Accent 3"/>
    <w:basedOn w:val="TableNormal"/>
    <w:uiPriority w:val="69"/>
    <w:rsid w:val="000F4A66"/>
    <w:pPr>
      <w:spacing w:after="0" w:line="240" w:lineRule="auto"/>
    </w:pPr>
    <w:rPr>
      <w:rFonts w:ascii="Verdana" w:eastAsia="Times New Roman" w:hAnsi="Verdana" w:cs="Times New Roman"/>
      <w:sz w:val="18"/>
      <w:lang w:val="nl-BE" w:eastAsia="nl-B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BalloonTextChar1">
    <w:name w:val="Balloon Text Char1"/>
    <w:basedOn w:val="DefaultParagraphFont"/>
    <w:uiPriority w:val="99"/>
    <w:rsid w:val="000F4A66"/>
    <w:rPr>
      <w:rFonts w:ascii="Tahoma" w:hAnsi="Tahoma" w:cs="Tahoma"/>
      <w:sz w:val="16"/>
      <w:szCs w:val="16"/>
      <w:lang w:val="fr-FR" w:eastAsia="en-US"/>
    </w:rPr>
  </w:style>
  <w:style w:type="paragraph" w:customStyle="1" w:styleId="DocumentTitle">
    <w:name w:val="Document Title"/>
    <w:basedOn w:val="Normal"/>
    <w:link w:val="DocumentTitleChar"/>
    <w:qFormat/>
    <w:rsid w:val="000F4A66"/>
    <w:pPr>
      <w:spacing w:after="240" w:line="240" w:lineRule="auto"/>
      <w:jc w:val="center"/>
    </w:pPr>
    <w:rPr>
      <w:rFonts w:ascii="Verdana" w:eastAsia="Times New Roman" w:hAnsi="Verdana" w:cs="Times New Roman"/>
      <w:b/>
      <w:sz w:val="52"/>
      <w:lang w:val="fr-FR"/>
    </w:rPr>
  </w:style>
  <w:style w:type="character" w:customStyle="1" w:styleId="DocumentTitleChar">
    <w:name w:val="Document Title Char"/>
    <w:link w:val="DocumentTitle"/>
    <w:rsid w:val="000F4A66"/>
    <w:rPr>
      <w:rFonts w:ascii="Verdana" w:eastAsia="Times New Roman" w:hAnsi="Verdana" w:cs="Times New Roman"/>
      <w:b/>
      <w:sz w:val="52"/>
      <w:lang w:val="fr-FR"/>
    </w:rPr>
  </w:style>
  <w:style w:type="paragraph" w:customStyle="1" w:styleId="FooterDate">
    <w:name w:val="Footer Date"/>
    <w:basedOn w:val="Footer"/>
    <w:link w:val="FooterDateChar"/>
    <w:uiPriority w:val="99"/>
    <w:rsid w:val="000F4A66"/>
    <w:pPr>
      <w:tabs>
        <w:tab w:val="clear" w:pos="4535"/>
        <w:tab w:val="clear" w:pos="9071"/>
        <w:tab w:val="clear" w:pos="9921"/>
        <w:tab w:val="right" w:pos="9240"/>
      </w:tabs>
      <w:spacing w:before="0"/>
      <w:ind w:left="0" w:right="-567"/>
    </w:pPr>
    <w:rPr>
      <w:rFonts w:ascii="Verdana" w:eastAsia="Times New Roman" w:hAnsi="Verdana"/>
      <w:sz w:val="16"/>
      <w:lang w:val="it-IT"/>
    </w:rPr>
  </w:style>
  <w:style w:type="character" w:customStyle="1" w:styleId="FooterDateChar">
    <w:name w:val="Footer Date Char"/>
    <w:link w:val="FooterDate"/>
    <w:uiPriority w:val="99"/>
    <w:rsid w:val="000F4A66"/>
    <w:rPr>
      <w:rFonts w:ascii="Verdana" w:eastAsia="Times New Roman" w:hAnsi="Verdana" w:cs="Times New Roman"/>
      <w:sz w:val="16"/>
      <w:lang w:val="it-IT"/>
    </w:rPr>
  </w:style>
  <w:style w:type="paragraph" w:customStyle="1" w:styleId="PageNumber1">
    <w:name w:val="Page Number1"/>
    <w:basedOn w:val="Footer"/>
    <w:link w:val="PagenumberChar"/>
    <w:rsid w:val="000F4A66"/>
    <w:pPr>
      <w:tabs>
        <w:tab w:val="clear" w:pos="4535"/>
        <w:tab w:val="clear" w:pos="9071"/>
        <w:tab w:val="clear" w:pos="9921"/>
        <w:tab w:val="right" w:pos="9240"/>
      </w:tabs>
      <w:spacing w:before="0"/>
      <w:ind w:left="0" w:right="-622"/>
    </w:pPr>
    <w:rPr>
      <w:rFonts w:ascii="Verdana" w:eastAsia="Times New Roman" w:hAnsi="Verdana"/>
      <w:sz w:val="16"/>
      <w:lang w:val="fr-BE"/>
    </w:rPr>
  </w:style>
  <w:style w:type="character" w:customStyle="1" w:styleId="PagenumberChar">
    <w:name w:val="Page number Char"/>
    <w:link w:val="PageNumber1"/>
    <w:rsid w:val="000F4A66"/>
    <w:rPr>
      <w:rFonts w:ascii="Verdana" w:eastAsia="Times New Roman" w:hAnsi="Verdana" w:cs="Times New Roman"/>
      <w:sz w:val="16"/>
      <w:lang w:val="fr-BE"/>
    </w:rPr>
  </w:style>
  <w:style w:type="paragraph" w:customStyle="1" w:styleId="DocumentSubtitle">
    <w:name w:val="Document Subtitle"/>
    <w:basedOn w:val="DocumentTitle"/>
    <w:link w:val="DocumentSubtitleChar"/>
    <w:qFormat/>
    <w:rsid w:val="000F4A66"/>
    <w:rPr>
      <w:b w:val="0"/>
      <w:sz w:val="32"/>
      <w:szCs w:val="36"/>
      <w:lang w:val="en-GB"/>
    </w:rPr>
  </w:style>
  <w:style w:type="character" w:customStyle="1" w:styleId="DocumentSubtitleChar">
    <w:name w:val="Document Subtitle Char"/>
    <w:link w:val="DocumentSubtitle"/>
    <w:rsid w:val="000F4A66"/>
    <w:rPr>
      <w:rFonts w:ascii="Verdana" w:eastAsia="Times New Roman" w:hAnsi="Verdana" w:cs="Times New Roman"/>
      <w:sz w:val="32"/>
      <w:szCs w:val="36"/>
      <w:lang w:val="en-GB"/>
    </w:rPr>
  </w:style>
  <w:style w:type="paragraph" w:customStyle="1" w:styleId="HeaderTitle">
    <w:name w:val="Header Title"/>
    <w:basedOn w:val="Normal"/>
    <w:link w:val="HeaderTitleChar"/>
    <w:uiPriority w:val="99"/>
    <w:rsid w:val="000F4A66"/>
    <w:pPr>
      <w:numPr>
        <w:numId w:val="124"/>
      </w:numPr>
      <w:spacing w:after="240" w:line="240" w:lineRule="auto"/>
      <w:jc w:val="center"/>
    </w:pPr>
    <w:rPr>
      <w:rFonts w:ascii="Verdana" w:eastAsia="Times New Roman" w:hAnsi="Verdana" w:cs="Times New Roman"/>
      <w:b/>
      <w:color w:val="808080"/>
      <w:sz w:val="18"/>
      <w:szCs w:val="18"/>
      <w:lang w:val="fr-FR"/>
    </w:rPr>
  </w:style>
  <w:style w:type="character" w:customStyle="1" w:styleId="HeaderTitleChar">
    <w:name w:val="Header Title Char"/>
    <w:link w:val="HeaderTitle"/>
    <w:uiPriority w:val="99"/>
    <w:rsid w:val="000F4A66"/>
    <w:rPr>
      <w:rFonts w:ascii="Verdana" w:eastAsia="Times New Roman" w:hAnsi="Verdana" w:cs="Times New Roman"/>
      <w:b/>
      <w:color w:val="808080"/>
      <w:sz w:val="18"/>
      <w:szCs w:val="18"/>
      <w:lang w:val="fr-FR"/>
    </w:rPr>
  </w:style>
  <w:style w:type="paragraph" w:customStyle="1" w:styleId="Heading">
    <w:name w:val="Heading"/>
    <w:basedOn w:val="TOC1"/>
    <w:link w:val="HeadingChar"/>
    <w:rsid w:val="000F4A66"/>
  </w:style>
  <w:style w:type="character" w:customStyle="1" w:styleId="HeadingChar">
    <w:name w:val="Heading Char"/>
    <w:link w:val="Heading"/>
    <w:rsid w:val="000F4A66"/>
    <w:rPr>
      <w:rFonts w:cstheme="minorHAnsi"/>
      <w:b/>
      <w:bCs/>
      <w:caps/>
    </w:rPr>
  </w:style>
  <w:style w:type="paragraph" w:customStyle="1" w:styleId="Heading20">
    <w:name w:val="Heading2"/>
    <w:basedOn w:val="Title2"/>
    <w:link w:val="Heading2Char0"/>
    <w:rsid w:val="000F4A66"/>
    <w:pPr>
      <w:numPr>
        <w:numId w:val="0"/>
      </w:numPr>
    </w:pPr>
    <w:rPr>
      <w:rFonts w:ascii="Verdana" w:hAnsi="Verdana"/>
      <w:b/>
      <w:i/>
    </w:rPr>
  </w:style>
  <w:style w:type="paragraph" w:customStyle="1" w:styleId="Title2">
    <w:name w:val="Title 2"/>
    <w:basedOn w:val="Normal"/>
    <w:uiPriority w:val="99"/>
    <w:rsid w:val="000F4A66"/>
    <w:pPr>
      <w:numPr>
        <w:numId w:val="102"/>
      </w:numPr>
      <w:spacing w:after="240" w:line="240" w:lineRule="auto"/>
      <w:jc w:val="both"/>
    </w:pPr>
    <w:rPr>
      <w:rFonts w:ascii="Times New Roman" w:eastAsia="Times New Roman" w:hAnsi="Times New Roman" w:cs="Times New Roman"/>
      <w:sz w:val="24"/>
      <w:lang w:val="fr-FR"/>
    </w:rPr>
  </w:style>
  <w:style w:type="character" w:customStyle="1" w:styleId="Heading2Char0">
    <w:name w:val="Heading2 Char"/>
    <w:link w:val="Heading20"/>
    <w:rsid w:val="000F4A66"/>
    <w:rPr>
      <w:rFonts w:ascii="Verdana" w:eastAsia="Times New Roman" w:hAnsi="Verdana" w:cs="Times New Roman"/>
      <w:b/>
      <w:i/>
      <w:sz w:val="24"/>
      <w:lang w:val="fr-FR"/>
    </w:rPr>
  </w:style>
  <w:style w:type="table" w:customStyle="1" w:styleId="Style1">
    <w:name w:val="Style1"/>
    <w:basedOn w:val="TableNormal"/>
    <w:rsid w:val="000F4A66"/>
    <w:pPr>
      <w:spacing w:after="0" w:line="240" w:lineRule="auto"/>
    </w:pPr>
    <w:rPr>
      <w:rFonts w:ascii="Times New Roman" w:eastAsia="Times New Roman" w:hAnsi="Times New Roman" w:cs="Times New Roman"/>
      <w:lang w:val="nl-BE" w:eastAsia="nl-BE"/>
    </w:rPr>
    <w:tblPr/>
  </w:style>
  <w:style w:type="table" w:styleId="TableElegant">
    <w:name w:val="Table Elegant"/>
    <w:basedOn w:val="TableNormal"/>
    <w:rsid w:val="000F4A66"/>
    <w:pPr>
      <w:spacing w:after="240" w:line="240" w:lineRule="auto"/>
      <w:jc w:val="both"/>
    </w:pPr>
    <w:rPr>
      <w:rFonts w:ascii="Times New Roman" w:eastAsia="Times New Roman" w:hAnsi="Times New Roman" w:cs="Times New Roman"/>
      <w:lang w:val="nl-BE"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rsid w:val="000F4A66"/>
    <w:pPr>
      <w:spacing w:before="120" w:after="0"/>
      <w:jc w:val="both"/>
    </w:pPr>
    <w:rPr>
      <w:i/>
      <w:noProof/>
      <w:sz w:val="13"/>
      <w:lang w:val="en-US"/>
    </w:rPr>
  </w:style>
  <w:style w:type="character" w:customStyle="1" w:styleId="FooterDocumentChar">
    <w:name w:val="Footer Document Char"/>
    <w:link w:val="FooterDocument"/>
    <w:rsid w:val="000F4A66"/>
    <w:rPr>
      <w:rFonts w:ascii="Verdana" w:eastAsia="Times New Roman" w:hAnsi="Verdana" w:cs="Times New Roman"/>
      <w:i/>
      <w:noProof/>
      <w:sz w:val="13"/>
    </w:rPr>
  </w:style>
  <w:style w:type="paragraph" w:customStyle="1" w:styleId="Subtitle0">
    <w:name w:val="Subtitle_"/>
    <w:basedOn w:val="TOC2"/>
    <w:link w:val="SubtitleChar0"/>
    <w:uiPriority w:val="99"/>
    <w:qFormat/>
    <w:rsid w:val="000F4A66"/>
    <w:pPr>
      <w:tabs>
        <w:tab w:val="right" w:leader="dot" w:pos="8640"/>
      </w:tabs>
      <w:spacing w:before="60" w:after="60" w:line="240" w:lineRule="auto"/>
      <w:ind w:left="0" w:right="720"/>
      <w:jc w:val="both"/>
    </w:pPr>
    <w:rPr>
      <w:rFonts w:ascii="Verdana" w:eastAsia="Times New Roman" w:hAnsi="Verdana" w:cs="Times New Roman"/>
      <w:b/>
      <w:i/>
      <w:smallCaps w:val="0"/>
      <w:sz w:val="24"/>
      <w:lang w:val="fr-FR"/>
    </w:rPr>
  </w:style>
  <w:style w:type="character" w:customStyle="1" w:styleId="SubtitleChar0">
    <w:name w:val="Subtitle_ Char"/>
    <w:basedOn w:val="Heading2Char0"/>
    <w:link w:val="Subtitle0"/>
    <w:uiPriority w:val="99"/>
    <w:rsid w:val="000F4A66"/>
    <w:rPr>
      <w:rFonts w:ascii="Verdana" w:eastAsia="Times New Roman" w:hAnsi="Verdana" w:cs="Times New Roman"/>
      <w:b/>
      <w:i/>
      <w:sz w:val="24"/>
      <w:lang w:val="fr-FR"/>
    </w:rPr>
  </w:style>
  <w:style w:type="paragraph" w:customStyle="1" w:styleId="HeadingBody">
    <w:name w:val="Heading Body"/>
    <w:basedOn w:val="Normal"/>
    <w:link w:val="HeadingBodyChar"/>
    <w:qFormat/>
    <w:rsid w:val="000F4A66"/>
    <w:pPr>
      <w:spacing w:after="120" w:line="240" w:lineRule="auto"/>
      <w:jc w:val="both"/>
    </w:pPr>
    <w:rPr>
      <w:rFonts w:ascii="Verdana" w:eastAsia="Times New Roman" w:hAnsi="Verdana" w:cs="Times New Roman"/>
      <w:b/>
      <w:szCs w:val="18"/>
      <w:lang w:val="en-GB"/>
    </w:rPr>
  </w:style>
  <w:style w:type="character" w:customStyle="1" w:styleId="HeadingBodyChar">
    <w:name w:val="Heading Body Char"/>
    <w:basedOn w:val="DefaultParagraphFont"/>
    <w:link w:val="HeadingBody"/>
    <w:rsid w:val="000F4A66"/>
    <w:rPr>
      <w:rFonts w:ascii="Verdana" w:eastAsia="Times New Roman" w:hAnsi="Verdana" w:cs="Times New Roman"/>
      <w:b/>
      <w:szCs w:val="18"/>
      <w:lang w:val="en-GB"/>
    </w:rPr>
  </w:style>
  <w:style w:type="paragraph" w:customStyle="1" w:styleId="Titlepublication">
    <w:name w:val="Title publication"/>
    <w:basedOn w:val="Normal"/>
    <w:link w:val="TitlepublicationChar"/>
    <w:qFormat/>
    <w:rsid w:val="000F4A66"/>
    <w:pPr>
      <w:spacing w:after="240" w:line="240" w:lineRule="auto"/>
      <w:jc w:val="center"/>
    </w:pPr>
    <w:rPr>
      <w:rFonts w:ascii="Verdana" w:eastAsia="Times New Roman" w:hAnsi="Verdana" w:cs="Times New Roman"/>
      <w:b/>
      <w:color w:val="FF0000"/>
      <w:sz w:val="52"/>
      <w:szCs w:val="52"/>
      <w:lang w:val="en-GB"/>
    </w:rPr>
  </w:style>
  <w:style w:type="character" w:customStyle="1" w:styleId="TitlepublicationChar">
    <w:name w:val="Title publication Char"/>
    <w:basedOn w:val="DefaultParagraphFont"/>
    <w:link w:val="Titlepublication"/>
    <w:rsid w:val="000F4A66"/>
    <w:rPr>
      <w:rFonts w:ascii="Verdana" w:eastAsia="Times New Roman" w:hAnsi="Verdana" w:cs="Times New Roman"/>
      <w:b/>
      <w:color w:val="FF0000"/>
      <w:sz w:val="52"/>
      <w:szCs w:val="52"/>
      <w:lang w:val="en-GB"/>
    </w:rPr>
  </w:style>
  <w:style w:type="paragraph" w:customStyle="1" w:styleId="Subtitlepublication">
    <w:name w:val="Subtitle publication"/>
    <w:basedOn w:val="Normal"/>
    <w:link w:val="SubtitlepublicationChar"/>
    <w:qFormat/>
    <w:rsid w:val="000F4A66"/>
    <w:pPr>
      <w:spacing w:after="240" w:line="240" w:lineRule="auto"/>
      <w:jc w:val="center"/>
    </w:pPr>
    <w:rPr>
      <w:rFonts w:ascii="Verdana" w:eastAsia="Times New Roman" w:hAnsi="Verdana" w:cs="Times New Roman"/>
      <w:b/>
      <w:i/>
      <w:color w:val="FF0000"/>
      <w:sz w:val="32"/>
      <w:lang w:val="en-GB"/>
    </w:rPr>
  </w:style>
  <w:style w:type="character" w:customStyle="1" w:styleId="SubtitlepublicationChar">
    <w:name w:val="Subtitle publication Char"/>
    <w:basedOn w:val="DefaultParagraphFont"/>
    <w:link w:val="Subtitlepublication"/>
    <w:rsid w:val="000F4A66"/>
    <w:rPr>
      <w:rFonts w:ascii="Verdana" w:eastAsia="Times New Roman" w:hAnsi="Verdana" w:cs="Times New Roman"/>
      <w:b/>
      <w:i/>
      <w:color w:val="FF0000"/>
      <w:sz w:val="32"/>
      <w:lang w:val="en-GB"/>
    </w:rPr>
  </w:style>
  <w:style w:type="paragraph" w:customStyle="1" w:styleId="Editorname">
    <w:name w:val="Editor name"/>
    <w:basedOn w:val="Normal"/>
    <w:link w:val="EditornameChar"/>
    <w:qFormat/>
    <w:rsid w:val="000F4A66"/>
    <w:pPr>
      <w:spacing w:after="240" w:line="240" w:lineRule="auto"/>
      <w:jc w:val="center"/>
    </w:pPr>
    <w:rPr>
      <w:rFonts w:ascii="Verdana" w:eastAsia="Times New Roman" w:hAnsi="Verdana" w:cs="Times New Roman"/>
      <w:color w:val="FF0000"/>
      <w:sz w:val="24"/>
      <w:lang w:val="en-GB"/>
    </w:rPr>
  </w:style>
  <w:style w:type="character" w:customStyle="1" w:styleId="EditornameChar">
    <w:name w:val="Editor name Char"/>
    <w:basedOn w:val="DefaultParagraphFont"/>
    <w:link w:val="Editorname"/>
    <w:rsid w:val="000F4A66"/>
    <w:rPr>
      <w:rFonts w:ascii="Verdana" w:eastAsia="Times New Roman" w:hAnsi="Verdana" w:cs="Times New Roman"/>
      <w:color w:val="FF0000"/>
      <w:sz w:val="24"/>
      <w:lang w:val="en-GB"/>
    </w:rPr>
  </w:style>
  <w:style w:type="paragraph" w:customStyle="1" w:styleId="Backcoversummary">
    <w:name w:val="Backcover_summary"/>
    <w:basedOn w:val="Normal"/>
    <w:link w:val="BackcoversummaryChar"/>
    <w:qFormat/>
    <w:rsid w:val="000F4A66"/>
    <w:pPr>
      <w:spacing w:after="240" w:line="240" w:lineRule="auto"/>
      <w:jc w:val="both"/>
    </w:pPr>
    <w:rPr>
      <w:rFonts w:ascii="Verdana" w:eastAsia="Times New Roman" w:hAnsi="Verdana" w:cs="Times New Roman"/>
      <w:color w:val="FF0000"/>
      <w:sz w:val="24"/>
      <w:lang w:val="en-GB"/>
    </w:rPr>
  </w:style>
  <w:style w:type="character" w:customStyle="1" w:styleId="BackcoversummaryChar">
    <w:name w:val="Backcover_summary Char"/>
    <w:basedOn w:val="DefaultParagraphFont"/>
    <w:link w:val="Backcoversummary"/>
    <w:rsid w:val="000F4A66"/>
    <w:rPr>
      <w:rFonts w:ascii="Verdana" w:eastAsia="Times New Roman" w:hAnsi="Verdana" w:cs="Times New Roman"/>
      <w:color w:val="FF0000"/>
      <w:sz w:val="24"/>
      <w:lang w:val="en-GB"/>
    </w:rPr>
  </w:style>
  <w:style w:type="paragraph" w:customStyle="1" w:styleId="Backcovercategory">
    <w:name w:val="Backcover_category"/>
    <w:basedOn w:val="Normal"/>
    <w:link w:val="BackcovercategoryChar"/>
    <w:qFormat/>
    <w:rsid w:val="000F4A66"/>
    <w:pPr>
      <w:spacing w:after="240" w:line="240" w:lineRule="auto"/>
      <w:ind w:right="28"/>
      <w:jc w:val="both"/>
    </w:pPr>
    <w:rPr>
      <w:rFonts w:ascii="Verdana" w:eastAsia="Times New Roman" w:hAnsi="Verdana" w:cs="Times New Roman"/>
      <w:i/>
      <w:color w:val="FF0000"/>
      <w:sz w:val="18"/>
      <w:lang w:val="en-GB"/>
    </w:rPr>
  </w:style>
  <w:style w:type="character" w:customStyle="1" w:styleId="BackcovercategoryChar">
    <w:name w:val="Backcover_category Char"/>
    <w:basedOn w:val="DefaultParagraphFont"/>
    <w:link w:val="Backcovercategory"/>
    <w:rsid w:val="000F4A66"/>
    <w:rPr>
      <w:rFonts w:ascii="Verdana" w:eastAsia="Times New Roman" w:hAnsi="Verdana" w:cs="Times New Roman"/>
      <w:i/>
      <w:color w:val="FF0000"/>
      <w:sz w:val="18"/>
      <w:lang w:val="en-GB"/>
    </w:rPr>
  </w:style>
  <w:style w:type="paragraph" w:customStyle="1" w:styleId="Title1">
    <w:name w:val="Title 1"/>
    <w:basedOn w:val="NormalIndent"/>
    <w:link w:val="Title1Char"/>
    <w:uiPriority w:val="99"/>
    <w:rsid w:val="000F4A66"/>
    <w:pPr>
      <w:numPr>
        <w:numId w:val="105"/>
      </w:numPr>
      <w:ind w:firstLine="0"/>
    </w:pPr>
  </w:style>
  <w:style w:type="character" w:customStyle="1" w:styleId="Title1Char">
    <w:name w:val="Title 1 Char"/>
    <w:basedOn w:val="NormalIndentChar"/>
    <w:link w:val="Title1"/>
    <w:uiPriority w:val="99"/>
    <w:rsid w:val="000F4A66"/>
    <w:rPr>
      <w:sz w:val="22"/>
      <w:szCs w:val="22"/>
      <w:lang w:val="en-GB"/>
    </w:rPr>
  </w:style>
  <w:style w:type="paragraph" w:customStyle="1" w:styleId="Subtitle10">
    <w:name w:val="Subtitle 1"/>
    <w:basedOn w:val="Body"/>
    <w:link w:val="Subtitle1Char"/>
    <w:qFormat/>
    <w:rsid w:val="000F4A66"/>
    <w:pPr>
      <w:spacing w:before="120" w:after="120"/>
      <w:jc w:val="both"/>
    </w:pPr>
    <w:rPr>
      <w:u w:val="single"/>
    </w:rPr>
  </w:style>
  <w:style w:type="character" w:customStyle="1" w:styleId="Subtitle1Char">
    <w:name w:val="Subtitle 1 Char"/>
    <w:basedOn w:val="BodyChar"/>
    <w:link w:val="Subtitle10"/>
    <w:rsid w:val="000F4A66"/>
    <w:rPr>
      <w:rFonts w:ascii="Verdana" w:eastAsia="Times New Roman" w:hAnsi="Verdana" w:cs="Times New Roman"/>
      <w:u w:val="single"/>
      <w:lang w:val="en-GB"/>
    </w:rPr>
  </w:style>
  <w:style w:type="paragraph" w:customStyle="1" w:styleId="Style2">
    <w:name w:val="Style2"/>
    <w:basedOn w:val="ListBullet"/>
    <w:link w:val="Style2Char"/>
    <w:uiPriority w:val="99"/>
    <w:rsid w:val="000F4A66"/>
    <w:pPr>
      <w:numPr>
        <w:numId w:val="0"/>
      </w:numPr>
      <w:tabs>
        <w:tab w:val="num" w:pos="360"/>
        <w:tab w:val="num" w:pos="480"/>
      </w:tabs>
      <w:spacing w:after="120" w:line="276" w:lineRule="auto"/>
      <w:ind w:left="360" w:hanging="360"/>
    </w:pPr>
    <w:rPr>
      <w:rFonts w:ascii="Georgia" w:hAnsi="Georgia"/>
      <w:sz w:val="20"/>
      <w:szCs w:val="24"/>
      <w:lang w:val="en-GB"/>
    </w:rPr>
  </w:style>
  <w:style w:type="character" w:customStyle="1" w:styleId="Style2Char">
    <w:name w:val="Style2 Char"/>
    <w:basedOn w:val="DefaultParagraphFont"/>
    <w:link w:val="Style2"/>
    <w:uiPriority w:val="99"/>
    <w:rsid w:val="000F4A66"/>
    <w:rPr>
      <w:rFonts w:ascii="Georgia" w:eastAsia="Times New Roman" w:hAnsi="Georgia" w:cs="Times New Roman"/>
      <w:szCs w:val="24"/>
      <w:lang w:val="en-GB"/>
    </w:rPr>
  </w:style>
  <w:style w:type="character" w:styleId="PageNumber">
    <w:name w:val="page number"/>
    <w:basedOn w:val="DefaultParagraphFont"/>
    <w:rsid w:val="000F4A66"/>
    <w:rPr>
      <w:rFonts w:ascii="Georgia" w:hAnsi="Georgia"/>
      <w:color w:val="333333"/>
      <w:sz w:val="20"/>
      <w:lang w:val="en-GB"/>
    </w:rPr>
  </w:style>
  <w:style w:type="paragraph" w:customStyle="1" w:styleId="footer1">
    <w:name w:val="footer 1"/>
    <w:basedOn w:val="FootnoteText"/>
    <w:link w:val="footer1Char"/>
    <w:rsid w:val="000F4A66"/>
    <w:pPr>
      <w:tabs>
        <w:tab w:val="left" w:pos="142"/>
        <w:tab w:val="left" w:pos="4536"/>
      </w:tabs>
      <w:jc w:val="both"/>
    </w:pPr>
    <w:rPr>
      <w:rFonts w:ascii="Georgia" w:hAnsi="Georgia"/>
      <w:color w:val="8496B0" w:themeColor="text2" w:themeTint="99"/>
      <w:sz w:val="16"/>
      <w:szCs w:val="16"/>
    </w:rPr>
  </w:style>
  <w:style w:type="character" w:customStyle="1" w:styleId="footer1Char">
    <w:name w:val="footer 1 Char"/>
    <w:basedOn w:val="DefaultParagraphFont"/>
    <w:link w:val="footer1"/>
    <w:rsid w:val="000F4A66"/>
    <w:rPr>
      <w:rFonts w:ascii="Georgia" w:hAnsi="Georgia"/>
      <w:color w:val="8496B0" w:themeColor="text2" w:themeTint="99"/>
      <w:sz w:val="16"/>
      <w:szCs w:val="16"/>
    </w:rPr>
  </w:style>
  <w:style w:type="paragraph" w:customStyle="1" w:styleId="footer10">
    <w:name w:val="footer1"/>
    <w:basedOn w:val="FootnoteText"/>
    <w:link w:val="footer1Char0"/>
    <w:rsid w:val="000F4A66"/>
    <w:pPr>
      <w:tabs>
        <w:tab w:val="left" w:pos="142"/>
        <w:tab w:val="left" w:pos="4536"/>
      </w:tabs>
      <w:ind w:left="164" w:hanging="164"/>
      <w:jc w:val="both"/>
    </w:pPr>
    <w:rPr>
      <w:rFonts w:ascii="Georgia" w:hAnsi="Georgia"/>
      <w:color w:val="8496B0" w:themeColor="text2" w:themeTint="99"/>
      <w:sz w:val="16"/>
      <w:szCs w:val="16"/>
    </w:rPr>
  </w:style>
  <w:style w:type="character" w:customStyle="1" w:styleId="footer1Char0">
    <w:name w:val="footer1 Char"/>
    <w:basedOn w:val="DefaultParagraphFont"/>
    <w:link w:val="footer10"/>
    <w:rsid w:val="000F4A66"/>
    <w:rPr>
      <w:rFonts w:ascii="Georgia" w:hAnsi="Georgia"/>
      <w:color w:val="8496B0" w:themeColor="text2" w:themeTint="99"/>
      <w:sz w:val="16"/>
      <w:szCs w:val="16"/>
    </w:rPr>
  </w:style>
  <w:style w:type="paragraph" w:customStyle="1" w:styleId="footnote3F">
    <w:name w:val="footnote3F"/>
    <w:basedOn w:val="FootnoteText"/>
    <w:link w:val="footnote3FChar"/>
    <w:rsid w:val="000F4A66"/>
    <w:pPr>
      <w:tabs>
        <w:tab w:val="left" w:pos="142"/>
        <w:tab w:val="left" w:pos="4536"/>
      </w:tabs>
      <w:jc w:val="both"/>
    </w:pPr>
    <w:rPr>
      <w:rFonts w:ascii="Georgia" w:eastAsia="Times New Roman" w:hAnsi="Georgia" w:cs="Times New Roman"/>
      <w:color w:val="8496B0" w:themeColor="text2" w:themeTint="99"/>
      <w:sz w:val="16"/>
      <w:szCs w:val="24"/>
    </w:rPr>
  </w:style>
  <w:style w:type="character" w:customStyle="1" w:styleId="footnote3FChar">
    <w:name w:val="footnote3F Char"/>
    <w:basedOn w:val="DefaultParagraphFont"/>
    <w:link w:val="footnote3F"/>
    <w:rsid w:val="000F4A66"/>
    <w:rPr>
      <w:rFonts w:ascii="Georgia" w:eastAsia="Times New Roman" w:hAnsi="Georgia" w:cs="Times New Roman"/>
      <w:color w:val="8496B0" w:themeColor="text2" w:themeTint="99"/>
      <w:sz w:val="16"/>
      <w:szCs w:val="24"/>
    </w:rPr>
  </w:style>
  <w:style w:type="paragraph" w:customStyle="1" w:styleId="Bullet3">
    <w:name w:val="Bullet 3"/>
    <w:basedOn w:val="BodyText"/>
    <w:link w:val="Bullet3Char"/>
    <w:uiPriority w:val="99"/>
    <w:qFormat/>
    <w:rsid w:val="000F4A66"/>
    <w:pPr>
      <w:numPr>
        <w:numId w:val="103"/>
      </w:numPr>
      <w:spacing w:after="0" w:line="240" w:lineRule="auto"/>
      <w:contextualSpacing/>
      <w:jc w:val="both"/>
    </w:pPr>
    <w:rPr>
      <w:rFonts w:eastAsia="Times New Roman" w:cs="Times New Roman"/>
      <w:color w:val="auto"/>
      <w:sz w:val="18"/>
      <w:szCs w:val="24"/>
    </w:rPr>
  </w:style>
  <w:style w:type="character" w:customStyle="1" w:styleId="Bullet3Char">
    <w:name w:val="Bullet 3 Char"/>
    <w:basedOn w:val="DefaultParagraphFont"/>
    <w:link w:val="Bullet3"/>
    <w:uiPriority w:val="99"/>
    <w:rsid w:val="000F4A66"/>
    <w:rPr>
      <w:rFonts w:ascii="Verdana" w:eastAsia="Times New Roman" w:hAnsi="Verdana" w:cs="Times New Roman"/>
      <w:sz w:val="18"/>
      <w:szCs w:val="24"/>
      <w:lang w:val="en-GB"/>
    </w:rPr>
  </w:style>
  <w:style w:type="paragraph" w:customStyle="1" w:styleId="finding">
    <w:name w:val="finding"/>
    <w:basedOn w:val="Normal"/>
    <w:link w:val="findingChar"/>
    <w:autoRedefine/>
    <w:uiPriority w:val="99"/>
    <w:rsid w:val="000F4A66"/>
    <w:pPr>
      <w:numPr>
        <w:numId w:val="104"/>
      </w:numPr>
      <w:spacing w:before="240" w:after="0"/>
      <w:jc w:val="both"/>
    </w:pPr>
    <w:rPr>
      <w:rFonts w:ascii="Verdana" w:eastAsia="Times New Roman" w:hAnsi="Verdana" w:cs="Times New Roman"/>
      <w:b/>
      <w:i/>
      <w:lang w:val="en-GB"/>
    </w:rPr>
  </w:style>
  <w:style w:type="character" w:customStyle="1" w:styleId="findingChar">
    <w:name w:val="finding Char"/>
    <w:basedOn w:val="DefaultParagraphFont"/>
    <w:link w:val="finding"/>
    <w:uiPriority w:val="99"/>
    <w:rsid w:val="000F4A66"/>
    <w:rPr>
      <w:rFonts w:ascii="Verdana" w:eastAsia="Times New Roman" w:hAnsi="Verdana" w:cs="Times New Roman"/>
      <w:b/>
      <w:i/>
      <w:lang w:val="en-GB"/>
    </w:rPr>
  </w:style>
  <w:style w:type="paragraph" w:customStyle="1" w:styleId="Heading211">
    <w:name w:val="Heading 21"/>
    <w:basedOn w:val="Title1"/>
    <w:link w:val="heading2Char1"/>
    <w:rsid w:val="000F4A66"/>
    <w:pPr>
      <w:tabs>
        <w:tab w:val="left" w:pos="993"/>
      </w:tabs>
      <w:spacing w:before="360" w:after="120" w:line="240" w:lineRule="auto"/>
      <w:ind w:left="567" w:hanging="567"/>
      <w:jc w:val="both"/>
    </w:pPr>
    <w:rPr>
      <w:rFonts w:ascii="Verdana" w:eastAsia="Times New Roman" w:hAnsi="Verdana" w:cs="Times New Roman"/>
      <w:b/>
    </w:rPr>
  </w:style>
  <w:style w:type="character" w:customStyle="1" w:styleId="heading2Char1">
    <w:name w:val="heading 2 Char"/>
    <w:basedOn w:val="Title1Char"/>
    <w:link w:val="Heading211"/>
    <w:rsid w:val="000F4A66"/>
    <w:rPr>
      <w:rFonts w:ascii="Verdana" w:eastAsia="Times New Roman" w:hAnsi="Verdana" w:cs="Times New Roman"/>
      <w:b/>
      <w:sz w:val="22"/>
      <w:szCs w:val="22"/>
      <w:lang w:val="en-GB"/>
    </w:rPr>
  </w:style>
  <w:style w:type="character" w:customStyle="1" w:styleId="captionChar0">
    <w:name w:val="caption Char"/>
    <w:basedOn w:val="BodyTextChar"/>
    <w:rsid w:val="000F4A66"/>
    <w:rPr>
      <w:rFonts w:ascii="Verdana" w:hAnsi="Verdana"/>
      <w:color w:val="595959" w:themeColor="text1" w:themeTint="A6"/>
      <w:sz w:val="18"/>
      <w:szCs w:val="18"/>
      <w:lang w:val="en-US" w:eastAsia="en-US"/>
    </w:rPr>
  </w:style>
  <w:style w:type="character" w:customStyle="1" w:styleId="Style1Char">
    <w:name w:val="Style1 Char"/>
    <w:basedOn w:val="DefaultParagraphFont"/>
    <w:rsid w:val="000F4A66"/>
    <w:rPr>
      <w:rFonts w:ascii="Georgia" w:hAnsi="Georgia"/>
      <w:sz w:val="16"/>
      <w:szCs w:val="24"/>
      <w:lang w:eastAsia="en-US"/>
    </w:rPr>
  </w:style>
  <w:style w:type="paragraph" w:customStyle="1" w:styleId="source">
    <w:name w:val="source"/>
    <w:basedOn w:val="Normal"/>
    <w:uiPriority w:val="99"/>
    <w:qFormat/>
    <w:rsid w:val="000F4A66"/>
    <w:pPr>
      <w:spacing w:before="120" w:after="120"/>
      <w:jc w:val="center"/>
    </w:pPr>
    <w:rPr>
      <w:rFonts w:ascii="Georgia" w:eastAsia="Times New Roman" w:hAnsi="Georgia" w:cs="Times New Roman"/>
      <w:sz w:val="16"/>
      <w:szCs w:val="24"/>
      <w:lang w:val="en-GB"/>
    </w:rPr>
  </w:style>
  <w:style w:type="paragraph" w:customStyle="1" w:styleId="Footer11">
    <w:name w:val="Footer1"/>
    <w:basedOn w:val="FootnoteText"/>
    <w:link w:val="Footer1Char1"/>
    <w:rsid w:val="000F4A66"/>
    <w:pPr>
      <w:tabs>
        <w:tab w:val="left" w:pos="142"/>
        <w:tab w:val="left" w:pos="4536"/>
      </w:tabs>
      <w:jc w:val="both"/>
    </w:pPr>
    <w:rPr>
      <w:rFonts w:ascii="Georgia" w:hAnsi="Georgia"/>
      <w:color w:val="8496B0" w:themeColor="text2" w:themeTint="99"/>
      <w:sz w:val="16"/>
      <w:szCs w:val="16"/>
    </w:rPr>
  </w:style>
  <w:style w:type="character" w:customStyle="1" w:styleId="Footer1Char1">
    <w:name w:val="Footer1 Char"/>
    <w:basedOn w:val="DefaultParagraphFont"/>
    <w:link w:val="Footer11"/>
    <w:rsid w:val="000F4A66"/>
    <w:rPr>
      <w:rFonts w:ascii="Georgia" w:hAnsi="Georgia"/>
      <w:color w:val="8496B0" w:themeColor="text2" w:themeTint="99"/>
      <w:sz w:val="16"/>
      <w:szCs w:val="16"/>
    </w:rPr>
  </w:style>
  <w:style w:type="paragraph" w:customStyle="1" w:styleId="astandard3520normal">
    <w:name w:val="a_standard__35__20_normal"/>
    <w:basedOn w:val="Normal"/>
    <w:uiPriority w:val="99"/>
    <w:rsid w:val="000F4A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loonTextChar7">
    <w:name w:val="Balloon Text Char7"/>
    <w:basedOn w:val="DefaultParagraphFont"/>
    <w:uiPriority w:val="99"/>
    <w:semiHidden/>
    <w:rsid w:val="000F4A66"/>
    <w:rPr>
      <w:rFonts w:ascii="Lucida Grande" w:hAnsi="Lucida Grande"/>
      <w:sz w:val="18"/>
      <w:szCs w:val="18"/>
    </w:rPr>
  </w:style>
  <w:style w:type="character" w:customStyle="1" w:styleId="BalloonTextChar6">
    <w:name w:val="Balloon Text Char6"/>
    <w:basedOn w:val="DefaultParagraphFont"/>
    <w:uiPriority w:val="99"/>
    <w:semiHidden/>
    <w:rsid w:val="000F4A66"/>
    <w:rPr>
      <w:rFonts w:ascii="Lucida Grande" w:hAnsi="Lucida Grande"/>
      <w:sz w:val="18"/>
      <w:szCs w:val="18"/>
    </w:rPr>
  </w:style>
  <w:style w:type="character" w:customStyle="1" w:styleId="BalloonTextChar5">
    <w:name w:val="Balloon Text Char5"/>
    <w:basedOn w:val="DefaultParagraphFont"/>
    <w:uiPriority w:val="99"/>
    <w:semiHidden/>
    <w:rsid w:val="000F4A66"/>
    <w:rPr>
      <w:rFonts w:ascii="Lucida Grande" w:hAnsi="Lucida Grande" w:cs="Lucida Grande"/>
      <w:sz w:val="18"/>
      <w:szCs w:val="18"/>
    </w:rPr>
  </w:style>
  <w:style w:type="character" w:customStyle="1" w:styleId="BalloonTextChar4">
    <w:name w:val="Balloon Text Char4"/>
    <w:basedOn w:val="DefaultParagraphFont"/>
    <w:uiPriority w:val="99"/>
    <w:semiHidden/>
    <w:rsid w:val="000F4A66"/>
    <w:rPr>
      <w:rFonts w:ascii="Lucida Grande" w:hAnsi="Lucida Grande"/>
      <w:sz w:val="18"/>
      <w:szCs w:val="18"/>
    </w:rPr>
  </w:style>
  <w:style w:type="character" w:customStyle="1" w:styleId="BalloonTextChar3">
    <w:name w:val="Balloon Text Char3"/>
    <w:basedOn w:val="DefaultParagraphFont"/>
    <w:uiPriority w:val="99"/>
    <w:semiHidden/>
    <w:rsid w:val="000F4A66"/>
    <w:rPr>
      <w:rFonts w:ascii="Lucida Grande" w:hAnsi="Lucida Grande"/>
      <w:sz w:val="18"/>
      <w:szCs w:val="18"/>
    </w:rPr>
  </w:style>
  <w:style w:type="character" w:customStyle="1" w:styleId="BalloonTextChar2">
    <w:name w:val="Balloon Text Char2"/>
    <w:basedOn w:val="DefaultParagraphFont"/>
    <w:uiPriority w:val="99"/>
    <w:semiHidden/>
    <w:rsid w:val="000F4A66"/>
    <w:rPr>
      <w:rFonts w:ascii="Lucida Grande" w:hAnsi="Lucida Grande"/>
      <w:sz w:val="18"/>
      <w:szCs w:val="18"/>
    </w:rPr>
  </w:style>
  <w:style w:type="paragraph" w:customStyle="1" w:styleId="0Title1">
    <w:name w:val="0 Title 1"/>
    <w:basedOn w:val="BodyText"/>
    <w:next w:val="BodyText"/>
    <w:uiPriority w:val="99"/>
    <w:rsid w:val="000F4A66"/>
    <w:pPr>
      <w:keepNext/>
      <w:spacing w:before="400" w:after="200" w:line="720" w:lineRule="atLeast"/>
      <w:jc w:val="both"/>
    </w:pPr>
    <w:rPr>
      <w:rFonts w:ascii="Georgia" w:eastAsia="Times New Roman" w:hAnsi="Georgia" w:cs="Times New Roman"/>
      <w:sz w:val="48"/>
      <w:szCs w:val="40"/>
    </w:rPr>
  </w:style>
  <w:style w:type="paragraph" w:customStyle="1" w:styleId="Footnotes">
    <w:name w:val="Footnotes"/>
    <w:basedOn w:val="BodyText"/>
    <w:autoRedefine/>
    <w:uiPriority w:val="99"/>
    <w:rsid w:val="000F4A66"/>
    <w:pPr>
      <w:spacing w:after="0" w:line="276" w:lineRule="auto"/>
    </w:pPr>
    <w:rPr>
      <w:rFonts w:ascii="Georgia" w:eastAsia="Times New Roman" w:hAnsi="Georgia" w:cs="Times New Roman"/>
      <w:color w:val="auto"/>
      <w:sz w:val="18"/>
      <w:szCs w:val="24"/>
    </w:rPr>
  </w:style>
  <w:style w:type="paragraph" w:customStyle="1" w:styleId="Source0">
    <w:name w:val="Source"/>
    <w:aliases w:val="Quote1,Source1"/>
    <w:basedOn w:val="BodyText"/>
    <w:next w:val="BodyText"/>
    <w:link w:val="SourceChar"/>
    <w:qFormat/>
    <w:rsid w:val="000F4A66"/>
    <w:pPr>
      <w:spacing w:line="276" w:lineRule="auto"/>
      <w:jc w:val="both"/>
    </w:pPr>
    <w:rPr>
      <w:rFonts w:ascii="Georgia" w:eastAsia="Times New Roman" w:hAnsi="Georgia" w:cs="Times New Roman"/>
      <w:color w:val="333333"/>
      <w:sz w:val="18"/>
      <w:szCs w:val="24"/>
    </w:rPr>
  </w:style>
  <w:style w:type="paragraph" w:customStyle="1" w:styleId="CoverTitle">
    <w:name w:val="Cover Title"/>
    <w:basedOn w:val="BodyText"/>
    <w:next w:val="BodyText"/>
    <w:uiPriority w:val="99"/>
    <w:rsid w:val="000F4A66"/>
    <w:pPr>
      <w:widowControl w:val="0"/>
      <w:autoSpaceDE w:val="0"/>
      <w:autoSpaceDN w:val="0"/>
      <w:adjustRightInd w:val="0"/>
      <w:spacing w:before="240" w:after="400" w:line="264" w:lineRule="auto"/>
      <w:jc w:val="both"/>
      <w:textAlignment w:val="center"/>
    </w:pPr>
    <w:rPr>
      <w:rFonts w:ascii="Georgia" w:eastAsia="Times New Roman" w:hAnsi="Georgia" w:cs="Times New Roman"/>
      <w:b/>
      <w:noProof/>
      <w:sz w:val="54"/>
      <w:szCs w:val="44"/>
    </w:rPr>
  </w:style>
  <w:style w:type="paragraph" w:customStyle="1" w:styleId="CoverVersiondate">
    <w:name w:val="Cover Version date"/>
    <w:basedOn w:val="BodyText"/>
    <w:next w:val="BodyText"/>
    <w:uiPriority w:val="99"/>
    <w:rsid w:val="000F4A66"/>
    <w:pPr>
      <w:widowControl w:val="0"/>
      <w:autoSpaceDE w:val="0"/>
      <w:autoSpaceDN w:val="0"/>
      <w:adjustRightInd w:val="0"/>
      <w:spacing w:before="2000" w:after="240" w:line="288" w:lineRule="auto"/>
      <w:jc w:val="both"/>
      <w:textAlignment w:val="center"/>
    </w:pPr>
    <w:rPr>
      <w:rFonts w:ascii="Georgia" w:eastAsia="Times New Roman" w:hAnsi="Georgia" w:cs="Times New Roman"/>
      <w:b/>
      <w:i/>
      <w:sz w:val="28"/>
      <w:szCs w:val="36"/>
    </w:rPr>
  </w:style>
  <w:style w:type="paragraph" w:customStyle="1" w:styleId="CoverSubtitle">
    <w:name w:val="Cover Subtitle"/>
    <w:basedOn w:val="BodyText"/>
    <w:next w:val="BodyText"/>
    <w:uiPriority w:val="99"/>
    <w:rsid w:val="000F4A66"/>
    <w:pPr>
      <w:widowControl w:val="0"/>
      <w:autoSpaceDE w:val="0"/>
      <w:autoSpaceDN w:val="0"/>
      <w:adjustRightInd w:val="0"/>
      <w:spacing w:line="264" w:lineRule="auto"/>
      <w:jc w:val="both"/>
      <w:textAlignment w:val="center"/>
    </w:pPr>
    <w:rPr>
      <w:rFonts w:ascii="Georgia" w:eastAsia="Times New Roman" w:hAnsi="Georgia" w:cs="Arial"/>
      <w:sz w:val="28"/>
      <w:szCs w:val="30"/>
    </w:rPr>
  </w:style>
  <w:style w:type="paragraph" w:customStyle="1" w:styleId="Tabletext">
    <w:name w:val="Table text"/>
    <w:basedOn w:val="BodyText"/>
    <w:uiPriority w:val="99"/>
    <w:rsid w:val="000F4A66"/>
    <w:pPr>
      <w:spacing w:after="0" w:line="276" w:lineRule="auto"/>
    </w:pPr>
    <w:rPr>
      <w:rFonts w:ascii="Georgia" w:eastAsia="Times New Roman" w:hAnsi="Georgia" w:cs="Times New Roman"/>
      <w:color w:val="auto"/>
      <w:sz w:val="16"/>
      <w:szCs w:val="24"/>
    </w:rPr>
  </w:style>
  <w:style w:type="paragraph" w:customStyle="1" w:styleId="Tablecolumnheader">
    <w:name w:val="Table column header"/>
    <w:basedOn w:val="BodyText"/>
    <w:uiPriority w:val="99"/>
    <w:rsid w:val="000F4A66"/>
    <w:pPr>
      <w:spacing w:after="0" w:line="276" w:lineRule="auto"/>
      <w:jc w:val="center"/>
    </w:pPr>
    <w:rPr>
      <w:rFonts w:ascii="Georgia" w:eastAsia="Times New Roman" w:hAnsi="Georgia" w:cs="Times New Roman"/>
      <w:b/>
      <w:color w:val="auto"/>
      <w:sz w:val="16"/>
      <w:szCs w:val="24"/>
    </w:rPr>
  </w:style>
  <w:style w:type="paragraph" w:customStyle="1" w:styleId="Tablerowheader">
    <w:name w:val="Table row header"/>
    <w:basedOn w:val="Tablecolumnheader"/>
    <w:uiPriority w:val="99"/>
    <w:rsid w:val="000F4A66"/>
    <w:pPr>
      <w:jc w:val="left"/>
    </w:pPr>
    <w:rPr>
      <w:color w:val="000000"/>
    </w:rPr>
  </w:style>
  <w:style w:type="paragraph" w:customStyle="1" w:styleId="AppendixHeading1">
    <w:name w:val="Appendix Heading 1"/>
    <w:basedOn w:val="BodyText"/>
    <w:next w:val="BodyText"/>
    <w:link w:val="AppendixHeading1Char"/>
    <w:uiPriority w:val="99"/>
    <w:qFormat/>
    <w:rsid w:val="000F4A66"/>
    <w:pPr>
      <w:numPr>
        <w:numId w:val="106"/>
      </w:numPr>
      <w:spacing w:after="720" w:line="276" w:lineRule="auto"/>
      <w:jc w:val="both"/>
      <w:outlineLvl w:val="0"/>
    </w:pPr>
    <w:rPr>
      <w:rFonts w:ascii="Georgia" w:eastAsia="Times New Roman" w:hAnsi="Georgia" w:cs="Times New Roman"/>
      <w:color w:val="auto"/>
      <w:sz w:val="28"/>
      <w:szCs w:val="24"/>
    </w:rPr>
  </w:style>
  <w:style w:type="paragraph" w:customStyle="1" w:styleId="AppendixHeading2">
    <w:name w:val="Appendix Heading 2"/>
    <w:basedOn w:val="BodyText"/>
    <w:next w:val="BodyText"/>
    <w:link w:val="AppendixHeading2Char"/>
    <w:uiPriority w:val="99"/>
    <w:qFormat/>
    <w:rsid w:val="000F4A66"/>
    <w:pPr>
      <w:keepNext/>
      <w:numPr>
        <w:ilvl w:val="1"/>
        <w:numId w:val="106"/>
      </w:numPr>
      <w:spacing w:line="276" w:lineRule="auto"/>
      <w:jc w:val="both"/>
    </w:pPr>
    <w:rPr>
      <w:rFonts w:ascii="Georgia" w:eastAsia="Times New Roman" w:hAnsi="Georgia" w:cs="Times New Roman"/>
      <w:color w:val="FF0000"/>
      <w:sz w:val="22"/>
      <w:szCs w:val="24"/>
    </w:rPr>
  </w:style>
  <w:style w:type="paragraph" w:customStyle="1" w:styleId="AppendixHeading3">
    <w:name w:val="Appendix Heading 3"/>
    <w:basedOn w:val="BodyText"/>
    <w:next w:val="BodyText"/>
    <w:uiPriority w:val="99"/>
    <w:qFormat/>
    <w:rsid w:val="000F4A66"/>
    <w:pPr>
      <w:keepNext/>
      <w:numPr>
        <w:ilvl w:val="2"/>
        <w:numId w:val="106"/>
      </w:numPr>
      <w:spacing w:line="276" w:lineRule="auto"/>
      <w:jc w:val="both"/>
    </w:pPr>
    <w:rPr>
      <w:rFonts w:ascii="Georgia" w:eastAsia="Times New Roman" w:hAnsi="Georgia" w:cs="Times New Roman"/>
      <w:color w:val="333333"/>
      <w:szCs w:val="24"/>
    </w:rPr>
  </w:style>
  <w:style w:type="paragraph" w:styleId="Quote">
    <w:name w:val="Quote"/>
    <w:basedOn w:val="BodyText"/>
    <w:next w:val="BodyText"/>
    <w:link w:val="QuoteChar"/>
    <w:uiPriority w:val="29"/>
    <w:qFormat/>
    <w:rsid w:val="000F4A66"/>
    <w:pPr>
      <w:spacing w:line="276" w:lineRule="auto"/>
      <w:ind w:left="567" w:right="565"/>
      <w:jc w:val="both"/>
    </w:pPr>
    <w:rPr>
      <w:rFonts w:ascii="Georgia" w:eastAsia="Times New Roman" w:hAnsi="Georgia" w:cs="Times New Roman"/>
      <w:i/>
      <w:color w:val="auto"/>
      <w:szCs w:val="24"/>
      <w:lang w:val="en-US"/>
    </w:rPr>
  </w:style>
  <w:style w:type="character" w:customStyle="1" w:styleId="QuoteChar">
    <w:name w:val="Quote Char"/>
    <w:basedOn w:val="DefaultParagraphFont"/>
    <w:link w:val="Quote"/>
    <w:uiPriority w:val="29"/>
    <w:rsid w:val="000F4A66"/>
    <w:rPr>
      <w:rFonts w:ascii="Georgia" w:eastAsia="Times New Roman" w:hAnsi="Georgia" w:cs="Times New Roman"/>
      <w:i/>
      <w:szCs w:val="24"/>
    </w:rPr>
  </w:style>
  <w:style w:type="paragraph" w:customStyle="1" w:styleId="Notes">
    <w:name w:val="Notes"/>
    <w:basedOn w:val="BodyText"/>
    <w:link w:val="NotesCharChar"/>
    <w:autoRedefine/>
    <w:rsid w:val="000F4A66"/>
    <w:pPr>
      <w:framePr w:w="2165" w:h="2707" w:hSpace="187" w:wrap="around" w:vAnchor="text" w:hAnchor="page" w:x="9262" w:y="-23" w:anchorLock="1"/>
      <w:pBdr>
        <w:top w:val="single" w:sz="6" w:space="7" w:color="FF0000"/>
      </w:pBdr>
      <w:shd w:val="solid" w:color="FFFFFF" w:fill="FFFFFF"/>
      <w:spacing w:line="276" w:lineRule="auto"/>
      <w:jc w:val="both"/>
    </w:pPr>
    <w:rPr>
      <w:rFonts w:ascii="Georgia" w:eastAsia="Times New Roman" w:hAnsi="Georgia" w:cs="Times New Roman"/>
      <w:color w:val="FF0000"/>
      <w:szCs w:val="24"/>
    </w:rPr>
  </w:style>
  <w:style w:type="character" w:customStyle="1" w:styleId="NotesCharChar">
    <w:name w:val="Notes Char Char"/>
    <w:basedOn w:val="DefaultParagraphFont"/>
    <w:link w:val="Notes"/>
    <w:locked/>
    <w:rsid w:val="000F4A66"/>
    <w:rPr>
      <w:rFonts w:ascii="Georgia" w:eastAsia="Times New Roman" w:hAnsi="Georgia" w:cs="Times New Roman"/>
      <w:color w:val="FF0000"/>
      <w:szCs w:val="24"/>
      <w:shd w:val="solid" w:color="FFFFFF" w:fill="FFFFFF"/>
      <w:lang w:val="en-GB"/>
    </w:rPr>
  </w:style>
  <w:style w:type="paragraph" w:customStyle="1" w:styleId="Notesleft">
    <w:name w:val="Notes left"/>
    <w:basedOn w:val="Notes"/>
    <w:uiPriority w:val="99"/>
    <w:rsid w:val="000F4A66"/>
    <w:pPr>
      <w:framePr w:wrap="around" w:x="492" w:y="9"/>
    </w:pPr>
  </w:style>
  <w:style w:type="paragraph" w:customStyle="1" w:styleId="Headline">
    <w:name w:val="Headline"/>
    <w:basedOn w:val="BodyText"/>
    <w:next w:val="BodyText"/>
    <w:link w:val="HeadlineChar"/>
    <w:qFormat/>
    <w:rsid w:val="000F4A66"/>
    <w:pPr>
      <w:spacing w:line="276" w:lineRule="auto"/>
    </w:pPr>
    <w:rPr>
      <w:rFonts w:ascii="Georgia" w:eastAsia="Times New Roman" w:hAnsi="Georgia" w:cs="Times New Roman"/>
      <w:b/>
      <w:color w:val="auto"/>
      <w:sz w:val="24"/>
      <w:szCs w:val="24"/>
    </w:rPr>
  </w:style>
  <w:style w:type="character" w:styleId="EndnoteReference">
    <w:name w:val="endnote reference"/>
    <w:basedOn w:val="DefaultParagraphFont"/>
    <w:uiPriority w:val="99"/>
    <w:rsid w:val="000F4A66"/>
    <w:rPr>
      <w:vertAlign w:val="superscript"/>
    </w:rPr>
  </w:style>
  <w:style w:type="paragraph" w:customStyle="1" w:styleId="AppendixTitle">
    <w:name w:val="Appendix Title"/>
    <w:basedOn w:val="BodyText"/>
    <w:next w:val="BodyText"/>
    <w:uiPriority w:val="99"/>
    <w:rsid w:val="000F4A66"/>
    <w:pPr>
      <w:spacing w:after="720" w:line="276" w:lineRule="auto"/>
      <w:jc w:val="both"/>
    </w:pPr>
    <w:rPr>
      <w:rFonts w:ascii="Georgia" w:eastAsia="Times New Roman" w:hAnsi="Georgia" w:cs="Times New Roman"/>
      <w:color w:val="auto"/>
      <w:sz w:val="28"/>
      <w:szCs w:val="24"/>
      <w:lang w:val="en-US"/>
    </w:rPr>
  </w:style>
  <w:style w:type="paragraph" w:customStyle="1" w:styleId="FooterAddressEven">
    <w:name w:val="FooterAddressEven"/>
    <w:basedOn w:val="Footer"/>
    <w:uiPriority w:val="99"/>
    <w:rsid w:val="000F4A66"/>
    <w:pPr>
      <w:tabs>
        <w:tab w:val="clear" w:pos="4535"/>
        <w:tab w:val="clear" w:pos="9071"/>
        <w:tab w:val="clear" w:pos="9921"/>
        <w:tab w:val="right" w:pos="7655"/>
      </w:tabs>
      <w:spacing w:before="0" w:line="276" w:lineRule="auto"/>
      <w:ind w:left="-1750" w:right="0"/>
    </w:pPr>
    <w:rPr>
      <w:rFonts w:ascii="Georgia" w:eastAsia="Times New Roman" w:hAnsi="Georgia"/>
      <w:color w:val="333333"/>
      <w:sz w:val="18"/>
      <w:szCs w:val="24"/>
      <w:lang w:val="en-GB"/>
    </w:rPr>
  </w:style>
  <w:style w:type="paragraph" w:customStyle="1" w:styleId="TableListBullet">
    <w:name w:val="Table List Bullet"/>
    <w:basedOn w:val="BodyText"/>
    <w:uiPriority w:val="99"/>
    <w:rsid w:val="000F4A66"/>
    <w:pPr>
      <w:numPr>
        <w:numId w:val="107"/>
      </w:numPr>
      <w:spacing w:after="60" w:line="276" w:lineRule="auto"/>
    </w:pPr>
    <w:rPr>
      <w:rFonts w:ascii="Georgia" w:eastAsia="Times New Roman" w:hAnsi="Georgia" w:cs="Times New Roman"/>
      <w:color w:val="auto"/>
      <w:sz w:val="16"/>
      <w:szCs w:val="24"/>
    </w:rPr>
  </w:style>
  <w:style w:type="paragraph" w:customStyle="1" w:styleId="TableListBullet2">
    <w:name w:val="Table List Bullet 2"/>
    <w:basedOn w:val="BodyText"/>
    <w:uiPriority w:val="99"/>
    <w:rsid w:val="000F4A66"/>
    <w:pPr>
      <w:numPr>
        <w:numId w:val="108"/>
      </w:numPr>
      <w:spacing w:after="60" w:line="276" w:lineRule="auto"/>
    </w:pPr>
    <w:rPr>
      <w:rFonts w:ascii="Georgia" w:eastAsia="Times New Roman" w:hAnsi="Georgia" w:cs="Times New Roman"/>
      <w:color w:val="auto"/>
      <w:sz w:val="16"/>
      <w:szCs w:val="24"/>
    </w:rPr>
  </w:style>
  <w:style w:type="paragraph" w:customStyle="1" w:styleId="InsertFigure">
    <w:name w:val="InsertFigure"/>
    <w:basedOn w:val="BodyText"/>
    <w:uiPriority w:val="99"/>
    <w:rsid w:val="000F4A66"/>
    <w:pPr>
      <w:spacing w:line="276" w:lineRule="auto"/>
      <w:jc w:val="center"/>
    </w:pPr>
    <w:rPr>
      <w:rFonts w:ascii="Georgia" w:eastAsia="Times New Roman" w:hAnsi="Georgia" w:cs="Times New Roman"/>
      <w:color w:val="333333"/>
      <w:sz w:val="18"/>
      <w:szCs w:val="24"/>
      <w:lang w:val="de-DE"/>
    </w:rPr>
  </w:style>
  <w:style w:type="paragraph" w:customStyle="1" w:styleId="TableListNumber">
    <w:name w:val="Table List Number"/>
    <w:basedOn w:val="BodyText"/>
    <w:uiPriority w:val="99"/>
    <w:rsid w:val="000F4A66"/>
    <w:pPr>
      <w:numPr>
        <w:numId w:val="109"/>
      </w:numPr>
      <w:spacing w:after="60" w:line="276" w:lineRule="auto"/>
    </w:pPr>
    <w:rPr>
      <w:rFonts w:ascii="Georgia" w:eastAsia="Times New Roman" w:hAnsi="Georgia" w:cs="Times New Roman"/>
      <w:color w:val="auto"/>
      <w:sz w:val="16"/>
      <w:szCs w:val="24"/>
    </w:rPr>
  </w:style>
  <w:style w:type="paragraph" w:customStyle="1" w:styleId="TableListNumber2">
    <w:name w:val="Table List Number 2"/>
    <w:basedOn w:val="BodyText"/>
    <w:uiPriority w:val="99"/>
    <w:rsid w:val="000F4A66"/>
    <w:pPr>
      <w:tabs>
        <w:tab w:val="num" w:pos="357"/>
      </w:tabs>
      <w:spacing w:after="60" w:line="276" w:lineRule="auto"/>
      <w:ind w:left="357" w:hanging="176"/>
    </w:pPr>
    <w:rPr>
      <w:rFonts w:ascii="Georgia" w:eastAsia="Times New Roman" w:hAnsi="Georgia" w:cs="Times New Roman"/>
      <w:color w:val="auto"/>
      <w:sz w:val="16"/>
      <w:szCs w:val="24"/>
    </w:rPr>
  </w:style>
  <w:style w:type="paragraph" w:customStyle="1" w:styleId="TOCTitle">
    <w:name w:val="TOC Title"/>
    <w:basedOn w:val="0Title1"/>
    <w:next w:val="BodyText"/>
    <w:uiPriority w:val="99"/>
    <w:rsid w:val="000F4A66"/>
  </w:style>
  <w:style w:type="table" w:customStyle="1" w:styleId="TechnopolisTable">
    <w:name w:val="Technopolis Table"/>
    <w:basedOn w:val="TableGrid"/>
    <w:uiPriority w:val="99"/>
    <w:rsid w:val="000F4A66"/>
    <w:pPr>
      <w:jc w:val="both"/>
    </w:pPr>
    <w:rPr>
      <w:rFonts w:ascii="Georgia" w:hAnsi="Georgia"/>
      <w:color w:val="000000"/>
      <w:sz w:val="18"/>
      <w:szCs w:val="24"/>
    </w:rPr>
    <w:tblPr>
      <w:tblStyleRowBandSize w:val="1"/>
    </w:tblPr>
    <w:tcPr>
      <w:shd w:val="clear" w:color="auto" w:fill="F2F2F2"/>
    </w:tcPr>
    <w:tblStylePr w:type="firstRow">
      <w:pPr>
        <w:jc w:val="center"/>
      </w:pPr>
      <w:rPr>
        <w:rFonts w:ascii="Times New Roman" w:hAnsi="Times New Roman" w:cs="Times New Roman"/>
        <w:b/>
        <w:color w:val="333333"/>
        <w:sz w:val="18"/>
      </w:rPr>
      <w:tblPr/>
      <w:tcPr>
        <w:tcBorders>
          <w:bottom w:val="single" w:sz="6" w:space="0" w:color="FF0000"/>
        </w:tcBorders>
        <w:shd w:val="clear" w:color="auto" w:fill="00AEF0"/>
        <w:vAlign w:val="center"/>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Pr/>
      <w:tcPr>
        <w:shd w:val="clear" w:color="auto" w:fill="D9D9D9" w:themeFill="background1" w:themeFillShade="D9"/>
      </w:tcPr>
    </w:tblStylePr>
    <w:tblStylePr w:type="band1Horz">
      <w:rPr>
        <w:sz w:val="18"/>
      </w:rPr>
    </w:tblStylePr>
  </w:style>
  <w:style w:type="paragraph" w:customStyle="1" w:styleId="SecondBullet">
    <w:name w:val="Second Bullet"/>
    <w:basedOn w:val="Normal"/>
    <w:next w:val="Normal"/>
    <w:autoRedefine/>
    <w:uiPriority w:val="99"/>
    <w:rsid w:val="000F4A66"/>
    <w:pPr>
      <w:tabs>
        <w:tab w:val="num" w:pos="720"/>
      </w:tabs>
      <w:spacing w:after="0"/>
      <w:ind w:left="720" w:hanging="360"/>
      <w:jc w:val="both"/>
    </w:pPr>
    <w:rPr>
      <w:rFonts w:ascii="Georgia" w:eastAsia="Times New Roman" w:hAnsi="Georgia" w:cs="Times New Roman"/>
      <w:color w:val="000000"/>
      <w:sz w:val="22"/>
      <w:szCs w:val="24"/>
      <w:lang w:val="en-GB"/>
    </w:rPr>
  </w:style>
  <w:style w:type="character" w:customStyle="1" w:styleId="apple-converted-space">
    <w:name w:val="apple-converted-space"/>
    <w:basedOn w:val="DefaultParagraphFont"/>
    <w:rsid w:val="000F4A66"/>
  </w:style>
  <w:style w:type="character" w:styleId="HTMLAcronym">
    <w:name w:val="HTML Acronym"/>
    <w:basedOn w:val="DefaultParagraphFont"/>
    <w:uiPriority w:val="99"/>
    <w:rsid w:val="000F4A66"/>
  </w:style>
  <w:style w:type="character" w:customStyle="1" w:styleId="portlet-title-text">
    <w:name w:val="portlet-title-text"/>
    <w:basedOn w:val="DefaultParagraphFont"/>
    <w:rsid w:val="000F4A66"/>
  </w:style>
  <w:style w:type="paragraph" w:customStyle="1" w:styleId="Listepuces1">
    <w:name w:val="Liste à puces 1"/>
    <w:basedOn w:val="Normal"/>
    <w:link w:val="Listepuces1CharChar"/>
    <w:uiPriority w:val="99"/>
    <w:rsid w:val="000F4A66"/>
    <w:pPr>
      <w:numPr>
        <w:numId w:val="110"/>
      </w:numPr>
      <w:spacing w:before="120" w:after="120" w:line="240" w:lineRule="exact"/>
      <w:jc w:val="both"/>
    </w:pPr>
    <w:rPr>
      <w:rFonts w:ascii="Arial" w:eastAsia="Times New Roman" w:hAnsi="Arial" w:cs="Times New Roman"/>
      <w:color w:val="000000"/>
      <w:szCs w:val="18"/>
      <w:lang w:val="en-GB"/>
    </w:rPr>
  </w:style>
  <w:style w:type="character" w:customStyle="1" w:styleId="Listepuces1CharChar">
    <w:name w:val="Liste à puces 1 Char Char"/>
    <w:basedOn w:val="DefaultParagraphFont"/>
    <w:link w:val="Listepuces1"/>
    <w:uiPriority w:val="99"/>
    <w:rsid w:val="000F4A66"/>
    <w:rPr>
      <w:rFonts w:ascii="Arial" w:eastAsia="Times New Roman" w:hAnsi="Arial" w:cs="Times New Roman"/>
      <w:color w:val="000000"/>
      <w:szCs w:val="18"/>
      <w:lang w:val="en-GB"/>
    </w:rPr>
  </w:style>
  <w:style w:type="paragraph" w:customStyle="1" w:styleId="Tableboxtext">
    <w:name w:val="Table/box text"/>
    <w:basedOn w:val="Normal"/>
    <w:uiPriority w:val="99"/>
    <w:rsid w:val="000F4A66"/>
    <w:pPr>
      <w:spacing w:after="120" w:line="240" w:lineRule="exact"/>
      <w:jc w:val="both"/>
    </w:pPr>
    <w:rPr>
      <w:rFonts w:ascii="Georgia" w:eastAsia="Calibri" w:hAnsi="Georgia" w:cs="Times New Roman"/>
      <w:sz w:val="18"/>
      <w:szCs w:val="22"/>
      <w:lang w:val="en-GB"/>
    </w:rPr>
  </w:style>
  <w:style w:type="paragraph" w:customStyle="1" w:styleId="Style4">
    <w:name w:val="Style4"/>
    <w:basedOn w:val="Heading6"/>
    <w:uiPriority w:val="99"/>
    <w:rsid w:val="000F4A66"/>
    <w:pPr>
      <w:keepNext/>
      <w:tabs>
        <w:tab w:val="clear" w:pos="0"/>
      </w:tabs>
      <w:spacing w:after="120" w:line="240" w:lineRule="atLeast"/>
      <w:ind w:left="1800" w:hanging="360"/>
      <w:jc w:val="left"/>
    </w:pPr>
    <w:rPr>
      <w:rFonts w:ascii="Verdana" w:hAnsi="Verdana"/>
      <w:bCs/>
      <w:iCs/>
      <w:noProof/>
      <w:sz w:val="20"/>
      <w:lang w:val="en-GB" w:eastAsia="nl-BE"/>
    </w:rPr>
  </w:style>
  <w:style w:type="character" w:customStyle="1" w:styleId="ListParagraph1Char1">
    <w:name w:val="List Paragraph1 Char1"/>
    <w:aliases w:val="Normal bullet 2 Char1,Bullet list Char1,List Paragraph11 Char,Normal bullet 21 Char,List Paragraph111 Char,Bullet list1 Char"/>
    <w:uiPriority w:val="99"/>
    <w:rsid w:val="000F4A66"/>
    <w:rPr>
      <w:rFonts w:ascii="EYInterstate Light" w:hAnsi="EYInterstate Light"/>
      <w:szCs w:val="22"/>
      <w:lang w:val="en-GB" w:eastAsia="en-US"/>
    </w:rPr>
  </w:style>
  <w:style w:type="paragraph" w:customStyle="1" w:styleId="Style3">
    <w:name w:val="Style3"/>
    <w:basedOn w:val="ListBullet"/>
    <w:link w:val="Style3Char"/>
    <w:rsid w:val="000F4A66"/>
    <w:pPr>
      <w:numPr>
        <w:numId w:val="0"/>
      </w:numPr>
      <w:tabs>
        <w:tab w:val="num" w:pos="1191"/>
      </w:tabs>
      <w:spacing w:after="120" w:line="276" w:lineRule="auto"/>
      <w:ind w:left="1191" w:hanging="709"/>
    </w:pPr>
    <w:rPr>
      <w:rFonts w:ascii="Georgia" w:hAnsi="Georgia"/>
      <w:color w:val="000000"/>
      <w:szCs w:val="24"/>
      <w:lang w:val="en-GB"/>
    </w:rPr>
  </w:style>
  <w:style w:type="character" w:customStyle="1" w:styleId="Style3Char">
    <w:name w:val="Style3 Char"/>
    <w:basedOn w:val="ListBulletChar"/>
    <w:link w:val="Style3"/>
    <w:rsid w:val="000F4A66"/>
    <w:rPr>
      <w:rFonts w:ascii="Georgia" w:eastAsia="Times New Roman" w:hAnsi="Georgia" w:cs="Times New Roman"/>
      <w:color w:val="000000"/>
      <w:sz w:val="24"/>
      <w:szCs w:val="24"/>
      <w:lang w:val="en-GB"/>
    </w:rPr>
  </w:style>
  <w:style w:type="paragraph" w:customStyle="1" w:styleId="Style6">
    <w:name w:val="Style6"/>
    <w:basedOn w:val="TOC1"/>
    <w:link w:val="Style6Char"/>
    <w:uiPriority w:val="99"/>
    <w:rsid w:val="000F4A66"/>
    <w:pPr>
      <w:numPr>
        <w:numId w:val="111"/>
      </w:numPr>
      <w:ind w:left="0" w:firstLine="0"/>
    </w:pPr>
  </w:style>
  <w:style w:type="character" w:customStyle="1" w:styleId="Style6Char">
    <w:name w:val="Style6 Char"/>
    <w:basedOn w:val="DefaultParagraphFont"/>
    <w:link w:val="Style6"/>
    <w:uiPriority w:val="99"/>
    <w:rsid w:val="000F4A66"/>
    <w:rPr>
      <w:rFonts w:cstheme="minorHAnsi"/>
      <w:b/>
      <w:bCs/>
      <w:caps/>
    </w:rPr>
  </w:style>
  <w:style w:type="paragraph" w:customStyle="1" w:styleId="Caption11">
    <w:name w:val="Caption11"/>
    <w:basedOn w:val="Tableboxtext"/>
    <w:uiPriority w:val="99"/>
    <w:rsid w:val="000F4A66"/>
    <w:pPr>
      <w:jc w:val="center"/>
    </w:pPr>
    <w:rPr>
      <w:sz w:val="16"/>
    </w:rPr>
  </w:style>
  <w:style w:type="character" w:customStyle="1" w:styleId="hps">
    <w:name w:val="hps"/>
    <w:basedOn w:val="DefaultParagraphFont"/>
    <w:rsid w:val="000F4A66"/>
  </w:style>
  <w:style w:type="character" w:customStyle="1" w:styleId="highlightedsearchterm">
    <w:name w:val="highlightedsearchterm"/>
    <w:basedOn w:val="DefaultParagraphFont"/>
    <w:rsid w:val="000F4A66"/>
  </w:style>
  <w:style w:type="character" w:customStyle="1" w:styleId="link-external">
    <w:name w:val="link-external"/>
    <w:basedOn w:val="DefaultParagraphFont"/>
    <w:rsid w:val="000F4A66"/>
  </w:style>
  <w:style w:type="table" w:customStyle="1" w:styleId="LightList-Accent31">
    <w:name w:val="Light List - Accent 31"/>
    <w:basedOn w:val="TableNormal"/>
    <w:next w:val="LightList-Accent3"/>
    <w:uiPriority w:val="61"/>
    <w:rsid w:val="000F4A66"/>
    <w:pPr>
      <w:spacing w:after="0" w:line="240" w:lineRule="auto"/>
    </w:pPr>
    <w:rPr>
      <w:rFonts w:ascii="EYInterstate Light" w:eastAsia="EYInterstate Light" w:hAnsi="EYInterstate Light" w:cs="Times New Roman"/>
      <w:sz w:val="22"/>
      <w:szCs w:val="22"/>
      <w:lang w:val="it-IT"/>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LightList-Accent3">
    <w:name w:val="Light List Accent 3"/>
    <w:basedOn w:val="TableNormal"/>
    <w:uiPriority w:val="61"/>
    <w:rsid w:val="000F4A66"/>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Style12">
    <w:name w:val="Style12"/>
    <w:basedOn w:val="Normal"/>
    <w:uiPriority w:val="99"/>
    <w:rsid w:val="000F4A66"/>
    <w:pPr>
      <w:spacing w:after="120"/>
      <w:ind w:left="1068" w:hanging="360"/>
    </w:pPr>
    <w:rPr>
      <w:rFonts w:ascii="Arial" w:eastAsia="Calibri" w:hAnsi="Arial" w:cs="Times New Roman"/>
      <w:szCs w:val="22"/>
      <w:lang w:val="en-GB" w:eastAsia="nl-BE"/>
    </w:rPr>
  </w:style>
  <w:style w:type="paragraph" w:customStyle="1" w:styleId="000">
    <w:name w:val="000"/>
    <w:aliases w:val="standaard,standaard uitvullen,standaard (alt-s),stan084daard,standaard 04...,standaard 155,standaard uitv042ullen,sta550ndaard,standaard 040,standaard81,0001,standaard 042,standaard1,standaard uitvullen1,standaard (alt-s)1,stan084daard1,standaard811"/>
    <w:basedOn w:val="Normal"/>
    <w:uiPriority w:val="99"/>
    <w:rsid w:val="000F4A66"/>
    <w:pPr>
      <w:overflowPunct w:val="0"/>
      <w:autoSpaceDE w:val="0"/>
      <w:autoSpaceDN w:val="0"/>
      <w:adjustRightInd w:val="0"/>
      <w:spacing w:after="0" w:line="260" w:lineRule="atLeast"/>
      <w:jc w:val="both"/>
      <w:textAlignment w:val="baseline"/>
    </w:pPr>
    <w:rPr>
      <w:rFonts w:ascii="Arial" w:eastAsia="Times New Roman" w:hAnsi="Arial" w:cs="Times New Roman"/>
      <w:sz w:val="18"/>
      <w:lang w:val="nl-NL" w:eastAsia="nl-BE"/>
    </w:rPr>
  </w:style>
  <w:style w:type="paragraph" w:customStyle="1" w:styleId="CM1">
    <w:name w:val="CM1"/>
    <w:basedOn w:val="Default"/>
    <w:next w:val="Default"/>
    <w:uiPriority w:val="99"/>
    <w:rsid w:val="000F4A66"/>
    <w:rPr>
      <w:rFonts w:ascii="EUAlbertina" w:eastAsia="Times New Roman" w:hAnsi="EUAlbertina"/>
      <w:color w:val="auto"/>
      <w:lang w:eastAsia="en-GB"/>
    </w:rPr>
  </w:style>
  <w:style w:type="paragraph" w:customStyle="1" w:styleId="CM3">
    <w:name w:val="CM3"/>
    <w:basedOn w:val="Default"/>
    <w:next w:val="Default"/>
    <w:uiPriority w:val="99"/>
    <w:rsid w:val="000F4A66"/>
    <w:rPr>
      <w:rFonts w:ascii="EUAlbertina" w:eastAsia="Times New Roman" w:hAnsi="EUAlbertina"/>
      <w:color w:val="auto"/>
      <w:lang w:eastAsia="en-GB"/>
    </w:rPr>
  </w:style>
  <w:style w:type="paragraph" w:customStyle="1" w:styleId="tabelbullet">
    <w:name w:val="tabel bullet"/>
    <w:basedOn w:val="Style2"/>
    <w:link w:val="tabelbulletChar"/>
    <w:autoRedefine/>
    <w:rsid w:val="000F4A66"/>
    <w:pPr>
      <w:tabs>
        <w:tab w:val="clear" w:pos="360"/>
        <w:tab w:val="num" w:pos="1191"/>
      </w:tabs>
      <w:spacing w:after="0"/>
      <w:ind w:left="1191" w:hanging="709"/>
    </w:pPr>
    <w:rPr>
      <w:color w:val="333333"/>
      <w:sz w:val="18"/>
    </w:rPr>
  </w:style>
  <w:style w:type="character" w:customStyle="1" w:styleId="tabelbulletChar">
    <w:name w:val="tabel bullet Char"/>
    <w:basedOn w:val="Style2Char"/>
    <w:link w:val="tabelbullet"/>
    <w:rsid w:val="000F4A66"/>
    <w:rPr>
      <w:rFonts w:ascii="Georgia" w:eastAsia="Times New Roman" w:hAnsi="Georgia" w:cs="Times New Roman"/>
      <w:color w:val="333333"/>
      <w:sz w:val="18"/>
      <w:szCs w:val="24"/>
      <w:lang w:val="en-GB"/>
    </w:rPr>
  </w:style>
  <w:style w:type="paragraph" w:customStyle="1" w:styleId="1tabletbullet">
    <w:name w:val="1. tablet bullet"/>
    <w:basedOn w:val="tabelbullet"/>
    <w:link w:val="1tabletbulletChar"/>
    <w:uiPriority w:val="99"/>
    <w:rsid w:val="000F4A66"/>
    <w:pPr>
      <w:keepNext/>
      <w:numPr>
        <w:numId w:val="112"/>
      </w:numPr>
      <w:spacing w:before="120"/>
      <w:ind w:left="714" w:hanging="357"/>
    </w:pPr>
    <w:rPr>
      <w:b/>
    </w:rPr>
  </w:style>
  <w:style w:type="character" w:customStyle="1" w:styleId="1tabletbulletChar">
    <w:name w:val="1. tablet bullet Char"/>
    <w:basedOn w:val="tabelbulletChar"/>
    <w:link w:val="1tabletbullet"/>
    <w:uiPriority w:val="99"/>
    <w:rsid w:val="000F4A66"/>
    <w:rPr>
      <w:rFonts w:ascii="Georgia" w:eastAsia="Times New Roman" w:hAnsi="Georgia" w:cs="Times New Roman"/>
      <w:b/>
      <w:color w:val="333333"/>
      <w:sz w:val="18"/>
      <w:szCs w:val="24"/>
      <w:lang w:val="en-GB"/>
    </w:rPr>
  </w:style>
  <w:style w:type="paragraph" w:customStyle="1" w:styleId="font5">
    <w:name w:val="font5"/>
    <w:basedOn w:val="Normal"/>
    <w:uiPriority w:val="99"/>
    <w:rsid w:val="000F4A6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uiPriority w:val="99"/>
    <w:rsid w:val="000F4A6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uiPriority w:val="99"/>
    <w:rsid w:val="000F4A66"/>
    <w:pPr>
      <w:spacing w:before="100" w:beforeAutospacing="1" w:after="100" w:afterAutospacing="1"/>
      <w:textAlignment w:val="center"/>
    </w:pPr>
    <w:rPr>
      <w:rFonts w:ascii="Georgia" w:eastAsia="Times New Roman" w:hAnsi="Georgia" w:cs="Times New Roman"/>
      <w:color w:val="000000"/>
    </w:rPr>
  </w:style>
  <w:style w:type="paragraph" w:customStyle="1" w:styleId="xl66">
    <w:name w:val="xl66"/>
    <w:basedOn w:val="Normal"/>
    <w:uiPriority w:val="99"/>
    <w:rsid w:val="000F4A66"/>
    <w:pPr>
      <w:spacing w:before="100" w:beforeAutospacing="1" w:after="100" w:afterAutospacing="1"/>
      <w:textAlignment w:val="center"/>
    </w:pPr>
    <w:rPr>
      <w:rFonts w:ascii="Georgia" w:eastAsia="Times New Roman" w:hAnsi="Georgia" w:cs="Times New Roman"/>
      <w:color w:val="000000"/>
    </w:rPr>
  </w:style>
  <w:style w:type="paragraph" w:customStyle="1" w:styleId="xl67">
    <w:name w:val="xl67"/>
    <w:basedOn w:val="Normal"/>
    <w:uiPriority w:val="99"/>
    <w:rsid w:val="000F4A66"/>
    <w:pPr>
      <w:spacing w:before="100" w:beforeAutospacing="1" w:after="100" w:afterAutospacing="1"/>
      <w:jc w:val="center"/>
      <w:textAlignment w:val="center"/>
    </w:pPr>
    <w:rPr>
      <w:rFonts w:ascii="Georgia" w:eastAsia="Times New Roman" w:hAnsi="Georgia" w:cs="Times New Roman"/>
      <w:color w:val="000000"/>
    </w:rPr>
  </w:style>
  <w:style w:type="paragraph" w:customStyle="1" w:styleId="xl68">
    <w:name w:val="xl68"/>
    <w:basedOn w:val="Normal"/>
    <w:uiPriority w:val="99"/>
    <w:rsid w:val="000F4A66"/>
    <w:pPr>
      <w:pBdr>
        <w:top w:val="single" w:sz="4" w:space="0" w:color="BFBFBF"/>
        <w:bottom w:val="single" w:sz="4" w:space="0" w:color="BFBFBF"/>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69">
    <w:name w:val="xl69"/>
    <w:basedOn w:val="Normal"/>
    <w:uiPriority w:val="99"/>
    <w:rsid w:val="000F4A66"/>
    <w:pPr>
      <w:pBdr>
        <w:top w:val="single" w:sz="4" w:space="0" w:color="BFBFBF"/>
        <w:bottom w:val="single" w:sz="12" w:space="0" w:color="FF0000"/>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70">
    <w:name w:val="xl70"/>
    <w:basedOn w:val="Normal"/>
    <w:uiPriority w:val="99"/>
    <w:rsid w:val="000F4A66"/>
    <w:pPr>
      <w:pBdr>
        <w:top w:val="single" w:sz="12" w:space="0" w:color="FF0000"/>
        <w:left w:val="single" w:sz="12" w:space="0" w:color="FFFFFF"/>
        <w:bottom w:val="single" w:sz="4" w:space="0" w:color="BFBFBF"/>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71">
    <w:name w:val="xl71"/>
    <w:basedOn w:val="Normal"/>
    <w:uiPriority w:val="99"/>
    <w:rsid w:val="000F4A66"/>
    <w:pPr>
      <w:pBdr>
        <w:top w:val="single" w:sz="12" w:space="0" w:color="FF0000"/>
        <w:bottom w:val="single" w:sz="4" w:space="0" w:color="BFBFBF"/>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72">
    <w:name w:val="xl72"/>
    <w:basedOn w:val="Normal"/>
    <w:uiPriority w:val="99"/>
    <w:rsid w:val="000F4A66"/>
    <w:pPr>
      <w:pBdr>
        <w:top w:val="single" w:sz="12" w:space="0" w:color="FF0000"/>
        <w:bottom w:val="single" w:sz="4" w:space="0" w:color="BFBFBF"/>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73">
    <w:name w:val="xl73"/>
    <w:basedOn w:val="Normal"/>
    <w:uiPriority w:val="99"/>
    <w:rsid w:val="000F4A66"/>
    <w:pPr>
      <w:pBdr>
        <w:top w:val="single" w:sz="4" w:space="0" w:color="BFBFBF"/>
        <w:left w:val="single" w:sz="12" w:space="0" w:color="FFFFFF"/>
        <w:bottom w:val="single" w:sz="4" w:space="0" w:color="BFBFBF"/>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74">
    <w:name w:val="xl74"/>
    <w:basedOn w:val="Normal"/>
    <w:uiPriority w:val="99"/>
    <w:rsid w:val="000F4A66"/>
    <w:pPr>
      <w:pBdr>
        <w:top w:val="single" w:sz="4" w:space="0" w:color="BFBFBF"/>
        <w:bottom w:val="single" w:sz="4" w:space="0" w:color="BFBFBF"/>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75">
    <w:name w:val="xl75"/>
    <w:basedOn w:val="Normal"/>
    <w:uiPriority w:val="99"/>
    <w:rsid w:val="000F4A66"/>
    <w:pPr>
      <w:pBdr>
        <w:top w:val="single" w:sz="4" w:space="0" w:color="BFBFBF"/>
        <w:bottom w:val="single" w:sz="12" w:space="0" w:color="FF0000"/>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76">
    <w:name w:val="xl76"/>
    <w:basedOn w:val="Normal"/>
    <w:uiPriority w:val="99"/>
    <w:rsid w:val="000F4A66"/>
    <w:pPr>
      <w:pBdr>
        <w:top w:val="single" w:sz="12" w:space="0" w:color="FF0000"/>
        <w:bottom w:val="single" w:sz="4" w:space="0" w:color="BFBFBF"/>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77">
    <w:name w:val="xl77"/>
    <w:basedOn w:val="Normal"/>
    <w:uiPriority w:val="99"/>
    <w:rsid w:val="000F4A66"/>
    <w:pPr>
      <w:pBdr>
        <w:top w:val="single" w:sz="4" w:space="0" w:color="BFBFBF"/>
        <w:bottom w:val="single" w:sz="4" w:space="0" w:color="BFBFBF"/>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78">
    <w:name w:val="xl78"/>
    <w:basedOn w:val="Normal"/>
    <w:uiPriority w:val="99"/>
    <w:rsid w:val="000F4A66"/>
    <w:pPr>
      <w:pBdr>
        <w:top w:val="single" w:sz="4" w:space="0" w:color="BFBFBF"/>
        <w:bottom w:val="single" w:sz="4" w:space="0" w:color="BFBFBF"/>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79">
    <w:name w:val="xl79"/>
    <w:basedOn w:val="Normal"/>
    <w:uiPriority w:val="99"/>
    <w:rsid w:val="000F4A66"/>
    <w:pPr>
      <w:pBdr>
        <w:top w:val="single" w:sz="4" w:space="0" w:color="BFBFBF"/>
        <w:bottom w:val="single" w:sz="12" w:space="0" w:color="FF0000"/>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80">
    <w:name w:val="xl80"/>
    <w:basedOn w:val="Normal"/>
    <w:uiPriority w:val="99"/>
    <w:rsid w:val="000F4A66"/>
    <w:pPr>
      <w:pBdr>
        <w:top w:val="single" w:sz="12" w:space="0" w:color="FF0000"/>
        <w:bottom w:val="single" w:sz="4" w:space="0" w:color="BFBFBF"/>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81">
    <w:name w:val="xl81"/>
    <w:basedOn w:val="Normal"/>
    <w:uiPriority w:val="99"/>
    <w:rsid w:val="000F4A66"/>
    <w:pPr>
      <w:pBdr>
        <w:top w:val="single" w:sz="4" w:space="0" w:color="BFBFBF"/>
        <w:bottom w:val="single" w:sz="12" w:space="0" w:color="FF0000"/>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82">
    <w:name w:val="xl82"/>
    <w:basedOn w:val="Normal"/>
    <w:uiPriority w:val="99"/>
    <w:rsid w:val="000F4A66"/>
    <w:pPr>
      <w:pBdr>
        <w:top w:val="single" w:sz="12" w:space="0" w:color="FFFFFF"/>
        <w:left w:val="single" w:sz="12" w:space="0" w:color="FFFFFF"/>
        <w:right w:val="single" w:sz="12" w:space="0" w:color="FFFFFF"/>
      </w:pBdr>
      <w:shd w:val="clear" w:color="000000" w:fill="D9D9D9"/>
      <w:spacing w:before="100" w:beforeAutospacing="1" w:after="100" w:afterAutospacing="1"/>
      <w:jc w:val="center"/>
      <w:textAlignment w:val="center"/>
    </w:pPr>
    <w:rPr>
      <w:rFonts w:ascii="Georgia" w:eastAsia="Times New Roman" w:hAnsi="Georgia" w:cs="Times New Roman"/>
      <w:b/>
      <w:bCs/>
    </w:rPr>
  </w:style>
  <w:style w:type="paragraph" w:customStyle="1" w:styleId="xl83">
    <w:name w:val="xl83"/>
    <w:basedOn w:val="Normal"/>
    <w:uiPriority w:val="99"/>
    <w:rsid w:val="000F4A66"/>
    <w:pPr>
      <w:pBdr>
        <w:bottom w:val="single" w:sz="12" w:space="0" w:color="FF0000"/>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84">
    <w:name w:val="xl84"/>
    <w:basedOn w:val="Normal"/>
    <w:uiPriority w:val="99"/>
    <w:rsid w:val="000F4A66"/>
    <w:pPr>
      <w:pBdr>
        <w:bottom w:val="single" w:sz="12" w:space="0" w:color="FF0000"/>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85">
    <w:name w:val="xl85"/>
    <w:basedOn w:val="Normal"/>
    <w:uiPriority w:val="99"/>
    <w:rsid w:val="000F4A66"/>
    <w:pPr>
      <w:pBdr>
        <w:bottom w:val="single" w:sz="12" w:space="0" w:color="FF0000"/>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86">
    <w:name w:val="xl86"/>
    <w:basedOn w:val="Normal"/>
    <w:uiPriority w:val="99"/>
    <w:rsid w:val="000F4A66"/>
    <w:pPr>
      <w:pBdr>
        <w:top w:val="single" w:sz="4" w:space="0" w:color="BFBFBF"/>
        <w:bottom w:val="single" w:sz="4" w:space="0" w:color="D9D9D9"/>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87">
    <w:name w:val="xl87"/>
    <w:basedOn w:val="Normal"/>
    <w:uiPriority w:val="99"/>
    <w:rsid w:val="000F4A66"/>
    <w:pPr>
      <w:pBdr>
        <w:top w:val="single" w:sz="4" w:space="0" w:color="BFBFBF"/>
        <w:bottom w:val="single" w:sz="4" w:space="0" w:color="D9D9D9"/>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88">
    <w:name w:val="xl88"/>
    <w:basedOn w:val="Normal"/>
    <w:uiPriority w:val="99"/>
    <w:rsid w:val="000F4A66"/>
    <w:pPr>
      <w:pBdr>
        <w:top w:val="single" w:sz="4" w:space="0" w:color="BFBFBF"/>
        <w:bottom w:val="single" w:sz="4" w:space="0" w:color="D9D9D9"/>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89">
    <w:name w:val="xl89"/>
    <w:basedOn w:val="Normal"/>
    <w:uiPriority w:val="99"/>
    <w:rsid w:val="000F4A66"/>
    <w:pPr>
      <w:pBdr>
        <w:top w:val="single" w:sz="4" w:space="0" w:color="D9D9D9"/>
        <w:bottom w:val="single" w:sz="4" w:space="0" w:color="BFBFBF"/>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90">
    <w:name w:val="xl90"/>
    <w:basedOn w:val="Normal"/>
    <w:uiPriority w:val="99"/>
    <w:rsid w:val="000F4A66"/>
    <w:pPr>
      <w:pBdr>
        <w:top w:val="single" w:sz="4" w:space="0" w:color="D9D9D9"/>
        <w:bottom w:val="single" w:sz="4" w:space="0" w:color="BFBFBF"/>
      </w:pBd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91">
    <w:name w:val="xl91"/>
    <w:basedOn w:val="Normal"/>
    <w:uiPriority w:val="99"/>
    <w:rsid w:val="000F4A66"/>
    <w:pPr>
      <w:pBdr>
        <w:top w:val="single" w:sz="4" w:space="0" w:color="D9D9D9"/>
        <w:bottom w:val="single" w:sz="4" w:space="0" w:color="BFBFBF"/>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92">
    <w:name w:val="xl92"/>
    <w:basedOn w:val="Normal"/>
    <w:uiPriority w:val="99"/>
    <w:rsid w:val="000F4A66"/>
    <w:pPr>
      <w:pBdr>
        <w:top w:val="single" w:sz="4" w:space="0" w:color="BFBFBF"/>
        <w:bottom w:val="single" w:sz="4" w:space="0" w:color="D9D9D9"/>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93">
    <w:name w:val="xl93"/>
    <w:basedOn w:val="Normal"/>
    <w:uiPriority w:val="99"/>
    <w:rsid w:val="000F4A66"/>
    <w:pPr>
      <w:pBdr>
        <w:top w:val="single" w:sz="12" w:space="0" w:color="FFFFFF"/>
        <w:left w:val="single" w:sz="12" w:space="0" w:color="FFFFFF"/>
      </w:pBdr>
      <w:shd w:val="clear" w:color="000000" w:fill="D9D9D9"/>
      <w:spacing w:before="100" w:beforeAutospacing="1" w:after="100" w:afterAutospacing="1"/>
      <w:jc w:val="center"/>
      <w:textAlignment w:val="center"/>
    </w:pPr>
    <w:rPr>
      <w:rFonts w:ascii="Georgia" w:eastAsia="Times New Roman" w:hAnsi="Georgia" w:cs="Times New Roman"/>
      <w:b/>
      <w:bCs/>
    </w:rPr>
  </w:style>
  <w:style w:type="paragraph" w:customStyle="1" w:styleId="xl94">
    <w:name w:val="xl94"/>
    <w:basedOn w:val="Normal"/>
    <w:uiPriority w:val="99"/>
    <w:rsid w:val="000F4A66"/>
    <w:pPr>
      <w:pBdr>
        <w:bottom w:val="single" w:sz="12" w:space="0" w:color="FF0000"/>
      </w:pBdr>
      <w:shd w:val="clear" w:color="000000" w:fill="FFFFFF"/>
      <w:spacing w:before="100" w:beforeAutospacing="1" w:after="100" w:afterAutospacing="1"/>
      <w:jc w:val="center"/>
      <w:textAlignment w:val="center"/>
    </w:pPr>
    <w:rPr>
      <w:rFonts w:ascii="Georgia" w:eastAsia="Times New Roman" w:hAnsi="Georgia" w:cs="Times New Roman"/>
      <w:color w:val="000000"/>
    </w:rPr>
  </w:style>
  <w:style w:type="paragraph" w:customStyle="1" w:styleId="xl95">
    <w:name w:val="xl95"/>
    <w:basedOn w:val="Normal"/>
    <w:uiPriority w:val="99"/>
    <w:rsid w:val="000F4A66"/>
    <w:pPr>
      <w:shd w:val="clear" w:color="000000" w:fill="FFFFFF"/>
      <w:spacing w:before="100" w:beforeAutospacing="1" w:after="100" w:afterAutospacing="1"/>
      <w:textAlignment w:val="center"/>
    </w:pPr>
    <w:rPr>
      <w:rFonts w:ascii="Georgia" w:eastAsia="Times New Roman" w:hAnsi="Georgia" w:cs="Times New Roman"/>
      <w:color w:val="000000"/>
    </w:rPr>
  </w:style>
  <w:style w:type="paragraph" w:customStyle="1" w:styleId="xl96">
    <w:name w:val="xl96"/>
    <w:basedOn w:val="Normal"/>
    <w:uiPriority w:val="99"/>
    <w:rsid w:val="000F4A66"/>
    <w:pPr>
      <w:pBdr>
        <w:top w:val="single" w:sz="4" w:space="0" w:color="BFBFBF"/>
        <w:bottom w:val="single" w:sz="4" w:space="0" w:color="BFBFBF"/>
      </w:pBdr>
      <w:spacing w:before="100" w:beforeAutospacing="1" w:after="100" w:afterAutospacing="1"/>
      <w:textAlignment w:val="center"/>
    </w:pPr>
    <w:rPr>
      <w:rFonts w:ascii="Georgia" w:eastAsia="Times New Roman" w:hAnsi="Georgia" w:cs="Times New Roman"/>
      <w:color w:val="000000"/>
    </w:rPr>
  </w:style>
  <w:style w:type="paragraph" w:customStyle="1" w:styleId="xl97">
    <w:name w:val="xl97"/>
    <w:basedOn w:val="Normal"/>
    <w:uiPriority w:val="99"/>
    <w:rsid w:val="000F4A66"/>
    <w:pPr>
      <w:pBdr>
        <w:top w:val="single" w:sz="4" w:space="0" w:color="BFBFBF"/>
        <w:bottom w:val="single" w:sz="4" w:space="0" w:color="BFBFBF"/>
      </w:pBdr>
      <w:spacing w:before="100" w:beforeAutospacing="1" w:after="100" w:afterAutospacing="1"/>
      <w:textAlignment w:val="center"/>
    </w:pPr>
    <w:rPr>
      <w:rFonts w:ascii="Georgia" w:eastAsia="Times New Roman" w:hAnsi="Georgia" w:cs="Times New Roman"/>
      <w:color w:val="000000"/>
    </w:rPr>
  </w:style>
  <w:style w:type="paragraph" w:customStyle="1" w:styleId="xl98">
    <w:name w:val="xl98"/>
    <w:basedOn w:val="Normal"/>
    <w:uiPriority w:val="99"/>
    <w:rsid w:val="000F4A66"/>
    <w:pPr>
      <w:pBdr>
        <w:top w:val="single" w:sz="4" w:space="0" w:color="BFBFBF"/>
        <w:bottom w:val="single" w:sz="4" w:space="0" w:color="BFBFBF"/>
      </w:pBdr>
      <w:spacing w:before="100" w:beforeAutospacing="1" w:after="100" w:afterAutospacing="1"/>
      <w:jc w:val="center"/>
      <w:textAlignment w:val="center"/>
    </w:pPr>
    <w:rPr>
      <w:rFonts w:ascii="Georgia" w:eastAsia="Times New Roman" w:hAnsi="Georgia" w:cs="Times New Roman"/>
      <w:color w:val="000000"/>
    </w:rPr>
  </w:style>
  <w:style w:type="paragraph" w:customStyle="1" w:styleId="xl99">
    <w:name w:val="xl99"/>
    <w:basedOn w:val="Normal"/>
    <w:uiPriority w:val="99"/>
    <w:rsid w:val="000F4A66"/>
    <w:pPr>
      <w:pBdr>
        <w:top w:val="single" w:sz="4" w:space="0" w:color="BFBFBF"/>
        <w:bottom w:val="single" w:sz="4" w:space="0" w:color="BFBFBF"/>
      </w:pBdr>
      <w:spacing w:before="100" w:beforeAutospacing="1" w:after="100" w:afterAutospacing="1"/>
      <w:jc w:val="center"/>
      <w:textAlignment w:val="center"/>
    </w:pPr>
    <w:rPr>
      <w:rFonts w:ascii="Georgia" w:eastAsia="Times New Roman" w:hAnsi="Georgia" w:cs="Times New Roman"/>
      <w:color w:val="000000"/>
    </w:rPr>
  </w:style>
  <w:style w:type="paragraph" w:customStyle="1" w:styleId="xl100">
    <w:name w:val="xl100"/>
    <w:basedOn w:val="Normal"/>
    <w:uiPriority w:val="99"/>
    <w:rsid w:val="000F4A66"/>
    <w:pPr>
      <w:pBdr>
        <w:top w:val="single" w:sz="12" w:space="0" w:color="FF0000"/>
        <w:left w:val="single" w:sz="12" w:space="0" w:color="FFFFFF"/>
        <w:bottom w:val="single" w:sz="12" w:space="0" w:color="FF0000"/>
      </w:pBdr>
      <w:shd w:val="clear" w:color="000000" w:fill="FFFFFF"/>
      <w:spacing w:before="100" w:beforeAutospacing="1" w:after="100" w:afterAutospacing="1"/>
      <w:jc w:val="center"/>
      <w:textAlignment w:val="center"/>
    </w:pPr>
    <w:rPr>
      <w:rFonts w:ascii="Georgia" w:eastAsia="Times New Roman" w:hAnsi="Georgia" w:cs="Times New Roman"/>
      <w:b/>
      <w:bCs/>
    </w:rPr>
  </w:style>
  <w:style w:type="paragraph" w:customStyle="1" w:styleId="xl101">
    <w:name w:val="xl101"/>
    <w:basedOn w:val="Normal"/>
    <w:uiPriority w:val="99"/>
    <w:rsid w:val="000F4A66"/>
    <w:pPr>
      <w:pBdr>
        <w:top w:val="single" w:sz="12" w:space="0" w:color="FF0000"/>
        <w:bottom w:val="single" w:sz="12" w:space="0" w:color="FF0000"/>
      </w:pBdr>
      <w:shd w:val="clear" w:color="000000" w:fill="FFFFFF"/>
      <w:spacing w:before="100" w:beforeAutospacing="1" w:after="100" w:afterAutospacing="1"/>
      <w:jc w:val="center"/>
      <w:textAlignment w:val="center"/>
    </w:pPr>
    <w:rPr>
      <w:rFonts w:ascii="Georgia" w:eastAsia="Times New Roman" w:hAnsi="Georgia" w:cs="Times New Roman"/>
      <w:b/>
      <w:bCs/>
    </w:rPr>
  </w:style>
  <w:style w:type="paragraph" w:customStyle="1" w:styleId="CM4">
    <w:name w:val="CM4"/>
    <w:basedOn w:val="Default"/>
    <w:next w:val="Default"/>
    <w:uiPriority w:val="99"/>
    <w:rsid w:val="000F4A66"/>
    <w:rPr>
      <w:rFonts w:eastAsia="Times New Roman"/>
      <w:color w:val="auto"/>
      <w:lang w:val="it-IT" w:eastAsia="en-GB"/>
    </w:rPr>
  </w:style>
  <w:style w:type="paragraph" w:customStyle="1" w:styleId="Pa0">
    <w:name w:val="Pa0"/>
    <w:basedOn w:val="Default"/>
    <w:next w:val="Default"/>
    <w:uiPriority w:val="99"/>
    <w:rsid w:val="000F4A66"/>
    <w:pPr>
      <w:spacing w:line="241" w:lineRule="atLeast"/>
    </w:pPr>
    <w:rPr>
      <w:rFonts w:ascii="HelveticaRounded LT Std Blk" w:eastAsia="Times New Roman" w:hAnsi="HelveticaRounded LT Std Blk"/>
      <w:color w:val="auto"/>
      <w:lang w:val="it-IT" w:eastAsia="en-GB"/>
    </w:rPr>
  </w:style>
  <w:style w:type="character" w:customStyle="1" w:styleId="A0">
    <w:name w:val="A0"/>
    <w:uiPriority w:val="99"/>
    <w:rsid w:val="000F4A66"/>
    <w:rPr>
      <w:rFonts w:cs="HelveticaRounded LT Std Blk"/>
      <w:b/>
      <w:bCs/>
      <w:color w:val="000000"/>
      <w:sz w:val="58"/>
      <w:szCs w:val="58"/>
    </w:rPr>
  </w:style>
  <w:style w:type="character" w:customStyle="1" w:styleId="A5">
    <w:name w:val="A5"/>
    <w:uiPriority w:val="99"/>
    <w:rsid w:val="000F4A66"/>
    <w:rPr>
      <w:rFonts w:cs="Myriad Pro Cond"/>
      <w:b/>
      <w:bCs/>
      <w:color w:val="000000"/>
      <w:sz w:val="56"/>
      <w:szCs w:val="56"/>
    </w:rPr>
  </w:style>
  <w:style w:type="character" w:customStyle="1" w:styleId="A1">
    <w:name w:val="A1"/>
    <w:uiPriority w:val="99"/>
    <w:rsid w:val="000F4A66"/>
    <w:rPr>
      <w:rFonts w:cs="HelveticaRounded LT Std Blk"/>
      <w:b/>
      <w:bCs/>
      <w:color w:val="000000"/>
      <w:sz w:val="32"/>
      <w:szCs w:val="32"/>
    </w:rPr>
  </w:style>
  <w:style w:type="character" w:styleId="PlaceholderText">
    <w:name w:val="Placeholder Text"/>
    <w:basedOn w:val="DefaultParagraphFont"/>
    <w:uiPriority w:val="99"/>
    <w:rsid w:val="000F4A66"/>
    <w:rPr>
      <w:color w:val="808080"/>
    </w:rPr>
  </w:style>
  <w:style w:type="paragraph" w:customStyle="1" w:styleId="caption10">
    <w:name w:val="caption1"/>
    <w:basedOn w:val="BodyText"/>
    <w:link w:val="caption1Char0"/>
    <w:qFormat/>
    <w:rsid w:val="000F4A66"/>
    <w:pPr>
      <w:keepNext/>
      <w:spacing w:before="240" w:line="240" w:lineRule="auto"/>
      <w:jc w:val="center"/>
    </w:pPr>
    <w:rPr>
      <w:rFonts w:eastAsia="Times New Roman" w:cs="Times New Roman"/>
      <w:b/>
      <w:sz w:val="18"/>
      <w:szCs w:val="18"/>
    </w:rPr>
  </w:style>
  <w:style w:type="character" w:customStyle="1" w:styleId="caption1Char0">
    <w:name w:val="caption1 Char"/>
    <w:basedOn w:val="BodyTextChar"/>
    <w:link w:val="caption10"/>
    <w:rsid w:val="000F4A66"/>
    <w:rPr>
      <w:rFonts w:ascii="Verdana" w:eastAsia="Times New Roman" w:hAnsi="Verdana" w:cs="Times New Roman"/>
      <w:b/>
      <w:color w:val="000000"/>
      <w:sz w:val="18"/>
      <w:szCs w:val="18"/>
      <w:lang w:val="en-GB"/>
    </w:rPr>
  </w:style>
  <w:style w:type="paragraph" w:customStyle="1" w:styleId="footnote3fig">
    <w:name w:val="footnote3fig"/>
    <w:basedOn w:val="FootnoteText"/>
    <w:link w:val="footnote3figChar"/>
    <w:qFormat/>
    <w:rsid w:val="000F4A66"/>
    <w:pPr>
      <w:tabs>
        <w:tab w:val="left" w:pos="142"/>
        <w:tab w:val="left" w:pos="4536"/>
      </w:tabs>
      <w:ind w:left="255" w:hanging="255"/>
      <w:jc w:val="both"/>
    </w:pPr>
    <w:rPr>
      <w:rFonts w:ascii="Verdana" w:eastAsia="Times New Roman" w:hAnsi="Verdana" w:cs="Times New Roman"/>
      <w:color w:val="8496B0" w:themeColor="text2" w:themeTint="99"/>
      <w:sz w:val="16"/>
      <w:szCs w:val="16"/>
    </w:rPr>
  </w:style>
  <w:style w:type="character" w:customStyle="1" w:styleId="footnote3figChar">
    <w:name w:val="footnote3fig Char"/>
    <w:basedOn w:val="DefaultParagraphFont"/>
    <w:link w:val="footnote3fig"/>
    <w:rsid w:val="000F4A66"/>
    <w:rPr>
      <w:rFonts w:ascii="Verdana" w:eastAsia="Times New Roman" w:hAnsi="Verdana" w:cs="Times New Roman"/>
      <w:color w:val="8496B0" w:themeColor="text2" w:themeTint="99"/>
      <w:sz w:val="16"/>
      <w:szCs w:val="16"/>
    </w:rPr>
  </w:style>
  <w:style w:type="character" w:customStyle="1" w:styleId="cit-source">
    <w:name w:val="cit-source"/>
    <w:basedOn w:val="DefaultParagraphFont"/>
    <w:rsid w:val="000F4A66"/>
  </w:style>
  <w:style w:type="character" w:customStyle="1" w:styleId="cit-pub-date">
    <w:name w:val="cit-pub-date"/>
    <w:basedOn w:val="DefaultParagraphFont"/>
    <w:rsid w:val="000F4A66"/>
  </w:style>
  <w:style w:type="character" w:customStyle="1" w:styleId="cit-vol">
    <w:name w:val="cit-vol"/>
    <w:basedOn w:val="DefaultParagraphFont"/>
    <w:rsid w:val="000F4A66"/>
  </w:style>
  <w:style w:type="character" w:customStyle="1" w:styleId="cit-fpage">
    <w:name w:val="cit-fpage"/>
    <w:basedOn w:val="DefaultParagraphFont"/>
    <w:rsid w:val="000F4A66"/>
  </w:style>
  <w:style w:type="character" w:customStyle="1" w:styleId="cit">
    <w:name w:val="cit"/>
    <w:basedOn w:val="DefaultParagraphFont"/>
    <w:rsid w:val="000F4A66"/>
  </w:style>
  <w:style w:type="character" w:customStyle="1" w:styleId="oneclick-link">
    <w:name w:val="oneclick-link"/>
    <w:basedOn w:val="DefaultParagraphFont"/>
    <w:rsid w:val="000F4A66"/>
  </w:style>
  <w:style w:type="character" w:customStyle="1" w:styleId="SourceChar">
    <w:name w:val="Source Char"/>
    <w:link w:val="Source0"/>
    <w:rsid w:val="000F4A66"/>
    <w:rPr>
      <w:rFonts w:ascii="Georgia" w:eastAsia="Times New Roman" w:hAnsi="Georgia" w:cs="Times New Roman"/>
      <w:color w:val="333333"/>
      <w:sz w:val="18"/>
      <w:szCs w:val="24"/>
      <w:lang w:val="en-GB"/>
    </w:rPr>
  </w:style>
  <w:style w:type="paragraph" w:customStyle="1" w:styleId="footer1fig">
    <w:name w:val="footer1fig"/>
    <w:basedOn w:val="FootnoteText"/>
    <w:link w:val="footer1figChar"/>
    <w:qFormat/>
    <w:rsid w:val="000F4A66"/>
    <w:pPr>
      <w:tabs>
        <w:tab w:val="left" w:pos="142"/>
        <w:tab w:val="left" w:pos="4536"/>
      </w:tabs>
      <w:ind w:left="198" w:hanging="198"/>
      <w:jc w:val="both"/>
    </w:pPr>
    <w:rPr>
      <w:rFonts w:ascii="Verdana" w:eastAsia="Times New Roman" w:hAnsi="Verdana" w:cs="Times New Roman"/>
      <w:color w:val="8496B0" w:themeColor="text2" w:themeTint="99"/>
      <w:sz w:val="16"/>
      <w:szCs w:val="16"/>
    </w:rPr>
  </w:style>
  <w:style w:type="character" w:customStyle="1" w:styleId="footer1figChar">
    <w:name w:val="footer1fig Char"/>
    <w:basedOn w:val="DefaultParagraphFont"/>
    <w:link w:val="footer1fig"/>
    <w:rsid w:val="000F4A66"/>
    <w:rPr>
      <w:rFonts w:ascii="Verdana" w:eastAsia="Times New Roman" w:hAnsi="Verdana" w:cs="Times New Roman"/>
      <w:color w:val="8496B0" w:themeColor="text2" w:themeTint="99"/>
      <w:sz w:val="16"/>
      <w:szCs w:val="16"/>
    </w:rPr>
  </w:style>
  <w:style w:type="paragraph" w:customStyle="1" w:styleId="Tablebody">
    <w:name w:val="Table_body"/>
    <w:basedOn w:val="Normal"/>
    <w:link w:val="TablebodyChar"/>
    <w:qFormat/>
    <w:rsid w:val="000F4A66"/>
    <w:pPr>
      <w:spacing w:after="0" w:line="240" w:lineRule="auto"/>
      <w:jc w:val="both"/>
    </w:pPr>
    <w:rPr>
      <w:rFonts w:ascii="Verdana" w:eastAsia="Times New Roman" w:hAnsi="Verdana" w:cs="Calibri"/>
      <w:color w:val="000000"/>
      <w:sz w:val="18"/>
      <w:szCs w:val="18"/>
      <w:lang w:val="en-GB" w:eastAsia="en-GB"/>
    </w:rPr>
  </w:style>
  <w:style w:type="character" w:customStyle="1" w:styleId="TablebodyChar">
    <w:name w:val="Table_body Char"/>
    <w:basedOn w:val="BodyChar"/>
    <w:link w:val="Tablebody"/>
    <w:rsid w:val="000F4A66"/>
    <w:rPr>
      <w:rFonts w:ascii="Verdana" w:eastAsia="Times New Roman" w:hAnsi="Verdana" w:cs="Calibri"/>
      <w:color w:val="000000"/>
      <w:sz w:val="18"/>
      <w:szCs w:val="18"/>
      <w:lang w:val="en-GB" w:eastAsia="en-GB"/>
    </w:rPr>
  </w:style>
  <w:style w:type="character" w:customStyle="1" w:styleId="TabletextChar">
    <w:name w:val="Table_text Char"/>
    <w:basedOn w:val="DefaultParagraphFont"/>
    <w:link w:val="Tabletext0"/>
    <w:uiPriority w:val="99"/>
    <w:locked/>
    <w:rsid w:val="000F4A66"/>
    <w:rPr>
      <w:rFonts w:ascii="Verdana" w:hAnsi="Verdana"/>
      <w:sz w:val="18"/>
      <w:szCs w:val="17"/>
      <w:lang w:val="en-GB"/>
    </w:rPr>
  </w:style>
  <w:style w:type="paragraph" w:customStyle="1" w:styleId="Tabletext0">
    <w:name w:val="Table_text"/>
    <w:basedOn w:val="Normal"/>
    <w:link w:val="TabletextChar"/>
    <w:uiPriority w:val="99"/>
    <w:qFormat/>
    <w:rsid w:val="000F4A66"/>
    <w:pPr>
      <w:spacing w:after="0" w:line="240" w:lineRule="auto"/>
      <w:jc w:val="both"/>
    </w:pPr>
    <w:rPr>
      <w:rFonts w:ascii="Verdana" w:hAnsi="Verdana"/>
      <w:sz w:val="18"/>
      <w:szCs w:val="17"/>
      <w:lang w:val="en-GB"/>
    </w:rPr>
  </w:style>
  <w:style w:type="paragraph" w:customStyle="1" w:styleId="Bullet3n">
    <w:name w:val="Bullet3n"/>
    <w:basedOn w:val="ListParagraph"/>
    <w:link w:val="Bullet3nChar"/>
    <w:uiPriority w:val="99"/>
    <w:rsid w:val="000F4A66"/>
    <w:pPr>
      <w:numPr>
        <w:numId w:val="114"/>
      </w:numPr>
      <w:spacing w:after="240" w:line="240" w:lineRule="auto"/>
      <w:jc w:val="both"/>
    </w:pPr>
    <w:rPr>
      <w:rFonts w:ascii="Verdana" w:eastAsia="Times New Roman" w:hAnsi="Verdana" w:cs="Calibri"/>
      <w:color w:val="000000" w:themeColor="text1"/>
      <w:sz w:val="15"/>
      <w:szCs w:val="15"/>
      <w:lang w:val="fr-FR"/>
    </w:rPr>
  </w:style>
  <w:style w:type="character" w:customStyle="1" w:styleId="Bullet3nChar">
    <w:name w:val="Bullet3n Char"/>
    <w:basedOn w:val="DefaultParagraphFont"/>
    <w:link w:val="Bullet3n"/>
    <w:uiPriority w:val="99"/>
    <w:locked/>
    <w:rsid w:val="000F4A66"/>
    <w:rPr>
      <w:rFonts w:ascii="Verdana" w:eastAsia="Times New Roman" w:hAnsi="Verdana" w:cs="Calibri"/>
      <w:color w:val="000000" w:themeColor="text1"/>
      <w:sz w:val="15"/>
      <w:szCs w:val="15"/>
      <w:lang w:val="fr-FR"/>
    </w:rPr>
  </w:style>
  <w:style w:type="paragraph" w:customStyle="1" w:styleId="Heading1HOME">
    <w:name w:val="Heading1HOME"/>
    <w:basedOn w:val="Heading1"/>
    <w:next w:val="Body"/>
    <w:link w:val="Heading1HOMEChar"/>
    <w:uiPriority w:val="99"/>
    <w:rsid w:val="000F4A66"/>
    <w:pPr>
      <w:pageBreakBefore/>
      <w:numPr>
        <w:numId w:val="0"/>
      </w:numPr>
      <w:ind w:left="432" w:hanging="432"/>
    </w:pPr>
    <w:rPr>
      <w:rFonts w:ascii="Verdana" w:hAnsi="Verdana"/>
    </w:rPr>
  </w:style>
  <w:style w:type="paragraph" w:customStyle="1" w:styleId="Heading2HOME">
    <w:name w:val="Heading2HOME"/>
    <w:basedOn w:val="Heading2"/>
    <w:next w:val="Body"/>
    <w:link w:val="Heading2HOMEChar"/>
    <w:uiPriority w:val="99"/>
    <w:rsid w:val="000F4A66"/>
    <w:pPr>
      <w:numPr>
        <w:ilvl w:val="0"/>
        <w:numId w:val="113"/>
      </w:numPr>
      <w:tabs>
        <w:tab w:val="left" w:pos="1026"/>
      </w:tabs>
      <w:spacing w:after="240"/>
    </w:pPr>
    <w:rPr>
      <w:rFonts w:ascii="Verdana" w:hAnsi="Verdana"/>
      <w:lang w:val="en-GB"/>
    </w:rPr>
  </w:style>
  <w:style w:type="character" w:customStyle="1" w:styleId="Heading1HOMEChar">
    <w:name w:val="Heading1HOME Char"/>
    <w:basedOn w:val="Heading1Char"/>
    <w:link w:val="Heading1HOME"/>
    <w:uiPriority w:val="99"/>
    <w:locked/>
    <w:rsid w:val="000F4A66"/>
    <w:rPr>
      <w:rFonts w:ascii="Verdana" w:eastAsia="Times New Roman" w:hAnsi="Verdana" w:cs="Times New Roman"/>
      <w:b/>
      <w:smallCaps/>
      <w:sz w:val="24"/>
    </w:rPr>
  </w:style>
  <w:style w:type="character" w:customStyle="1" w:styleId="Heading2HOMEChar">
    <w:name w:val="Heading2HOME Char"/>
    <w:basedOn w:val="Heading2Char"/>
    <w:link w:val="Heading2HOME"/>
    <w:uiPriority w:val="99"/>
    <w:locked/>
    <w:rsid w:val="000F4A66"/>
    <w:rPr>
      <w:rFonts w:ascii="Verdana" w:eastAsia="Times New Roman" w:hAnsi="Verdana" w:cs="Times New Roman"/>
      <w:b/>
      <w:sz w:val="24"/>
      <w:szCs w:val="24"/>
      <w:lang w:val="en-GB"/>
    </w:rPr>
  </w:style>
  <w:style w:type="table" w:customStyle="1" w:styleId="DocumentTable1">
    <w:name w:val="Document Table1"/>
    <w:basedOn w:val="TableNormal"/>
    <w:next w:val="TableGrid"/>
    <w:uiPriority w:val="59"/>
    <w:rsid w:val="000F4A66"/>
    <w:pPr>
      <w:spacing w:after="0" w:line="240" w:lineRule="auto"/>
    </w:pPr>
    <w:rPr>
      <w:rFonts w:ascii="Verdana" w:eastAsia="Times New Roman" w:hAnsi="Verdana" w:cs="Times New Roman"/>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SimSun" w:hAnsi="@SimSun"/>
        <w:b/>
        <w:color w:val="FFFFFF" w:themeColor="background1"/>
        <w:sz w:val="18"/>
      </w:rPr>
      <w:tblPr/>
      <w:tcPr>
        <w:shd w:val="clear" w:color="auto" w:fill="00AEF0"/>
      </w:tcPr>
    </w:tblStylePr>
    <w:tblStylePr w:type="band1Horz">
      <w:rPr>
        <w:sz w:val="18"/>
      </w:rPr>
    </w:tblStylePr>
  </w:style>
  <w:style w:type="paragraph" w:customStyle="1" w:styleId="CharCharCharCharChar">
    <w:name w:val="Char Char Char Char Char"/>
    <w:basedOn w:val="Normal"/>
    <w:next w:val="Normal"/>
    <w:rsid w:val="000F4A66"/>
    <w:pPr>
      <w:spacing w:after="160" w:line="240" w:lineRule="exact"/>
    </w:pPr>
    <w:rPr>
      <w:rFonts w:ascii="Tahoma" w:eastAsia="Times New Roman" w:hAnsi="Tahoma" w:cs="Times New Roman"/>
      <w:sz w:val="24"/>
      <w:lang w:eastAsia="zh-CN"/>
    </w:rPr>
  </w:style>
  <w:style w:type="table" w:customStyle="1" w:styleId="TableGridLight1">
    <w:name w:val="Table Grid Light1"/>
    <w:basedOn w:val="TableNormal"/>
    <w:uiPriority w:val="40"/>
    <w:rsid w:val="000F4A66"/>
    <w:pPr>
      <w:spacing w:after="0" w:line="240" w:lineRule="auto"/>
    </w:pPr>
    <w:rPr>
      <w:rFonts w:ascii="Times New Roman" w:eastAsia="Times New Roman" w:hAnsi="Times New Roman" w:cs="Times New Roman"/>
      <w:lang w:val="nl-BE" w:eastAsia="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notestyle">
    <w:name w:val="Footnote style"/>
    <w:basedOn w:val="Normal"/>
    <w:link w:val="FootnotestyleChar"/>
    <w:uiPriority w:val="99"/>
    <w:qFormat/>
    <w:rsid w:val="000F4A66"/>
    <w:pPr>
      <w:spacing w:after="0" w:line="240" w:lineRule="auto"/>
      <w:jc w:val="both"/>
    </w:pPr>
    <w:rPr>
      <w:rFonts w:ascii="Verdana" w:eastAsia="Times New Roman" w:hAnsi="Verdana" w:cs="Times New Roman"/>
      <w:sz w:val="16"/>
      <w:szCs w:val="16"/>
      <w:lang w:val="en-GB"/>
    </w:rPr>
  </w:style>
  <w:style w:type="character" w:customStyle="1" w:styleId="FootnotestyleChar">
    <w:name w:val="Footnote style Char"/>
    <w:basedOn w:val="DefaultParagraphFont"/>
    <w:link w:val="Footnotestyle"/>
    <w:uiPriority w:val="99"/>
    <w:rsid w:val="000F4A66"/>
    <w:rPr>
      <w:rFonts w:ascii="Verdana" w:eastAsia="Times New Roman" w:hAnsi="Verdana" w:cs="Times New Roman"/>
      <w:sz w:val="16"/>
      <w:szCs w:val="16"/>
      <w:lang w:val="en-GB"/>
    </w:rPr>
  </w:style>
  <w:style w:type="paragraph" w:styleId="Bibliography">
    <w:name w:val="Bibliography"/>
    <w:basedOn w:val="Normal"/>
    <w:next w:val="Normal"/>
    <w:uiPriority w:val="37"/>
    <w:semiHidden/>
    <w:unhideWhenUsed/>
    <w:rsid w:val="000F4A66"/>
    <w:pPr>
      <w:spacing w:after="240" w:line="240" w:lineRule="auto"/>
      <w:jc w:val="both"/>
    </w:pPr>
    <w:rPr>
      <w:rFonts w:ascii="Times New Roman" w:eastAsia="Times New Roman" w:hAnsi="Times New Roman" w:cs="Times New Roman"/>
      <w:sz w:val="24"/>
      <w:lang w:val="fr-FR"/>
    </w:rPr>
  </w:style>
  <w:style w:type="paragraph" w:styleId="E-mailSignature">
    <w:name w:val="E-mail Signature"/>
    <w:basedOn w:val="Normal"/>
    <w:link w:val="E-mailSignatureChar"/>
    <w:uiPriority w:val="99"/>
    <w:semiHidden/>
    <w:unhideWhenUsed/>
    <w:rsid w:val="000F4A66"/>
    <w:pPr>
      <w:spacing w:after="0" w:line="240" w:lineRule="auto"/>
      <w:jc w:val="both"/>
    </w:pPr>
    <w:rPr>
      <w:rFonts w:ascii="Times New Roman" w:eastAsia="Times New Roman" w:hAnsi="Times New Roman" w:cs="Times New Roman"/>
      <w:sz w:val="24"/>
      <w:lang w:val="fr-FR"/>
    </w:rPr>
  </w:style>
  <w:style w:type="character" w:customStyle="1" w:styleId="E-mailSignatureChar">
    <w:name w:val="E-mail Signature Char"/>
    <w:basedOn w:val="DefaultParagraphFont"/>
    <w:link w:val="E-mailSignature"/>
    <w:uiPriority w:val="99"/>
    <w:semiHidden/>
    <w:rsid w:val="000F4A66"/>
    <w:rPr>
      <w:rFonts w:ascii="Times New Roman" w:eastAsia="Times New Roman" w:hAnsi="Times New Roman" w:cs="Times New Roman"/>
      <w:sz w:val="24"/>
      <w:lang w:val="fr-FR"/>
    </w:rPr>
  </w:style>
  <w:style w:type="paragraph" w:styleId="HTMLAddress">
    <w:name w:val="HTML Address"/>
    <w:basedOn w:val="Normal"/>
    <w:link w:val="HTMLAddressChar"/>
    <w:semiHidden/>
    <w:unhideWhenUsed/>
    <w:rsid w:val="000F4A66"/>
    <w:pPr>
      <w:spacing w:after="0" w:line="240" w:lineRule="auto"/>
      <w:jc w:val="both"/>
    </w:pPr>
    <w:rPr>
      <w:rFonts w:ascii="Times New Roman" w:eastAsia="Times New Roman" w:hAnsi="Times New Roman" w:cs="Times New Roman"/>
      <w:i/>
      <w:iCs/>
      <w:sz w:val="24"/>
      <w:lang w:val="fr-FR"/>
    </w:rPr>
  </w:style>
  <w:style w:type="character" w:customStyle="1" w:styleId="HTMLAddressChar">
    <w:name w:val="HTML Address Char"/>
    <w:basedOn w:val="DefaultParagraphFont"/>
    <w:link w:val="HTMLAddress"/>
    <w:semiHidden/>
    <w:rsid w:val="000F4A66"/>
    <w:rPr>
      <w:rFonts w:ascii="Times New Roman" w:eastAsia="Times New Roman" w:hAnsi="Times New Roman" w:cs="Times New Roman"/>
      <w:i/>
      <w:iCs/>
      <w:sz w:val="24"/>
      <w:lang w:val="fr-FR"/>
    </w:rPr>
  </w:style>
  <w:style w:type="paragraph" w:styleId="HTMLPreformatted">
    <w:name w:val="HTML Preformatted"/>
    <w:basedOn w:val="Normal"/>
    <w:link w:val="HTMLPreformattedChar"/>
    <w:semiHidden/>
    <w:unhideWhenUsed/>
    <w:rsid w:val="000F4A66"/>
    <w:pPr>
      <w:spacing w:after="0" w:line="240" w:lineRule="auto"/>
      <w:jc w:val="both"/>
    </w:pPr>
    <w:rPr>
      <w:rFonts w:ascii="Consolas" w:eastAsia="Times New Roman" w:hAnsi="Consolas" w:cs="Times New Roman"/>
      <w:lang w:val="fr-FR"/>
    </w:rPr>
  </w:style>
  <w:style w:type="character" w:customStyle="1" w:styleId="HTMLPreformattedChar">
    <w:name w:val="HTML Preformatted Char"/>
    <w:basedOn w:val="DefaultParagraphFont"/>
    <w:link w:val="HTMLPreformatted"/>
    <w:semiHidden/>
    <w:rsid w:val="000F4A66"/>
    <w:rPr>
      <w:rFonts w:ascii="Consolas" w:eastAsia="Times New Roman" w:hAnsi="Consolas" w:cs="Times New Roman"/>
      <w:lang w:val="fr-FR"/>
    </w:rPr>
  </w:style>
  <w:style w:type="paragraph" w:styleId="IntenseQuote">
    <w:name w:val="Intense Quote"/>
    <w:basedOn w:val="Normal"/>
    <w:next w:val="Normal"/>
    <w:link w:val="IntenseQuoteChar"/>
    <w:uiPriority w:val="30"/>
    <w:qFormat/>
    <w:rsid w:val="000F4A66"/>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4"/>
      <w:lang w:val="fr-FR"/>
    </w:rPr>
  </w:style>
  <w:style w:type="character" w:customStyle="1" w:styleId="IntenseQuoteChar">
    <w:name w:val="Intense Quote Char"/>
    <w:basedOn w:val="DefaultParagraphFont"/>
    <w:link w:val="IntenseQuote"/>
    <w:uiPriority w:val="30"/>
    <w:rsid w:val="000F4A66"/>
    <w:rPr>
      <w:rFonts w:ascii="Times New Roman" w:eastAsia="Times New Roman" w:hAnsi="Times New Roman" w:cs="Times New Roman"/>
      <w:i/>
      <w:iCs/>
      <w:color w:val="5B9BD5" w:themeColor="accent1"/>
      <w:sz w:val="24"/>
      <w:lang w:val="fr-FR"/>
    </w:rPr>
  </w:style>
  <w:style w:type="paragraph" w:customStyle="1" w:styleId="subtitle2">
    <w:name w:val="subtitle 2"/>
    <w:basedOn w:val="Normal"/>
    <w:next w:val="Body"/>
    <w:uiPriority w:val="99"/>
    <w:rsid w:val="000F4A66"/>
    <w:pPr>
      <w:numPr>
        <w:ilvl w:val="1"/>
        <w:numId w:val="115"/>
      </w:numPr>
      <w:spacing w:before="240" w:after="120"/>
      <w:jc w:val="both"/>
    </w:pPr>
    <w:rPr>
      <w:rFonts w:ascii="Verdana" w:eastAsia="Times New Roman" w:hAnsi="Verdana" w:cs="Times New Roman"/>
      <w:b/>
      <w:sz w:val="18"/>
      <w:lang w:val="en-GB" w:eastAsia="en-GB"/>
    </w:rPr>
  </w:style>
  <w:style w:type="paragraph" w:customStyle="1" w:styleId="AnnexHeading2">
    <w:name w:val="Annex Heading 2"/>
    <w:basedOn w:val="Normal"/>
    <w:next w:val="Body"/>
    <w:autoRedefine/>
    <w:uiPriority w:val="99"/>
    <w:qFormat/>
    <w:rsid w:val="000F4A66"/>
    <w:pPr>
      <w:keepNext/>
      <w:keepLines/>
      <w:spacing w:before="120" w:after="240" w:line="240" w:lineRule="auto"/>
      <w:ind w:left="360" w:hanging="360"/>
      <w:jc w:val="both"/>
      <w:outlineLvl w:val="1"/>
    </w:pPr>
    <w:rPr>
      <w:rFonts w:ascii="Verdana" w:eastAsia="Times New Roman" w:hAnsi="Verdana" w:cs="Arial"/>
      <w:b/>
      <w:bCs/>
      <w:sz w:val="22"/>
      <w:szCs w:val="28"/>
      <w:lang w:val="en-GB" w:eastAsia="nl-BE"/>
    </w:rPr>
  </w:style>
  <w:style w:type="paragraph" w:customStyle="1" w:styleId="AnnexHeading1">
    <w:name w:val="Annex Heading 1"/>
    <w:basedOn w:val="AnnexTitle"/>
    <w:next w:val="Body"/>
    <w:uiPriority w:val="99"/>
    <w:qFormat/>
    <w:rsid w:val="00AE777C"/>
    <w:pPr>
      <w:outlineLvl w:val="0"/>
    </w:pPr>
    <w:rPr>
      <w:rFonts w:ascii="Times New Roman Bold" w:hAnsi="Times New Roman Bold"/>
      <w:smallCaps/>
      <w:sz w:val="28"/>
      <w:szCs w:val="24"/>
    </w:rPr>
  </w:style>
  <w:style w:type="paragraph" w:customStyle="1" w:styleId="Char3CharCharCharCharChar">
    <w:name w:val="Char3 Char Char Char Char Char"/>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TableText1">
    <w:name w:val="Table Text"/>
    <w:basedOn w:val="Normal"/>
    <w:uiPriority w:val="99"/>
    <w:rsid w:val="000F4A66"/>
    <w:pPr>
      <w:tabs>
        <w:tab w:val="num" w:pos="360"/>
        <w:tab w:val="left" w:pos="907"/>
      </w:tabs>
      <w:suppressAutoHyphens/>
      <w:spacing w:before="60" w:after="60" w:line="240" w:lineRule="auto"/>
      <w:ind w:left="360" w:hanging="360"/>
      <w:contextualSpacing/>
    </w:pPr>
    <w:rPr>
      <w:rFonts w:ascii="EYInterstate Light" w:eastAsia="Times New Roman" w:hAnsi="EYInterstate Light" w:cs="Times New Roman"/>
      <w:kern w:val="12"/>
      <w:sz w:val="18"/>
      <w:lang w:eastAsia="ar-SA"/>
    </w:rPr>
  </w:style>
  <w:style w:type="paragraph" w:customStyle="1" w:styleId="Bulletcoretext">
    <w:name w:val="Bullet core text"/>
    <w:basedOn w:val="ListParagraph"/>
    <w:link w:val="BulletcoretextChar"/>
    <w:qFormat/>
    <w:rsid w:val="000F4A66"/>
    <w:pPr>
      <w:spacing w:after="120" w:line="240" w:lineRule="auto"/>
      <w:ind w:hanging="360"/>
      <w:jc w:val="both"/>
    </w:pPr>
    <w:rPr>
      <w:rFonts w:ascii="EYInterstate Light" w:hAnsi="EYInterstate Light"/>
      <w:szCs w:val="22"/>
      <w:lang w:val="en-GB"/>
    </w:rPr>
  </w:style>
  <w:style w:type="character" w:customStyle="1" w:styleId="BulletcoretextChar">
    <w:name w:val="Bullet core text Char"/>
    <w:basedOn w:val="DefaultParagraphFont"/>
    <w:link w:val="Bulletcoretext"/>
    <w:rsid w:val="000F4A66"/>
    <w:rPr>
      <w:rFonts w:ascii="EYInterstate Light" w:hAnsi="EYInterstate Light"/>
      <w:szCs w:val="22"/>
      <w:lang w:val="en-GB"/>
    </w:rPr>
  </w:style>
  <w:style w:type="paragraph" w:customStyle="1" w:styleId="EQ">
    <w:name w:val="EQ"/>
    <w:basedOn w:val="Body"/>
    <w:link w:val="EQChar"/>
    <w:qFormat/>
    <w:rsid w:val="000F4A66"/>
    <w:pPr>
      <w:shd w:val="clear" w:color="auto" w:fill="F2F2F2" w:themeFill="background1" w:themeFillShade="F2"/>
      <w:spacing w:before="120" w:after="120"/>
      <w:jc w:val="both"/>
    </w:pPr>
    <w:rPr>
      <w:i/>
      <w:sz w:val="18"/>
    </w:rPr>
  </w:style>
  <w:style w:type="character" w:customStyle="1" w:styleId="EQChar">
    <w:name w:val="EQ Char"/>
    <w:basedOn w:val="BodyChar"/>
    <w:link w:val="EQ"/>
    <w:rsid w:val="000F4A66"/>
    <w:rPr>
      <w:rFonts w:ascii="Verdana" w:eastAsia="Times New Roman" w:hAnsi="Verdana" w:cs="Times New Roman"/>
      <w:i/>
      <w:sz w:val="18"/>
      <w:shd w:val="clear" w:color="auto" w:fill="F2F2F2" w:themeFill="background1" w:themeFillShade="F2"/>
      <w:lang w:val="en-GB"/>
    </w:rPr>
  </w:style>
  <w:style w:type="paragraph" w:customStyle="1" w:styleId="StyleStyle4Left0cmFirstline0cm">
    <w:name w:val="Style Style4 + Left:  0 cm First line:  0 cm"/>
    <w:basedOn w:val="Heading3"/>
    <w:uiPriority w:val="99"/>
    <w:rsid w:val="000F4A66"/>
    <w:pPr>
      <w:tabs>
        <w:tab w:val="left" w:pos="1026"/>
      </w:tabs>
      <w:spacing w:after="240"/>
      <w:jc w:val="left"/>
    </w:pPr>
    <w:rPr>
      <w:rFonts w:ascii="Verdana" w:hAnsi="Verdana"/>
      <w:i w:val="0"/>
      <w:iCs/>
      <w:sz w:val="22"/>
      <w:szCs w:val="20"/>
    </w:rPr>
  </w:style>
  <w:style w:type="table" w:styleId="LightShading">
    <w:name w:val="Light Shading"/>
    <w:basedOn w:val="TableNormal"/>
    <w:uiPriority w:val="60"/>
    <w:rsid w:val="000F4A66"/>
    <w:pPr>
      <w:spacing w:after="0" w:line="240" w:lineRule="auto"/>
    </w:pPr>
    <w:rPr>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0F4A66"/>
    <w:pPr>
      <w:spacing w:after="0" w:line="240" w:lineRule="auto"/>
    </w:pPr>
    <w:rPr>
      <w:rFonts w:ascii="Calibri" w:eastAsia="Calibri" w:hAnsi="Calibri" w:cs="Times New Roman"/>
      <w:color w:val="000000"/>
      <w:sz w:val="16"/>
      <w:szCs w:val="22"/>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dicator">
    <w:name w:val="Indicator"/>
    <w:basedOn w:val="Normal"/>
    <w:link w:val="IndicatorChar"/>
    <w:qFormat/>
    <w:rsid w:val="000F4A66"/>
    <w:pPr>
      <w:spacing w:before="120" w:after="120" w:line="240" w:lineRule="auto"/>
      <w:jc w:val="both"/>
    </w:pPr>
    <w:rPr>
      <w:rFonts w:ascii="Verdana" w:eastAsia="Calibri" w:hAnsi="Verdana" w:cs="Times New Roman"/>
      <w:b/>
      <w:color w:val="4F81BD"/>
      <w:sz w:val="18"/>
      <w:szCs w:val="18"/>
      <w:lang w:val="en-GB" w:eastAsia="en-GB"/>
    </w:rPr>
  </w:style>
  <w:style w:type="character" w:customStyle="1" w:styleId="IndicatorChar">
    <w:name w:val="Indicator Char"/>
    <w:basedOn w:val="DefaultParagraphFont"/>
    <w:link w:val="Indicator"/>
    <w:rsid w:val="000F4A66"/>
    <w:rPr>
      <w:rFonts w:ascii="Verdana" w:eastAsia="Calibri" w:hAnsi="Verdana" w:cs="Times New Roman"/>
      <w:b/>
      <w:color w:val="4F81BD"/>
      <w:sz w:val="18"/>
      <w:szCs w:val="18"/>
      <w:lang w:val="en-GB" w:eastAsia="en-GB"/>
    </w:rPr>
  </w:style>
  <w:style w:type="paragraph" w:customStyle="1" w:styleId="CharCharCharCharChar0">
    <w:name w:val="Char Char Char Char Char0"/>
    <w:basedOn w:val="Normal"/>
    <w:next w:val="Normal"/>
    <w:rsid w:val="000F4A66"/>
    <w:pPr>
      <w:spacing w:after="160" w:line="240" w:lineRule="exact"/>
    </w:pPr>
    <w:rPr>
      <w:rFonts w:ascii="Tahoma" w:eastAsia="Times New Roman" w:hAnsi="Tahoma" w:cs="Times New Roman"/>
      <w:sz w:val="24"/>
      <w:lang w:eastAsia="zh-CN"/>
    </w:rPr>
  </w:style>
  <w:style w:type="paragraph" w:customStyle="1" w:styleId="CharCharCharCharChar1">
    <w:name w:val="Char Char Char Char Char1"/>
    <w:basedOn w:val="Normal"/>
    <w:next w:val="Normal"/>
    <w:rsid w:val="000F4A66"/>
    <w:pPr>
      <w:spacing w:after="160" w:line="240" w:lineRule="exact"/>
    </w:pPr>
    <w:rPr>
      <w:rFonts w:ascii="Tahoma" w:eastAsia="Times New Roman" w:hAnsi="Tahoma" w:cs="Times New Roman"/>
      <w:sz w:val="24"/>
      <w:lang w:eastAsia="zh-CN"/>
    </w:rPr>
  </w:style>
  <w:style w:type="paragraph" w:customStyle="1" w:styleId="CharCharCharCharChar2">
    <w:name w:val="Char Char Char Char Char2"/>
    <w:basedOn w:val="Normal"/>
    <w:next w:val="Normal"/>
    <w:rsid w:val="000F4A66"/>
    <w:pPr>
      <w:spacing w:after="160" w:line="240" w:lineRule="exact"/>
    </w:pPr>
    <w:rPr>
      <w:rFonts w:ascii="Tahoma" w:eastAsia="Times New Roman" w:hAnsi="Tahoma" w:cs="Times New Roman"/>
      <w:sz w:val="24"/>
      <w:lang w:eastAsia="zh-CN"/>
    </w:rPr>
  </w:style>
  <w:style w:type="table" w:styleId="TableGridLight">
    <w:name w:val="Grid Table Light"/>
    <w:basedOn w:val="TableNormal"/>
    <w:uiPriority w:val="40"/>
    <w:rsid w:val="000F4A66"/>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
    <w:name w:val="subhead"/>
    <w:basedOn w:val="Normal"/>
    <w:autoRedefine/>
    <w:uiPriority w:val="99"/>
    <w:qFormat/>
    <w:rsid w:val="000F4A66"/>
    <w:pPr>
      <w:widowControl w:val="0"/>
      <w:tabs>
        <w:tab w:val="left" w:pos="4536"/>
      </w:tabs>
      <w:suppressAutoHyphens/>
      <w:autoSpaceDE w:val="0"/>
      <w:autoSpaceDN w:val="0"/>
      <w:adjustRightInd w:val="0"/>
      <w:spacing w:before="320" w:after="0" w:line="240" w:lineRule="atLeast"/>
      <w:jc w:val="both"/>
      <w:textAlignment w:val="center"/>
    </w:pPr>
    <w:rPr>
      <w:rFonts w:ascii="Arial" w:eastAsia="Cambria" w:hAnsi="Arial" w:cs="ArialMT"/>
      <w:b/>
      <w:color w:val="000000"/>
      <w:sz w:val="28"/>
      <w:szCs w:val="28"/>
      <w:lang w:val="en-GB"/>
    </w:rPr>
  </w:style>
  <w:style w:type="paragraph" w:customStyle="1" w:styleId="Reporttitle">
    <w:name w:val="Report title"/>
    <w:basedOn w:val="Normal"/>
    <w:autoRedefine/>
    <w:uiPriority w:val="99"/>
    <w:qFormat/>
    <w:rsid w:val="000F4A66"/>
    <w:pPr>
      <w:tabs>
        <w:tab w:val="left" w:pos="4536"/>
      </w:tabs>
      <w:spacing w:before="120" w:after="120"/>
      <w:ind w:right="-101"/>
      <w:jc w:val="both"/>
    </w:pPr>
    <w:rPr>
      <w:rFonts w:ascii="Arial" w:eastAsia="Cambria" w:hAnsi="Arial" w:cs="Times New Roman"/>
      <w:b/>
      <w:sz w:val="76"/>
      <w:lang w:val="en-GB"/>
    </w:rPr>
  </w:style>
  <w:style w:type="paragraph" w:customStyle="1" w:styleId="name">
    <w:name w:val="name"/>
    <w:basedOn w:val="Normal"/>
    <w:autoRedefine/>
    <w:uiPriority w:val="99"/>
    <w:qFormat/>
    <w:rsid w:val="000F4A66"/>
    <w:pPr>
      <w:widowControl w:val="0"/>
      <w:shd w:val="solid" w:color="FFFFFF" w:fill="auto"/>
      <w:tabs>
        <w:tab w:val="left" w:pos="4536"/>
      </w:tabs>
      <w:suppressAutoHyphens/>
      <w:autoSpaceDE w:val="0"/>
      <w:autoSpaceDN w:val="0"/>
      <w:adjustRightInd w:val="0"/>
      <w:spacing w:before="2800" w:after="0" w:line="240" w:lineRule="atLeast"/>
      <w:jc w:val="both"/>
      <w:textAlignment w:val="center"/>
    </w:pPr>
    <w:rPr>
      <w:rFonts w:ascii="Arial" w:eastAsia="Cambria" w:hAnsi="Arial" w:cs="ArialMT"/>
      <w:b/>
      <w:color w:val="000000"/>
      <w:lang w:val="en-GB"/>
    </w:rPr>
  </w:style>
  <w:style w:type="paragraph" w:customStyle="1" w:styleId="Dash1">
    <w:name w:val="Dash 1"/>
    <w:basedOn w:val="Normal"/>
    <w:uiPriority w:val="99"/>
    <w:rsid w:val="000F4A66"/>
    <w:pPr>
      <w:numPr>
        <w:numId w:val="116"/>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Dash2">
    <w:name w:val="Dash 2"/>
    <w:basedOn w:val="Normal"/>
    <w:uiPriority w:val="99"/>
    <w:rsid w:val="000F4A66"/>
    <w:pPr>
      <w:tabs>
        <w:tab w:val="num" w:pos="1701"/>
      </w:tabs>
      <w:spacing w:before="120" w:after="120" w:line="360" w:lineRule="auto"/>
      <w:ind w:left="1701" w:hanging="567"/>
      <w:outlineLvl w:val="1"/>
    </w:pPr>
    <w:rPr>
      <w:rFonts w:ascii="Times New Roman" w:eastAsia="Times New Roman" w:hAnsi="Times New Roman" w:cs="Times New Roman"/>
      <w:sz w:val="24"/>
      <w:szCs w:val="24"/>
      <w:lang w:val="en-GB"/>
    </w:rPr>
  </w:style>
  <w:style w:type="character" w:customStyle="1" w:styleId="FootnoteTextChar1">
    <w:name w:val="Footnote Text Char1"/>
    <w:aliases w:val="Footnote Char1,Fußnote Char1,Testo nota a piè di pagina Carattere Char1,Footnote text Char1,Schriftart: 9 pt Char1,Schriftart: 10 pt Char1,Schriftart: 8 pt Char1,o Char1,Testo nota a piè di pagina Carattere1 Carattere Char1,fn Char1"/>
    <w:basedOn w:val="DefaultParagraphFont"/>
    <w:uiPriority w:val="99"/>
    <w:semiHidden/>
    <w:rsid w:val="000F4A66"/>
    <w:rPr>
      <w:rFonts w:ascii="Verdana" w:hAnsi="Verdana"/>
    </w:rPr>
  </w:style>
  <w:style w:type="table" w:customStyle="1" w:styleId="TableGrid2">
    <w:name w:val="Table Grid2"/>
    <w:basedOn w:val="TableNormal"/>
    <w:next w:val="TableGrid"/>
    <w:uiPriority w:val="39"/>
    <w:rsid w:val="000F4A66"/>
    <w:pPr>
      <w:spacing w:after="0" w:line="240" w:lineRule="auto"/>
    </w:pPr>
    <w:rPr>
      <w:rFonts w:ascii="Calibri" w:eastAsia="Calibri" w:hAnsi="Calibri" w:cs="Times New Roman"/>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Introduction">
    <w:name w:val="Heading 1 - Introduction"/>
    <w:basedOn w:val="Heading1"/>
    <w:link w:val="Heading1-IntroductionChar"/>
    <w:rsid w:val="000F4A66"/>
    <w:pPr>
      <w:numPr>
        <w:numId w:val="0"/>
      </w:numPr>
      <w:jc w:val="left"/>
    </w:pPr>
    <w:rPr>
      <w:rFonts w:ascii="Verdana" w:hAnsi="Verdana"/>
    </w:rPr>
  </w:style>
  <w:style w:type="paragraph" w:customStyle="1" w:styleId="Heading2-Introduction">
    <w:name w:val="Heading 2 - Introduction"/>
    <w:basedOn w:val="Heading2"/>
    <w:link w:val="Heading2-IntroductionChar"/>
    <w:rsid w:val="000F4A66"/>
    <w:pPr>
      <w:numPr>
        <w:ilvl w:val="0"/>
        <w:numId w:val="0"/>
      </w:numPr>
      <w:tabs>
        <w:tab w:val="left" w:pos="1026"/>
      </w:tabs>
      <w:spacing w:before="240" w:after="240"/>
      <w:jc w:val="left"/>
    </w:pPr>
    <w:rPr>
      <w:rFonts w:ascii="Verdana" w:hAnsi="Verdana"/>
      <w:lang w:val="en-GB"/>
    </w:rPr>
  </w:style>
  <w:style w:type="character" w:customStyle="1" w:styleId="Heading1-IntroductionChar">
    <w:name w:val="Heading 1 - Introduction Char"/>
    <w:basedOn w:val="Heading1Char"/>
    <w:link w:val="Heading1-Introduction"/>
    <w:rsid w:val="000F4A66"/>
    <w:rPr>
      <w:rFonts w:ascii="Verdana" w:eastAsia="Times New Roman" w:hAnsi="Verdana" w:cs="Times New Roman"/>
      <w:b/>
      <w:smallCaps/>
      <w:sz w:val="24"/>
    </w:rPr>
  </w:style>
  <w:style w:type="character" w:customStyle="1" w:styleId="Heading2-IntroductionChar">
    <w:name w:val="Heading 2 - Introduction Char"/>
    <w:basedOn w:val="Heading2Char"/>
    <w:link w:val="Heading2-Introduction"/>
    <w:rsid w:val="000F4A66"/>
    <w:rPr>
      <w:rFonts w:ascii="Verdana" w:eastAsia="Times New Roman" w:hAnsi="Verdana" w:cs="Times New Roman"/>
      <w:b/>
      <w:noProof/>
      <w:sz w:val="24"/>
      <w:szCs w:val="24"/>
      <w:shd w:val="clear" w:color="auto" w:fill="F7CAAC" w:themeFill="accent2" w:themeFillTint="66"/>
      <w:lang w:val="en-GB"/>
    </w:rPr>
  </w:style>
  <w:style w:type="table" w:customStyle="1" w:styleId="TableGridLight2">
    <w:name w:val="Table Grid Light2"/>
    <w:basedOn w:val="TableNormal"/>
    <w:uiPriority w:val="40"/>
    <w:rsid w:val="000F4A66"/>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CharCharCharChar7">
    <w:name w:val="Char Char Char Char Char7"/>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6">
    <w:name w:val="Char Char Char Char Char6"/>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5">
    <w:name w:val="Char Char Char Char Char5"/>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4">
    <w:name w:val="Char Char Char Char Char4"/>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
    <w:name w:val="Char Char Char Char Char3"/>
    <w:basedOn w:val="Normal"/>
    <w:next w:val="Normal"/>
    <w:rsid w:val="000F4A66"/>
    <w:pPr>
      <w:spacing w:after="160" w:line="240" w:lineRule="exact"/>
    </w:pPr>
    <w:rPr>
      <w:rFonts w:ascii="Tahoma" w:eastAsia="Times New Roman" w:hAnsi="Tahoma" w:cs="Times New Roman"/>
      <w:sz w:val="24"/>
      <w:lang w:eastAsia="zh-CN"/>
    </w:rPr>
  </w:style>
  <w:style w:type="paragraph" w:customStyle="1" w:styleId="BoxTextvero">
    <w:name w:val="Box Text vero"/>
    <w:basedOn w:val="Boxtext"/>
    <w:link w:val="BoxTextveroChar"/>
    <w:rsid w:val="000F4A66"/>
    <w:rPr>
      <w:b/>
    </w:rPr>
  </w:style>
  <w:style w:type="character" w:customStyle="1" w:styleId="BoxTextveroChar">
    <w:name w:val="Box Text vero Char"/>
    <w:basedOn w:val="BoxtextChar"/>
    <w:link w:val="BoxTextvero"/>
    <w:rsid w:val="000F4A66"/>
    <w:rPr>
      <w:rFonts w:ascii="Verdana" w:eastAsia="Times New Roman" w:hAnsi="Verdana" w:cs="Calibri"/>
      <w:b/>
      <w:color w:val="000000"/>
      <w:sz w:val="18"/>
      <w:szCs w:val="18"/>
      <w:lang w:val="en-GB" w:eastAsia="en-GB"/>
    </w:rPr>
  </w:style>
  <w:style w:type="paragraph" w:customStyle="1" w:styleId="Subtitle5">
    <w:name w:val="Subtitle_5"/>
    <w:basedOn w:val="Heading5"/>
    <w:next w:val="Body"/>
    <w:link w:val="Subtitle5Char"/>
    <w:qFormat/>
    <w:rsid w:val="000F4A66"/>
    <w:pPr>
      <w:keepNext w:val="0"/>
      <w:keepLines w:val="0"/>
      <w:spacing w:before="240" w:after="60" w:line="240" w:lineRule="auto"/>
      <w:jc w:val="both"/>
    </w:pPr>
    <w:rPr>
      <w:rFonts w:ascii="Verdana" w:eastAsia="Times New Roman" w:hAnsi="Verdana" w:cs="Times New Roman"/>
      <w:b/>
      <w:i/>
      <w:color w:val="0070C0"/>
    </w:rPr>
  </w:style>
  <w:style w:type="character" w:customStyle="1" w:styleId="Subtitle5Char">
    <w:name w:val="Subtitle_5 Char"/>
    <w:basedOn w:val="Heading5Char"/>
    <w:link w:val="Subtitle5"/>
    <w:rsid w:val="000F4A66"/>
    <w:rPr>
      <w:rFonts w:ascii="Verdana" w:eastAsia="Times New Roman" w:hAnsi="Verdana" w:cs="Times New Roman"/>
      <w:b/>
      <w:i/>
      <w:noProof/>
      <w:color w:val="0070C0"/>
      <w:sz w:val="22"/>
      <w:szCs w:val="22"/>
      <w:lang w:val="en-GB"/>
    </w:rPr>
  </w:style>
  <w:style w:type="table" w:customStyle="1" w:styleId="MediumList2-Accent2111">
    <w:name w:val="Medium List 2 - Accent 2111"/>
    <w:basedOn w:val="TableNormal"/>
    <w:uiPriority w:val="99"/>
    <w:rsid w:val="000F4A66"/>
    <w:pPr>
      <w:spacing w:after="0" w:line="240" w:lineRule="auto"/>
    </w:pPr>
    <w:rPr>
      <w:rFonts w:ascii="EYInterstate Light" w:eastAsia="Times New Roman" w:hAnsi="EYInterstate Light" w:cs="Times New Roman"/>
      <w:color w:val="000000"/>
      <w:sz w:val="18"/>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cs="Times New Roman"/>
        <w:sz w:val="24"/>
        <w:szCs w:val="24"/>
      </w:rPr>
      <w:tblPr/>
      <w:tcPr>
        <w:shd w:val="clear" w:color="auto" w:fill="C1C1C1"/>
      </w:tcPr>
    </w:tblStylePr>
    <w:tblStylePr w:type="lastRow">
      <w:rPr>
        <w:rFonts w:ascii="ArialMT" w:hAnsi="ArialMT" w:cs="Times New Roman"/>
        <w:color w:val="auto"/>
        <w:sz w:val="18"/>
      </w:rPr>
      <w:tblPr/>
      <w:tcPr>
        <w:shd w:val="clear" w:color="auto" w:fill="F0F0F0"/>
      </w:tcPr>
    </w:tblStylePr>
    <w:tblStylePr w:type="firstCol">
      <w:rPr>
        <w:rFonts w:ascii="ArialMT" w:hAnsi="ArialMT" w:cs="Times New Roman"/>
        <w:sz w:val="18"/>
      </w:rPr>
    </w:tblStylePr>
    <w:tblStylePr w:type="lastCol">
      <w:rPr>
        <w:rFonts w:ascii="ArialMT" w:hAnsi="ArialMT" w:cs="Times New Roman"/>
        <w:sz w:val="18"/>
      </w:rPr>
    </w:tblStylePr>
    <w:tblStylePr w:type="band1Vert">
      <w:rPr>
        <w:rFonts w:ascii="ArialMT" w:hAnsi="ArialMT" w:cs="Times New Roman"/>
        <w:sz w:val="18"/>
      </w:rPr>
    </w:tblStylePr>
    <w:tblStylePr w:type="band2Vert">
      <w:rPr>
        <w:rFonts w:ascii="ArialMT" w:hAnsi="ArialMT"/>
        <w:sz w:val="18"/>
      </w:rPr>
    </w:tblStylePr>
    <w:tblStylePr w:type="band1Horz">
      <w:rPr>
        <w:rFonts w:ascii="ArialMT" w:hAnsi="ArialMT" w:cs="Times New Roman"/>
        <w:sz w:val="18"/>
      </w:rPr>
      <w:tblPr/>
      <w:tcPr>
        <w:shd w:val="clear" w:color="auto" w:fill="E0E0E0"/>
      </w:tcPr>
    </w:tblStylePr>
    <w:tblStylePr w:type="band2Horz">
      <w:rPr>
        <w:rFonts w:ascii="ArialMT" w:hAnsi="ArialMT"/>
        <w:sz w:val="18"/>
      </w:rPr>
      <w:tblPr/>
      <w:tcPr>
        <w:shd w:val="clear" w:color="auto" w:fill="F0F0F0"/>
      </w:tcPr>
    </w:tblStylePr>
    <w:tblStylePr w:type="neCell">
      <w:rPr>
        <w:rFonts w:ascii="ArialMT" w:hAnsi="ArialMT"/>
        <w:sz w:val="18"/>
      </w:rPr>
      <w:tblPr/>
      <w:tcPr>
        <w:shd w:val="clear" w:color="auto" w:fill="C1C1C1"/>
      </w:tcPr>
    </w:tblStylePr>
    <w:tblStylePr w:type="nwCell">
      <w:rPr>
        <w:rFonts w:cs="Times New Roman"/>
      </w:rPr>
      <w:tblPr/>
      <w:tcPr>
        <w:shd w:val="clear" w:color="auto" w:fill="C1C1C1"/>
      </w:tcPr>
    </w:tblStylePr>
    <w:tblStylePr w:type="seCell">
      <w:rPr>
        <w:rFonts w:ascii="ArialMT" w:hAnsi="ArialMT"/>
        <w:sz w:val="18"/>
      </w:rPr>
    </w:tblStylePr>
    <w:tblStylePr w:type="swCell">
      <w:rPr>
        <w:rFonts w:ascii="ArialMT" w:hAnsi="ArialMT" w:cs="Times New Roman"/>
        <w:sz w:val="18"/>
      </w:rPr>
    </w:tblStylePr>
  </w:style>
  <w:style w:type="table" w:styleId="MediumShading1-Accent5">
    <w:name w:val="Medium Shading 1 Accent 5"/>
    <w:basedOn w:val="TableNormal"/>
    <w:uiPriority w:val="63"/>
    <w:rsid w:val="000F4A66"/>
    <w:pPr>
      <w:spacing w:after="0" w:line="240" w:lineRule="auto"/>
    </w:pPr>
    <w:rPr>
      <w:sz w:val="24"/>
      <w:szCs w:val="24"/>
      <w:lang w:val="de-D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BullettableChar">
    <w:name w:val="Bullet table Char"/>
    <w:basedOn w:val="DefaultParagraphFont"/>
    <w:link w:val="Bullettable"/>
    <w:uiPriority w:val="99"/>
    <w:rsid w:val="000F4A66"/>
    <w:rPr>
      <w:rFonts w:ascii="Verdana" w:eastAsia="Times New Roman" w:hAnsi="Verdana" w:cs="Calibri"/>
      <w:color w:val="000000" w:themeColor="text1"/>
      <w:sz w:val="18"/>
      <w:szCs w:val="18"/>
      <w:lang w:val="en-GB" w:eastAsia="en-GB"/>
    </w:rPr>
  </w:style>
  <w:style w:type="character" w:customStyle="1" w:styleId="querysrchtext">
    <w:name w:val="querysrchtext"/>
    <w:basedOn w:val="DefaultParagraphFont"/>
    <w:uiPriority w:val="99"/>
    <w:rsid w:val="000F4A66"/>
  </w:style>
  <w:style w:type="paragraph" w:customStyle="1" w:styleId="StyleTablerowheader">
    <w:name w:val="Style Table row header +"/>
    <w:basedOn w:val="Tablerowheader"/>
    <w:uiPriority w:val="99"/>
    <w:rsid w:val="000F4A66"/>
    <w:pPr>
      <w:spacing w:before="120" w:after="120"/>
      <w:ind w:left="530" w:hanging="360"/>
    </w:pPr>
    <w:rPr>
      <w:rFonts w:ascii="Verdana" w:hAnsi="Verdana" w:cs="Calibri"/>
      <w:color w:val="FFFFFF" w:themeColor="background1"/>
      <w:sz w:val="18"/>
      <w:szCs w:val="18"/>
      <w:lang w:val="en-US" w:eastAsia="nl-BE"/>
    </w:rPr>
  </w:style>
  <w:style w:type="paragraph" w:customStyle="1" w:styleId="StyleStyleTablerowheader">
    <w:name w:val="Style Style Table row header + +"/>
    <w:basedOn w:val="StyleTablerowheader"/>
    <w:uiPriority w:val="99"/>
    <w:rsid w:val="000F4A66"/>
    <w:pPr>
      <w:jc w:val="center"/>
    </w:pPr>
  </w:style>
  <w:style w:type="table" w:styleId="GridTable5Dark-Accent1">
    <w:name w:val="Grid Table 5 Dark Accent 1"/>
    <w:basedOn w:val="TableNormal"/>
    <w:uiPriority w:val="50"/>
    <w:rsid w:val="000F4A66"/>
    <w:pPr>
      <w:spacing w:after="0" w:line="240" w:lineRule="auto"/>
    </w:pPr>
    <w:rPr>
      <w:rFonts w:ascii="Times New Roman" w:eastAsia="Times New Roman" w:hAnsi="Times New Roman" w:cs="Times New Roman"/>
      <w:lang w:val="nl-BE" w:eastAsia="nl-B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m-159865257759977660msolistparagraph">
    <w:name w:val="m_-159865257759977660msolistparagraph"/>
    <w:basedOn w:val="Normal"/>
    <w:uiPriority w:val="99"/>
    <w:rsid w:val="000F4A6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IntenseEmphasis">
    <w:name w:val="Intense Emphasis"/>
    <w:basedOn w:val="DefaultParagraphFont"/>
    <w:uiPriority w:val="21"/>
    <w:qFormat/>
    <w:rsid w:val="000F4A66"/>
    <w:rPr>
      <w:i/>
      <w:iCs/>
      <w:color w:val="5B9BD5" w:themeColor="accent1"/>
    </w:rPr>
  </w:style>
  <w:style w:type="character" w:styleId="SubtleReference">
    <w:name w:val="Subtle Reference"/>
    <w:basedOn w:val="DefaultParagraphFont"/>
    <w:uiPriority w:val="31"/>
    <w:qFormat/>
    <w:rsid w:val="000F4A66"/>
    <w:rPr>
      <w:smallCaps/>
      <w:color w:val="5A5A5A" w:themeColor="text1" w:themeTint="A5"/>
    </w:rPr>
  </w:style>
  <w:style w:type="character" w:styleId="IntenseReference">
    <w:name w:val="Intense Reference"/>
    <w:basedOn w:val="DefaultParagraphFont"/>
    <w:uiPriority w:val="32"/>
    <w:qFormat/>
    <w:rsid w:val="000F4A66"/>
    <w:rPr>
      <w:b/>
      <w:bCs/>
      <w:smallCaps/>
      <w:color w:val="5B9BD5" w:themeColor="accent1"/>
      <w:spacing w:val="5"/>
    </w:rPr>
  </w:style>
  <w:style w:type="character" w:styleId="BookTitle">
    <w:name w:val="Book Title"/>
    <w:basedOn w:val="DefaultParagraphFont"/>
    <w:uiPriority w:val="33"/>
    <w:qFormat/>
    <w:rsid w:val="000F4A66"/>
    <w:rPr>
      <w:b/>
      <w:bCs/>
      <w:i/>
      <w:iCs/>
      <w:spacing w:val="5"/>
    </w:rPr>
  </w:style>
  <w:style w:type="character" w:customStyle="1" w:styleId="Bullet2Char">
    <w:name w:val="Bullet 2 Char"/>
    <w:basedOn w:val="DefaultParagraphFont"/>
    <w:link w:val="Bullet2"/>
    <w:rsid w:val="000F4A66"/>
    <w:rPr>
      <w:rFonts w:ascii="Verdana" w:eastAsia="Times New Roman" w:hAnsi="Verdana" w:cs="Times New Roman"/>
      <w:bCs/>
      <w:lang w:val="en-GB"/>
    </w:rPr>
  </w:style>
  <w:style w:type="character" w:customStyle="1" w:styleId="AppendixHeading1Char">
    <w:name w:val="Appendix Heading 1 Char"/>
    <w:basedOn w:val="DefaultParagraphFont"/>
    <w:link w:val="AppendixHeading1"/>
    <w:uiPriority w:val="99"/>
    <w:rsid w:val="000F4A66"/>
    <w:rPr>
      <w:rFonts w:ascii="Georgia" w:eastAsia="Times New Roman" w:hAnsi="Georgia" w:cs="Times New Roman"/>
      <w:sz w:val="28"/>
      <w:szCs w:val="24"/>
      <w:lang w:val="en-GB"/>
    </w:rPr>
  </w:style>
  <w:style w:type="character" w:customStyle="1" w:styleId="AppendixHeading2Char">
    <w:name w:val="Appendix Heading 2 Char"/>
    <w:basedOn w:val="AppendixHeading1Char"/>
    <w:link w:val="AppendixHeading2"/>
    <w:uiPriority w:val="99"/>
    <w:rsid w:val="000F4A66"/>
    <w:rPr>
      <w:rFonts w:ascii="Georgia" w:eastAsia="Times New Roman" w:hAnsi="Georgia" w:cs="Times New Roman"/>
      <w:color w:val="FF0000"/>
      <w:sz w:val="22"/>
      <w:szCs w:val="24"/>
      <w:lang w:val="en-GB"/>
    </w:rPr>
  </w:style>
  <w:style w:type="paragraph" w:customStyle="1" w:styleId="Tablenumber1">
    <w:name w:val="Table number 1"/>
    <w:basedOn w:val="Table"/>
    <w:link w:val="Tablenumber1Char"/>
    <w:uiPriority w:val="99"/>
    <w:qFormat/>
    <w:rsid w:val="000F4A66"/>
    <w:pPr>
      <w:numPr>
        <w:numId w:val="117"/>
      </w:numPr>
    </w:pPr>
  </w:style>
  <w:style w:type="paragraph" w:customStyle="1" w:styleId="Tablenumber2">
    <w:name w:val="Table number 2"/>
    <w:basedOn w:val="Tablenumber1"/>
    <w:link w:val="Tablenumber2Char"/>
    <w:uiPriority w:val="99"/>
    <w:qFormat/>
    <w:rsid w:val="000F4A66"/>
    <w:pPr>
      <w:numPr>
        <w:numId w:val="118"/>
      </w:numPr>
      <w:ind w:left="397" w:hanging="227"/>
    </w:pPr>
  </w:style>
  <w:style w:type="character" w:customStyle="1" w:styleId="HeadlineChar">
    <w:name w:val="Headline Char"/>
    <w:basedOn w:val="DefaultParagraphFont"/>
    <w:link w:val="Headline"/>
    <w:rsid w:val="000F4A66"/>
    <w:rPr>
      <w:rFonts w:ascii="Georgia" w:eastAsia="Times New Roman" w:hAnsi="Georgia" w:cs="Times New Roman"/>
      <w:b/>
      <w:sz w:val="24"/>
      <w:szCs w:val="24"/>
      <w:lang w:val="en-GB"/>
    </w:rPr>
  </w:style>
  <w:style w:type="paragraph" w:customStyle="1" w:styleId="Tablebullet2">
    <w:name w:val="Table bullet 2"/>
    <w:basedOn w:val="Bullet2"/>
    <w:link w:val="Tablebullet2Char"/>
    <w:qFormat/>
    <w:rsid w:val="000F4A66"/>
    <w:pPr>
      <w:tabs>
        <w:tab w:val="clear" w:pos="5387"/>
      </w:tabs>
      <w:spacing w:before="60" w:after="80"/>
      <w:ind w:left="340" w:hanging="227"/>
      <w:jc w:val="left"/>
    </w:pPr>
    <w:rPr>
      <w:rFonts w:ascii="Georgia" w:hAnsi="Georgia"/>
      <w:bCs w:val="0"/>
      <w:kern w:val="16"/>
      <w:sz w:val="16"/>
      <w:szCs w:val="16"/>
    </w:rPr>
  </w:style>
  <w:style w:type="paragraph" w:customStyle="1" w:styleId="Tablebullet3">
    <w:name w:val="Table bullet 3"/>
    <w:basedOn w:val="Bullet3"/>
    <w:link w:val="Tablebullet3Char"/>
    <w:qFormat/>
    <w:rsid w:val="000F4A66"/>
    <w:pPr>
      <w:numPr>
        <w:numId w:val="0"/>
      </w:numPr>
      <w:spacing w:before="60" w:after="80"/>
      <w:ind w:left="454" w:hanging="227"/>
      <w:jc w:val="left"/>
    </w:pPr>
    <w:rPr>
      <w:kern w:val="16"/>
      <w:sz w:val="16"/>
      <w:szCs w:val="16"/>
    </w:rPr>
  </w:style>
  <w:style w:type="character" w:customStyle="1" w:styleId="Tablebullet2Char">
    <w:name w:val="Table bullet 2 Char"/>
    <w:basedOn w:val="Bullet2Char"/>
    <w:link w:val="Tablebullet2"/>
    <w:rsid w:val="000F4A66"/>
    <w:rPr>
      <w:rFonts w:ascii="Georgia" w:eastAsia="Times New Roman" w:hAnsi="Georgia" w:cs="Times New Roman"/>
      <w:bCs w:val="0"/>
      <w:kern w:val="16"/>
      <w:sz w:val="16"/>
      <w:szCs w:val="16"/>
      <w:lang w:val="en-GB"/>
    </w:rPr>
  </w:style>
  <w:style w:type="character" w:customStyle="1" w:styleId="Tablenumber1Char">
    <w:name w:val="Table number 1 Char"/>
    <w:basedOn w:val="TableChar"/>
    <w:link w:val="Tablenumber1"/>
    <w:uiPriority w:val="99"/>
    <w:rsid w:val="000F4A66"/>
    <w:rPr>
      <w:rFonts w:ascii="Georgia" w:hAnsi="Georgia"/>
      <w:kern w:val="16"/>
      <w:sz w:val="16"/>
      <w:szCs w:val="22"/>
      <w:lang w:val="en-GB"/>
    </w:rPr>
  </w:style>
  <w:style w:type="character" w:customStyle="1" w:styleId="Tablebullet3Char">
    <w:name w:val="Table bullet 3 Char"/>
    <w:basedOn w:val="Bullet3Char"/>
    <w:link w:val="Tablebullet3"/>
    <w:rsid w:val="000F4A66"/>
    <w:rPr>
      <w:rFonts w:ascii="Verdana" w:eastAsia="Times New Roman" w:hAnsi="Verdana" w:cs="Times New Roman"/>
      <w:kern w:val="16"/>
      <w:sz w:val="16"/>
      <w:szCs w:val="16"/>
      <w:lang w:val="en-GB"/>
    </w:rPr>
  </w:style>
  <w:style w:type="paragraph" w:customStyle="1" w:styleId="Tablenumber3">
    <w:name w:val="Table number 3"/>
    <w:basedOn w:val="Tablenumber2"/>
    <w:link w:val="Tablenumber3Char"/>
    <w:uiPriority w:val="99"/>
    <w:qFormat/>
    <w:rsid w:val="000F4A66"/>
    <w:pPr>
      <w:numPr>
        <w:numId w:val="119"/>
      </w:numPr>
      <w:ind w:left="511" w:hanging="227"/>
    </w:pPr>
  </w:style>
  <w:style w:type="character" w:customStyle="1" w:styleId="Tablenumber2Char">
    <w:name w:val="Table number 2 Char"/>
    <w:basedOn w:val="Tablenumber1Char"/>
    <w:link w:val="Tablenumber2"/>
    <w:uiPriority w:val="99"/>
    <w:rsid w:val="000F4A66"/>
    <w:rPr>
      <w:rFonts w:ascii="Georgia" w:hAnsi="Georgia"/>
      <w:kern w:val="16"/>
      <w:sz w:val="16"/>
      <w:szCs w:val="22"/>
      <w:lang w:val="en-GB"/>
    </w:rPr>
  </w:style>
  <w:style w:type="character" w:customStyle="1" w:styleId="Tablenumber3Char">
    <w:name w:val="Table number 3 Char"/>
    <w:basedOn w:val="Tablenumber2Char"/>
    <w:link w:val="Tablenumber3"/>
    <w:uiPriority w:val="99"/>
    <w:rsid w:val="000F4A66"/>
    <w:rPr>
      <w:rFonts w:ascii="Georgia" w:hAnsi="Georgia"/>
      <w:kern w:val="16"/>
      <w:sz w:val="16"/>
      <w:szCs w:val="22"/>
      <w:lang w:val="en-GB"/>
    </w:rPr>
  </w:style>
  <w:style w:type="paragraph" w:customStyle="1" w:styleId="BodyText1">
    <w:name w:val="Body Text1"/>
    <w:basedOn w:val="Normal"/>
    <w:link w:val="BodytextChar0"/>
    <w:rsid w:val="000F4A66"/>
    <w:pPr>
      <w:spacing w:after="160" w:line="259" w:lineRule="auto"/>
      <w:jc w:val="both"/>
    </w:pPr>
    <w:rPr>
      <w:szCs w:val="22"/>
      <w:lang w:val="en-GB"/>
    </w:rPr>
  </w:style>
  <w:style w:type="character" w:customStyle="1" w:styleId="BodytextChar0">
    <w:name w:val="Body text Char"/>
    <w:basedOn w:val="DefaultParagraphFont"/>
    <w:link w:val="BodyText1"/>
    <w:rsid w:val="000F4A66"/>
    <w:rPr>
      <w:szCs w:val="22"/>
      <w:lang w:val="en-GB"/>
    </w:rPr>
  </w:style>
  <w:style w:type="table" w:customStyle="1" w:styleId="TechnopolisLight">
    <w:name w:val="Technopolis Light"/>
    <w:basedOn w:val="TableNormal"/>
    <w:uiPriority w:val="99"/>
    <w:rsid w:val="000F4A66"/>
    <w:pPr>
      <w:spacing w:before="60" w:after="60" w:line="240" w:lineRule="auto"/>
    </w:pPr>
    <w:rPr>
      <w:rFonts w:asciiTheme="majorHAnsi" w:hAnsiTheme="majorHAnsi"/>
      <w:sz w:val="16"/>
      <w:szCs w:val="22"/>
    </w:rPr>
    <w:tblPr>
      <w:tblBorders>
        <w:insideH w:val="single" w:sz="4" w:space="0" w:color="FFC000" w:themeColor="accent4"/>
        <w:insideV w:val="single" w:sz="4" w:space="0" w:color="FFC000" w:themeColor="accent4"/>
      </w:tblBorders>
      <w:tblCellMar>
        <w:top w:w="57" w:type="dxa"/>
        <w:bottom w:w="57" w:type="dxa"/>
      </w:tblCellMar>
    </w:tblPr>
    <w:tcPr>
      <w:vAlign w:val="center"/>
    </w:tcPr>
    <w:tblStylePr w:type="firstRow">
      <w:rPr>
        <w:i/>
      </w:rPr>
      <w:tblPr/>
      <w:tcPr>
        <w:tcBorders>
          <w:bottom w:val="single" w:sz="4" w:space="0" w:color="5B9BD5" w:themeColor="accent1"/>
        </w:tcBorders>
      </w:tcPr>
    </w:tblStylePr>
  </w:style>
  <w:style w:type="paragraph" w:customStyle="1" w:styleId="FA8C947BA57F488C9EA9A462B5D450C2">
    <w:name w:val="FA8C947BA57F488C9EA9A462B5D450C2"/>
    <w:uiPriority w:val="99"/>
    <w:rsid w:val="000F4A66"/>
    <w:rPr>
      <w:rFonts w:eastAsiaTheme="minorEastAsia"/>
      <w:sz w:val="22"/>
      <w:szCs w:val="22"/>
      <w:lang w:val="et-EE" w:eastAsia="et-EE"/>
    </w:rPr>
  </w:style>
  <w:style w:type="paragraph" w:customStyle="1" w:styleId="p1">
    <w:name w:val="p1"/>
    <w:basedOn w:val="Normal"/>
    <w:uiPriority w:val="99"/>
    <w:rsid w:val="000F4A66"/>
    <w:pPr>
      <w:spacing w:after="0" w:line="240" w:lineRule="auto"/>
    </w:pPr>
    <w:rPr>
      <w:rFonts w:ascii="Trebuchet MS" w:hAnsi="Trebuchet MS" w:cs="Times New Roman"/>
      <w:sz w:val="17"/>
      <w:szCs w:val="17"/>
    </w:rPr>
  </w:style>
  <w:style w:type="paragraph" w:customStyle="1" w:styleId="CharCharCharCharChar00">
    <w:name w:val="Char Char Char Char Char00"/>
    <w:basedOn w:val="Normal"/>
    <w:next w:val="Normal"/>
    <w:rsid w:val="000F4A66"/>
    <w:pPr>
      <w:spacing w:after="160" w:line="240" w:lineRule="exact"/>
    </w:pPr>
    <w:rPr>
      <w:rFonts w:ascii="Tahoma" w:eastAsia="Times New Roman" w:hAnsi="Tahoma" w:cs="Times New Roman"/>
      <w:sz w:val="24"/>
      <w:lang w:eastAsia="zh-CN"/>
    </w:rPr>
  </w:style>
  <w:style w:type="paragraph" w:customStyle="1" w:styleId="CharCharCharCharChar10">
    <w:name w:val="Char Char Char Char Char10"/>
    <w:basedOn w:val="Normal"/>
    <w:next w:val="Normal"/>
    <w:rsid w:val="000F4A66"/>
    <w:pPr>
      <w:spacing w:after="160" w:line="240" w:lineRule="exact"/>
    </w:pPr>
    <w:rPr>
      <w:rFonts w:ascii="Tahoma" w:eastAsia="Times New Roman" w:hAnsi="Tahoma" w:cs="Times New Roman"/>
      <w:sz w:val="24"/>
      <w:lang w:eastAsia="zh-CN"/>
    </w:rPr>
  </w:style>
  <w:style w:type="paragraph" w:customStyle="1" w:styleId="CharCharCharCharChar20">
    <w:name w:val="Char Char Char Char Char20"/>
    <w:basedOn w:val="Normal"/>
    <w:next w:val="Normal"/>
    <w:rsid w:val="000F4A66"/>
    <w:pPr>
      <w:spacing w:after="160" w:line="240" w:lineRule="exact"/>
    </w:pPr>
    <w:rPr>
      <w:rFonts w:ascii="Tahoma" w:eastAsia="Times New Roman" w:hAnsi="Tahoma" w:cs="Times New Roman"/>
      <w:sz w:val="24"/>
      <w:lang w:eastAsia="zh-CN"/>
    </w:rPr>
  </w:style>
  <w:style w:type="paragraph" w:customStyle="1" w:styleId="CharCharCharCharChar30">
    <w:name w:val="Char Char Char Char Char3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Lettrepuce2">
    <w:name w:val="Lettre puce 2"/>
    <w:basedOn w:val="Normal"/>
    <w:uiPriority w:val="99"/>
    <w:rsid w:val="000F4A66"/>
    <w:pPr>
      <w:numPr>
        <w:numId w:val="120"/>
      </w:numPr>
      <w:tabs>
        <w:tab w:val="left" w:pos="560"/>
      </w:tabs>
      <w:spacing w:before="60" w:after="60"/>
    </w:pPr>
    <w:rPr>
      <w:rFonts w:ascii="Verdana" w:eastAsia="Times New Roman" w:hAnsi="Verdana" w:cs="Times New Roman"/>
      <w:szCs w:val="18"/>
      <w:lang w:val="en-GB"/>
    </w:rPr>
  </w:style>
  <w:style w:type="paragraph" w:customStyle="1" w:styleId="AnnexHeading3">
    <w:name w:val="Annex Heading 3"/>
    <w:basedOn w:val="AnnexHeading2"/>
    <w:link w:val="AnnexHeading3Char"/>
    <w:qFormat/>
    <w:rsid w:val="000F4A66"/>
    <w:pPr>
      <w:spacing w:before="240"/>
      <w:ind w:left="1224" w:hanging="504"/>
      <w:outlineLvl w:val="2"/>
    </w:pPr>
  </w:style>
  <w:style w:type="paragraph" w:customStyle="1" w:styleId="AnnexHeading4">
    <w:name w:val="Annex Heading 4"/>
    <w:basedOn w:val="AnnexHeading3"/>
    <w:uiPriority w:val="99"/>
    <w:qFormat/>
    <w:rsid w:val="000F4A66"/>
    <w:pPr>
      <w:tabs>
        <w:tab w:val="num" w:pos="360"/>
      </w:tabs>
      <w:outlineLvl w:val="3"/>
    </w:pPr>
  </w:style>
  <w:style w:type="character" w:customStyle="1" w:styleId="AnnexHeading3Char">
    <w:name w:val="Annex Heading 3 Char"/>
    <w:basedOn w:val="DefaultParagraphFont"/>
    <w:link w:val="AnnexHeading3"/>
    <w:rsid w:val="000F4A66"/>
    <w:rPr>
      <w:rFonts w:ascii="Verdana" w:eastAsia="Times New Roman" w:hAnsi="Verdana" w:cs="Arial"/>
      <w:b/>
      <w:bCs/>
      <w:sz w:val="22"/>
      <w:szCs w:val="28"/>
      <w:lang w:val="en-GB" w:eastAsia="nl-BE"/>
    </w:rPr>
  </w:style>
  <w:style w:type="paragraph" w:customStyle="1" w:styleId="m1210323022352202731body">
    <w:name w:val="m_1210323022352202731body"/>
    <w:basedOn w:val="Normal"/>
    <w:uiPriority w:val="99"/>
    <w:rsid w:val="000F4A6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UnresolvedMention2">
    <w:name w:val="Unresolved Mention2"/>
    <w:basedOn w:val="DefaultParagraphFont"/>
    <w:uiPriority w:val="99"/>
    <w:unhideWhenUsed/>
    <w:rsid w:val="000F4A66"/>
    <w:rPr>
      <w:color w:val="605E5C"/>
      <w:shd w:val="clear" w:color="auto" w:fill="E1DFDD"/>
    </w:rPr>
  </w:style>
  <w:style w:type="paragraph" w:customStyle="1" w:styleId="BulletPoint2box">
    <w:name w:val="Bullet Point 2 box"/>
    <w:basedOn w:val="NormalIndent"/>
    <w:link w:val="BulletPoint2boxChar"/>
    <w:qFormat/>
    <w:rsid w:val="000F4A66"/>
  </w:style>
  <w:style w:type="character" w:customStyle="1" w:styleId="BulletPoint2boxChar">
    <w:name w:val="Bullet Point 2 box Char"/>
    <w:link w:val="BulletPoint2box"/>
    <w:rsid w:val="000F4A66"/>
    <w:rPr>
      <w:sz w:val="22"/>
      <w:szCs w:val="22"/>
      <w:lang w:val="en-GB"/>
    </w:rPr>
  </w:style>
  <w:style w:type="paragraph" w:customStyle="1" w:styleId="msonormal0">
    <w:name w:val="msonormal"/>
    <w:basedOn w:val="Normal"/>
    <w:uiPriority w:val="99"/>
    <w:rsid w:val="000F4A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3">
    <w:name w:val="xl63"/>
    <w:basedOn w:val="Normal"/>
    <w:uiPriority w:val="99"/>
    <w:rsid w:val="000F4A66"/>
    <w:pPr>
      <w:spacing w:before="100" w:beforeAutospacing="1" w:after="100" w:afterAutospacing="1" w:line="240" w:lineRule="auto"/>
    </w:pPr>
    <w:rPr>
      <w:rFonts w:ascii="Verdana" w:eastAsia="Times New Roman" w:hAnsi="Verdana" w:cs="Times New Roman"/>
      <w:sz w:val="18"/>
      <w:szCs w:val="18"/>
      <w:lang w:val="en-GB" w:eastAsia="en-GB"/>
    </w:rPr>
  </w:style>
  <w:style w:type="paragraph" w:customStyle="1" w:styleId="xl64">
    <w:name w:val="xl64"/>
    <w:basedOn w:val="Normal"/>
    <w:uiPriority w:val="99"/>
    <w:rsid w:val="000F4A66"/>
    <w:pPr>
      <w:spacing w:before="100" w:beforeAutospacing="1" w:after="100" w:afterAutospacing="1" w:line="240" w:lineRule="auto"/>
      <w:textAlignment w:val="center"/>
    </w:pPr>
    <w:rPr>
      <w:rFonts w:ascii="Verdana" w:eastAsia="Times New Roman" w:hAnsi="Verdana" w:cs="Times New Roman"/>
      <w:sz w:val="18"/>
      <w:szCs w:val="18"/>
      <w:lang w:val="en-GB" w:eastAsia="en-GB"/>
    </w:rPr>
  </w:style>
  <w:style w:type="paragraph" w:customStyle="1" w:styleId="Style5">
    <w:name w:val="Style5"/>
    <w:basedOn w:val="ListParagraph"/>
    <w:link w:val="Style5Char"/>
    <w:qFormat/>
    <w:rsid w:val="000F4A66"/>
    <w:pPr>
      <w:spacing w:after="0" w:line="240" w:lineRule="auto"/>
      <w:ind w:hanging="360"/>
      <w:jc w:val="both"/>
    </w:pPr>
    <w:rPr>
      <w:rFonts w:ascii="Verdana" w:eastAsia="Times New Roman" w:hAnsi="Verdana" w:cs="Calibri"/>
      <w:color w:val="000000" w:themeColor="text1"/>
      <w:sz w:val="18"/>
      <w:szCs w:val="18"/>
      <w:lang w:val="it-IT" w:eastAsia="en-GB"/>
    </w:rPr>
  </w:style>
  <w:style w:type="character" w:customStyle="1" w:styleId="ListParagraphChar1">
    <w:name w:val="List Paragraph Char1"/>
    <w:aliases w:val="List Paragraph2 Char,Numbered List Char1,1st level - Bullet List Paragraph Char1,Lettre d'introduction Char1,Paragraph Char1,Bullet EY Char1,Bullet point 1 Char,Bullets Char1,Medium Grid 1 - Accent 21 Char,Heading 2_sj Char"/>
    <w:basedOn w:val="DefaultParagraphFont"/>
    <w:uiPriority w:val="34"/>
    <w:rsid w:val="000F4A66"/>
    <w:rPr>
      <w:color w:val="000000" w:themeColor="text1"/>
      <w:sz w:val="24"/>
      <w:lang w:val="fr-FR" w:eastAsia="en-US"/>
    </w:rPr>
  </w:style>
  <w:style w:type="character" w:customStyle="1" w:styleId="Style5Char">
    <w:name w:val="Style5 Char"/>
    <w:basedOn w:val="ListParagraphChar1"/>
    <w:link w:val="Style5"/>
    <w:rsid w:val="000F4A66"/>
    <w:rPr>
      <w:rFonts w:ascii="Verdana" w:eastAsia="Times New Roman" w:hAnsi="Verdana" w:cs="Calibri"/>
      <w:color w:val="000000" w:themeColor="text1"/>
      <w:sz w:val="18"/>
      <w:szCs w:val="18"/>
      <w:lang w:val="it-IT" w:eastAsia="en-GB"/>
    </w:rPr>
  </w:style>
  <w:style w:type="numbering" w:customStyle="1" w:styleId="Style7">
    <w:name w:val="Style7"/>
    <w:uiPriority w:val="99"/>
    <w:rsid w:val="000F4A66"/>
    <w:pPr>
      <w:numPr>
        <w:numId w:val="121"/>
      </w:numPr>
    </w:pPr>
  </w:style>
  <w:style w:type="paragraph" w:customStyle="1" w:styleId="Captiondghome">
    <w:name w:val="Caption dg home"/>
    <w:basedOn w:val="Normal"/>
    <w:link w:val="CaptiondghomeChar"/>
    <w:qFormat/>
    <w:rsid w:val="000F4A66"/>
    <w:pPr>
      <w:keepNext/>
      <w:spacing w:before="200" w:after="120" w:line="240" w:lineRule="auto"/>
      <w:jc w:val="center"/>
    </w:pPr>
    <w:rPr>
      <w:rFonts w:ascii="Verdana" w:eastAsia="Calibri" w:hAnsi="Verdana" w:cs="Times New Roman"/>
      <w:i/>
      <w:iCs/>
      <w:color w:val="7F7E82"/>
      <w:spacing w:val="-10"/>
      <w:sz w:val="18"/>
      <w:szCs w:val="18"/>
      <w:lang w:val="en-GB"/>
    </w:rPr>
  </w:style>
  <w:style w:type="character" w:customStyle="1" w:styleId="CaptiondghomeChar">
    <w:name w:val="Caption dg home Char"/>
    <w:basedOn w:val="DefaultParagraphFont"/>
    <w:link w:val="Captiondghome"/>
    <w:rsid w:val="000F4A66"/>
    <w:rPr>
      <w:rFonts w:ascii="Verdana" w:eastAsia="Calibri" w:hAnsi="Verdana" w:cs="Times New Roman"/>
      <w:i/>
      <w:iCs/>
      <w:color w:val="7F7E82"/>
      <w:spacing w:val="-10"/>
      <w:sz w:val="18"/>
      <w:szCs w:val="18"/>
      <w:lang w:val="en-GB"/>
    </w:rPr>
  </w:style>
  <w:style w:type="paragraph" w:customStyle="1" w:styleId="BulletPoint2">
    <w:name w:val="Bullet Point 2"/>
    <w:basedOn w:val="NormalIndent"/>
    <w:link w:val="BulletPoint2Char"/>
    <w:qFormat/>
    <w:rsid w:val="000F4A66"/>
    <w:pPr>
      <w:numPr>
        <w:numId w:val="122"/>
      </w:numPr>
      <w:ind w:left="720" w:firstLine="0"/>
    </w:pPr>
  </w:style>
  <w:style w:type="character" w:customStyle="1" w:styleId="BulletPoint2Char">
    <w:name w:val="Bullet Point 2 Char"/>
    <w:link w:val="BulletPoint2"/>
    <w:rsid w:val="000F4A66"/>
    <w:rPr>
      <w:sz w:val="22"/>
      <w:szCs w:val="22"/>
      <w:lang w:val="en-GB"/>
    </w:rPr>
  </w:style>
  <w:style w:type="paragraph" w:customStyle="1" w:styleId="CharCharCharCharChar000">
    <w:name w:val="Char Char Char Char Char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
    <w:name w:val="Char Char Char Char Char1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
    <w:name w:val="Char Char Char Char Char2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
    <w:name w:val="Char Char Char Char Char3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
    <w:name w:val="Char Char Char Char Char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
    <w:name w:val="Char Char Char Char Char1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
    <w:name w:val="Char Char Char Char Char2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
    <w:name w:val="Char Char Char Char Char3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
    <w:name w:val="Char Char Char Char Char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
    <w:name w:val="Char Char Char Char Char1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
    <w:name w:val="Char Char Char Char Char2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
    <w:name w:val="Char Char Char Char Char3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
    <w:name w:val="Char Char Char Char Char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
    <w:name w:val="Char Char Char Char Char1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
    <w:name w:val="Char Char Char Char Char2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
    <w:name w:val="Char Char Char Char Char3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
    <w:name w:val="Char Char Char Char Char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
    <w:name w:val="Char Char Char Char Char1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
    <w:name w:val="Char Char Char Char Char2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
    <w:name w:val="Char Char Char Char Char3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
    <w:name w:val="Char Char Char Char Char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
    <w:name w:val="Char Char Char Char Char1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
    <w:name w:val="Char Char Char Char Char2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
    <w:name w:val="Char Char Char Char Char3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
    <w:name w:val="Char Char Char Char Char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
    <w:name w:val="Char Char Char Char Char1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
    <w:name w:val="Char Char Char Char Char2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
    <w:name w:val="Char Char Char Char Char3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
    <w:name w:val="Char Char Char Char Char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
    <w:name w:val="Char Char Char Char Char1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
    <w:name w:val="Char Char Char Char Char2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
    <w:name w:val="Char Char Char Char Char3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
    <w:name w:val="Char Char Char Char Char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
    <w:name w:val="Char Char Char Char Char1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
    <w:name w:val="Char Char Char Char Char2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
    <w:name w:val="Char Char Char Char Char3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
    <w:name w:val="Char Char Char Char Char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
    <w:name w:val="Char Char Char Char Char1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
    <w:name w:val="Char Char Char Char Char2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
    <w:name w:val="Char Char Char Char Char3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
    <w:name w:val="Char Char Char Char Char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
    <w:name w:val="Char Char Char Char Char1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
    <w:name w:val="Char Char Char Char Char2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
    <w:name w:val="Char Char Char Char Char3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
    <w:name w:val="Char Char Char Char Char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
    <w:name w:val="Char Char Char Char Char1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
    <w:name w:val="Char Char Char Char Char2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
    <w:name w:val="Char Char Char Char Char3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
    <w:name w:val="Char Char Char Char Char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
    <w:name w:val="Char Char Char Char Char1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
    <w:name w:val="Char Char Char Char Char2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
    <w:name w:val="Char Char Char Char Char3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
    <w:name w:val="Char Char Char Char Char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
    <w:name w:val="Char Char Char Char Char1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
    <w:name w:val="Char Char Char Char Char2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
    <w:name w:val="Char Char Char Char Char3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
    <w:name w:val="Char Char Char Char Char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
    <w:name w:val="Char Char Char Char Char1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
    <w:name w:val="Char Char Char Char Char2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
    <w:name w:val="Char Char Char Char Char3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
    <w:name w:val="Char Char Char Char Char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
    <w:name w:val="Char Char Char Char Char1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
    <w:name w:val="Char Char Char Char Char2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
    <w:name w:val="Char Char Char Char Char3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
    <w:name w:val="Char Char Char Char Char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
    <w:name w:val="Char Char Char Char Char1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
    <w:name w:val="Char Char Char Char Char2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
    <w:name w:val="Char Char Char Char Char3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
    <w:name w:val="Char Char Char Char Char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
    <w:name w:val="Char Char Char Char Char1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
    <w:name w:val="Char Char Char Char Char2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
    <w:name w:val="Char Char Char Char Char3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
    <w:name w:val="Char Char Char Char Char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
    <w:name w:val="Char Char Char Char Char1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
    <w:name w:val="Char Char Char Char Char2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
    <w:name w:val="Char Char Char Char Char3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
    <w:name w:val="Char Char Char Char Char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
    <w:name w:val="Char Char Char Char Char1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
    <w:name w:val="Char Char Char Char Char2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
    <w:name w:val="Char Char Char Char Char3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
    <w:name w:val="Char Char Char Char Char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
    <w:name w:val="Char Char Char Char Char1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
    <w:name w:val="Char Char Char Char Char2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
    <w:name w:val="Char Char Char Char Char3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
    <w:name w:val="Char Char Char Char Char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
    <w:name w:val="Char Char Char Char Char1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
    <w:name w:val="Char Char Char Char Char2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
    <w:name w:val="Char Char Char Char Char3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
    <w:name w:val="Char Char Char Char Char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
    <w:name w:val="Char Char Char Char Char1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
    <w:name w:val="Char Char Char Char Char2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
    <w:name w:val="Char Char Char Char Char3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
    <w:name w:val="Char Char Char Char Char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
    <w:name w:val="Char Char Char Char Char1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
    <w:name w:val="Char Char Char Char Char2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
    <w:name w:val="Char Char Char Char Char3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
    <w:name w:val="Char Char Char Char Char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
    <w:name w:val="Char Char Char Char Char1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
    <w:name w:val="Char Char Char Char Char2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
    <w:name w:val="Char Char Char Char Char3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
    <w:name w:val="Char Char Char Char Char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
    <w:name w:val="Char Char Char Char Char1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
    <w:name w:val="Char Char Char Char Char2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
    <w:name w:val="Char Char Char Char Char3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
    <w:name w:val="Char Char Char Char Char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
    <w:name w:val="Char Char Char Char Char1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
    <w:name w:val="Char Char Char Char Char2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
    <w:name w:val="Char Char Char Char Char3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
    <w:name w:val="Char Char Char Char Char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
    <w:name w:val="Char Char Char Char Char1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
    <w:name w:val="Char Char Char Char Char2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
    <w:name w:val="Char Char Char Char Char3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
    <w:name w:val="Char Char Char Char Char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
    <w:name w:val="Char Char Char Char Char1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
    <w:name w:val="Char Char Char Char Char2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
    <w:name w:val="Char Char Char Char Char3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
    <w:name w:val="Char Char Char Char Char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
    <w:name w:val="Char Char Char Char Char1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
    <w:name w:val="Char Char Char Char Char2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
    <w:name w:val="Char Char Char Char Char3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
    <w:name w:val="Char Char Char Char Char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
    <w:name w:val="Char Char Char Char Char1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
    <w:name w:val="Char Char Char Char Char2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
    <w:name w:val="Char Char Char Char Char3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
    <w:name w:val="Char Char Char Char Char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
    <w:name w:val="Char Char Char Char Char1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
    <w:name w:val="Char Char Char Char Char2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
    <w:name w:val="Char Char Char Char Char3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
    <w:name w:val="Char Char Char Char Char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
    <w:name w:val="Char Char Char Char Char1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
    <w:name w:val="Char Char Char Char Char2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
    <w:name w:val="Char Char Char Char Char3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
    <w:name w:val="Char Char Char Char Char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
    <w:name w:val="Char Char Char Char Char1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
    <w:name w:val="Char Char Char Char Char2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
    <w:name w:val="Char Char Char Char Char3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
    <w:name w:val="Char Char Char Char Char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
    <w:name w:val="Char Char Char Char Char1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
    <w:name w:val="Char Char Char Char Char2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
    <w:name w:val="Char Char Char Char Char3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
    <w:name w:val="Char Char Char Char Char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
    <w:name w:val="Char Char Char Char Char1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
    <w:name w:val="Char Char Char Char Char2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
    <w:name w:val="Char Char Char Char Char3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
    <w:name w:val="Char Char Char Char Char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
    <w:name w:val="Char Char Char Char Char1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
    <w:name w:val="Char Char Char Char Char2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
    <w:name w:val="Char Char Char Char Char3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
    <w:name w:val="Char Char Char Char Char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
    <w:name w:val="Char Char Char Char Char1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
    <w:name w:val="Char Char Char Char Char2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
    <w:name w:val="Char Char Char Char Char3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
    <w:name w:val="Char Char Char Char Char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
    <w:name w:val="Char Char Char Char Char1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
    <w:name w:val="Char Char Char Char Char2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
    <w:name w:val="Char Char Char Char Char3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
    <w:name w:val="Char Char Char Char Char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
    <w:name w:val="Char Char Char Char Char1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
    <w:name w:val="Char Char Char Char Char2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
    <w:name w:val="Char Char Char Char Char3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
    <w:name w:val="Char Char Char Char Char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
    <w:name w:val="Char Char Char Char Char1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
    <w:name w:val="Char Char Char Char Char2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
    <w:name w:val="Char Char Char Char Char3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
    <w:name w:val="Char Char Char Char Char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
    <w:name w:val="Char Char Char Char Char1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
    <w:name w:val="Char Char Char Char Char2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
    <w:name w:val="Char Char Char Char Char3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
    <w:name w:val="Char Char Char Char Char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
    <w:name w:val="Char Char Char Char Char1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
    <w:name w:val="Char Char Char Char Char2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
    <w:name w:val="Char Char Char Char Char3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
    <w:name w:val="Char Char Char Char Char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
    <w:name w:val="Char Char Char Char Char1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
    <w:name w:val="Char Char Char Char Char2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
    <w:name w:val="Char Char Char Char Char3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
    <w:name w:val="Char Char Char Char Char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
    <w:name w:val="Char Char Char Char Char1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
    <w:name w:val="Char Char Char Char Char2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
    <w:name w:val="Char Char Char Char Char3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
    <w:name w:val="Char Char Char Char Char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
    <w:name w:val="Char Char Char Char Char1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
    <w:name w:val="Char Char Char Char Char2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
    <w:name w:val="Char Char Char Char Char3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
    <w:name w:val="Char Char Char Char Char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
    <w:name w:val="Char Char Char Char Char1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
    <w:name w:val="Char Char Char Char Char2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
    <w:name w:val="Char Char Char Char Char3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
    <w:name w:val="Char Char Char Char Char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
    <w:name w:val="Char Char Char Char Char1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
    <w:name w:val="Char Char Char Char Char2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
    <w:name w:val="Char Char Char Char Char3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
    <w:name w:val="Char Char Char Char Char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
    <w:name w:val="Char Char Char Char Char1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
    <w:name w:val="Char Char Char Char Char2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
    <w:name w:val="Char Char Char Char Char3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
    <w:name w:val="Char Char Char Char Char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
    <w:name w:val="Char Char Char Char Char1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
    <w:name w:val="Char Char Char Char Char2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
    <w:name w:val="Char Char Char Char Char3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
    <w:name w:val="Char Char Char Char Char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
    <w:name w:val="Char Char Char Char Char1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
    <w:name w:val="Char Char Char Char Char2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
    <w:name w:val="Char Char Char Char Char3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
    <w:name w:val="Char Char Char Char Char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
    <w:name w:val="Char Char Char Char Char100000000000000000000000000000000000000000000000000000"/>
    <w:basedOn w:val="Normal"/>
    <w:next w:val="Normal"/>
    <w:uiPriority w:val="99"/>
    <w:rsid w:val="000F4A66"/>
    <w:pPr>
      <w:numPr>
        <w:ilvl w:val="1"/>
        <w:numId w:val="124"/>
      </w:num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
    <w:name w:val="Char Char Char Char Char2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
    <w:name w:val="Char Char Char Char Char3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
    <w:name w:val="Char Char Char Char Char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
    <w:name w:val="Char Char Char Char Char1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
    <w:name w:val="Char Char Char Char Char2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
    <w:name w:val="Char Char Char Char Char3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
    <w:name w:val="Char Char Char Char Char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
    <w:name w:val="Char Char Char Char Char1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
    <w:name w:val="Char Char Char Char Char2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
    <w:name w:val="Char Char Char Char Char3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
    <w:name w:val="Char Char Char Char Char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
    <w:name w:val="Char Char Char Char Char1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
    <w:name w:val="Char Char Char Char Char2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
    <w:name w:val="Char Char Char Char Char3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
    <w:name w:val="Char Char Char Char Char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
    <w:name w:val="Char Char Char Char Char1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
    <w:name w:val="Char Char Char Char Char2000000000000000000000000000000000000000000000000000000000"/>
    <w:basedOn w:val="Normal"/>
    <w:next w:val="Normal"/>
    <w:uiPriority w:val="99"/>
    <w:rsid w:val="000F4A66"/>
    <w:pPr>
      <w:spacing w:after="160" w:line="240" w:lineRule="exact"/>
      <w:ind w:left="723" w:hanging="576"/>
    </w:pPr>
    <w:rPr>
      <w:rFonts w:ascii="Tahoma" w:eastAsia="Times New Roman" w:hAnsi="Tahoma" w:cs="Times New Roman"/>
      <w:sz w:val="24"/>
      <w:lang w:eastAsia="zh-CN"/>
    </w:rPr>
  </w:style>
  <w:style w:type="paragraph" w:customStyle="1" w:styleId="CharCharCharCharChar3000000000000000000000000000000000000000000000000000000000">
    <w:name w:val="Char Char Char Char Char3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
    <w:name w:val="Char Char Char Char Char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
    <w:name w:val="Char Char Char Char Char1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
    <w:name w:val="Char Char Char Char Char2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
    <w:name w:val="Char Char Char Char Char3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
    <w:name w:val="Char Char Char Char Char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
    <w:name w:val="Char Char Char Char Char1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
    <w:name w:val="Char Char Char Char Char2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
    <w:name w:val="Char Char Char Char Char3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
    <w:name w:val="Char Char Char Char Char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
    <w:name w:val="Char Char Char Char Char1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
    <w:name w:val="Char Char Char Char Char2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
    <w:name w:val="Char Char Char Char Char3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
    <w:name w:val="Char Char Char Char Char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
    <w:name w:val="Char Char Char Char Char1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
    <w:name w:val="Char Char Char Char Char2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
    <w:name w:val="Char Char Char Char Char3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
    <w:name w:val="Char Char Char Char Char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
    <w:name w:val="Char Char Char Char Char1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
    <w:name w:val="Char Char Char Char Char2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
    <w:name w:val="Char Char Char Char Char3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
    <w:name w:val="Char Char Char Char Char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
    <w:name w:val="Char Char Char Char Char1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
    <w:name w:val="Char Char Char Char Char2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
    <w:name w:val="Char Char Char Char Char3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
    <w:name w:val="Char Char Char Char Char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
    <w:name w:val="Char Char Char Char Char1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
    <w:name w:val="Char Char Char Char Char2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
    <w:name w:val="Char Char Char Char Char3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
    <w:name w:val="Char Char Char Char Char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
    <w:name w:val="Char Char Char Char Char1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
    <w:name w:val="Char Char Char Char Char2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
    <w:name w:val="Char Char Char Char Char3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
    <w:name w:val="Char Char Char Char Char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
    <w:name w:val="Char Char Char Char Char1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
    <w:name w:val="Char Char Char Char Char2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
    <w:name w:val="Char Char Char Char Char3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
    <w:name w:val="Char Char Char Char Char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
    <w:name w:val="Char Char Char Char Char1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
    <w:name w:val="Char Char Char Char Char2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
    <w:name w:val="Char Char Char Char Char3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
    <w:name w:val="Char Char Char Char Char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
    <w:name w:val="Char Char Char Char Char1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
    <w:name w:val="Char Char Char Char Char2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
    <w:name w:val="Char Char Char Char Char3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
    <w:name w:val="Char Char Char Char Char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
    <w:name w:val="Char Char Char Char Char1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
    <w:name w:val="Char Char Char Char Char2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
    <w:name w:val="Char Char Char Char Char3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
    <w:name w:val="Char Char Char Char Char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
    <w:name w:val="Char Char Char Char Char1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
    <w:name w:val="Char Char Char Char Char2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
    <w:name w:val="Char Char Char Char Char3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
    <w:name w:val="Char Char Char Char Char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
    <w:name w:val="Char Char Char Char Char1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
    <w:name w:val="Char Char Char Char Char2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
    <w:name w:val="Char Char Char Char Char3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
    <w:name w:val="Char Char Char Char Char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
    <w:name w:val="Char Char Char Char Char1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
    <w:name w:val="Char Char Char Char Char2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
    <w:name w:val="Char Char Char Char Char3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
    <w:name w:val="Char Char Char Char Char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
    <w:name w:val="Char Char Char Char Char1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
    <w:name w:val="Char Char Char Char Char2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
    <w:name w:val="Char Char Char Char Char3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
    <w:name w:val="Char Char Char Char Char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
    <w:name w:val="Char Char Char Char Char1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
    <w:name w:val="Char Char Char Char Char2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
    <w:name w:val="Char Char Char Char Char3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
    <w:name w:val="Char Char Char Char Char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
    <w:name w:val="Char Char Char Char Char1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
    <w:name w:val="Char Char Char Char Char2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
    <w:name w:val="Char Char Char Char Char3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
    <w:name w:val="Char Char Char Char Char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
    <w:name w:val="Char Char Char Char Char1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
    <w:name w:val="Char Char Char Char Char2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
    <w:name w:val="Char Char Char Char Char3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
    <w:name w:val="Char Char Char Char Char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
    <w:name w:val="Char Char Char Char Char1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
    <w:name w:val="Char Char Char Char Char2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
    <w:name w:val="Char Char Char Char Char3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
    <w:name w:val="Char Char Char Char Char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
    <w:name w:val="Char Char Char Char Char1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
    <w:name w:val="Char Char Char Char Char2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
    <w:name w:val="Char Char Char Char Char3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
    <w:name w:val="Char Char Char Char Char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
    <w:name w:val="Char Char Char Char Char1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
    <w:name w:val="Char Char Char Char Char2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
    <w:name w:val="Char Char Char Char Char3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
    <w:name w:val="Char Char Char Char Char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
    <w:name w:val="Char Char Char Char Char1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
    <w:name w:val="Char Char Char Char Char2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
    <w:name w:val="Char Char Char Char Char3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
    <w:name w:val="Char Char Char Char Char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
    <w:name w:val="Char Char Char Char Char1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
    <w:name w:val="Char Char Char Char Char2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
    <w:name w:val="Char Char Char Char Char3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
    <w:name w:val="Char Char Char Char Char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
    <w:name w:val="Char Char Char Char Char1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
    <w:name w:val="Char Char Char Char Char2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
    <w:name w:val="Char Char Char Char Char3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
    <w:name w:val="Char Char Char Char Char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
    <w:name w:val="Char Char Char Char Char1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
    <w:name w:val="Char Char Char Char Char2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
    <w:name w:val="Char Char Char Char Char3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
    <w:name w:val="Char Char Char Char Char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
    <w:name w:val="Char Char Char Char Char1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
    <w:name w:val="Char Char Char Char Char2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
    <w:name w:val="Char Char Char Char Char3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
    <w:name w:val="Char Char Char Char Char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
    <w:name w:val="Char Char Char Char Char1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
    <w:name w:val="Char Char Char Char Char2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
    <w:name w:val="Char Char Char Char Char3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
    <w:name w:val="Char Char Char Char Char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
    <w:name w:val="Char Char Char Char Char1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
    <w:name w:val="Char Char Char Char Char2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
    <w:name w:val="Char Char Char Char Char3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
    <w:name w:val="Char Char Char Char Char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
    <w:name w:val="Char Char Char Char Char1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
    <w:name w:val="Char Char Char Char Char2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
    <w:name w:val="Char Char Char Char Char3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
    <w:name w:val="Char Char Char Char Char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
    <w:name w:val="Char Char Char Char Char1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
    <w:name w:val="Char Char Char Char Char2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
    <w:name w:val="Char Char Char Char Char3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
    <w:name w:val="Char Char Char Char Char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
    <w:name w:val="Char Char Char Char Char1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
    <w:name w:val="Char Char Char Char Char2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
    <w:name w:val="Char Char Char Char Char3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
    <w:name w:val="Char Char Char Char Char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
    <w:name w:val="Char Char Char Char Char1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
    <w:name w:val="Char Char Char Char Char2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
    <w:name w:val="Char Char Char Char Char3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
    <w:name w:val="Char Char Char Char Char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
    <w:name w:val="Char Char Char Char Char1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
    <w:name w:val="Char Char Char Char Char2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
    <w:name w:val="Char Char Char Char Char3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
    <w:name w:val="Char Char Char Char Char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
    <w:name w:val="Char Char Char Char Char1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
    <w:name w:val="Char Char Char Char Char2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
    <w:name w:val="Char Char Char Char Char3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
    <w:name w:val="Char Char Char Char Char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
    <w:name w:val="Char Char Char Char Char1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
    <w:name w:val="Char Char Char Char Char2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
    <w:name w:val="Char Char Char Char Char3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
    <w:name w:val="Char Char Char Char Char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
    <w:name w:val="Char Char Char Char Char1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
    <w:name w:val="Char Char Char Char Char2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
    <w:name w:val="Char Char Char Char Char3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
    <w:name w:val="Char Char Char Char Char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
    <w:name w:val="Char Char Char Char Char1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
    <w:name w:val="Char Char Char Char Char2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
    <w:name w:val="Char Char Char Char Char3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
    <w:name w:val="Char Char Char Char Char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
    <w:name w:val="Char Char Char Char Char1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
    <w:name w:val="Char Char Char Char Char2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
    <w:name w:val="Char Char Char Char Char3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
    <w:name w:val="Char Char Char Char Char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
    <w:name w:val="Char Char Char Char Char1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
    <w:name w:val="Char Char Char Char Char2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
    <w:name w:val="Char Char Char Char Char3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
    <w:name w:val="Char Char Char Char Char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
    <w:name w:val="Char Char Char Char Char1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
    <w:name w:val="Char Char Char Char Char2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
    <w:name w:val="Char Char Char Char Char3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
    <w:name w:val="Char Char Char Char Char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
    <w:name w:val="Char Char Char Char Char1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
    <w:name w:val="Char Char Char Char Char2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
    <w:name w:val="Char Char Char Char Char3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
    <w:name w:val="Char Char Char Char Char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
    <w:name w:val="Char Char Char Char Char1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
    <w:name w:val="Char Char Char Char Char2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
    <w:name w:val="Char Char Char Char Char3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
    <w:name w:val="Char Char Char Char Char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
    <w:name w:val="Char Char Char Char Char1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
    <w:name w:val="Char Char Char Char Char2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
    <w:name w:val="Char Char Char Char Char3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
    <w:name w:val="Char Char Char Char Char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
    <w:name w:val="Char Char Char Char Char1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
    <w:name w:val="Char Char Char Char Char2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
    <w:name w:val="Char Char Char Char Char3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
    <w:name w:val="Char Char Char Char Char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
    <w:name w:val="Char Char Char Char Char1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
    <w:name w:val="Char Char Char Char Char2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
    <w:name w:val="Char Char Char Char Char3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
    <w:name w:val="Char Char Char Char Char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
    <w:name w:val="Char Char Char Char Char1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
    <w:name w:val="Char Char Char Char Char2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
    <w:name w:val="Char Char Char Char Char3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
    <w:name w:val="Char Char Char Char Char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
    <w:name w:val="Char Char Char Char Char1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
    <w:name w:val="Char Char Char Char Char2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
    <w:name w:val="Char Char Char Char Char3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
    <w:name w:val="Char Char Char Char Char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
    <w:name w:val="Char Char Char Char Char1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
    <w:name w:val="Char Char Char Char Char2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
    <w:name w:val="Char Char Char Char Char3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
    <w:name w:val="Char Char Char Char Char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
    <w:name w:val="Char Char Char Char Char1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
    <w:name w:val="Char Char Char Char Char2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
    <w:name w:val="Char Char Char Char Char3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0">
    <w:name w:val="Char Char Char Char Char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
    <w:name w:val="Char Char Char Char Char1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
    <w:name w:val="Char Char Char Char Char2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
    <w:name w:val="Char Char Char Char Char3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00">
    <w:name w:val="Char Char Char Char Char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0">
    <w:name w:val="Char Char Char Char Char1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0">
    <w:name w:val="Char Char Char Char Char2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0">
    <w:name w:val="Char Char Char Char Char3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000">
    <w:name w:val="Char Char Char Char Char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00">
    <w:name w:val="Char Char Char Char Char1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00">
    <w:name w:val="Char Char Char Char Char2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00">
    <w:name w:val="Char Char Char Char Char3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0000">
    <w:name w:val="Char Char Char Char Char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000">
    <w:name w:val="Char Char Char Char Char1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000">
    <w:name w:val="Char Char Char Char Char2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000">
    <w:name w:val="Char Char Char Char Char3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00000">
    <w:name w:val="Char Char Char Char Char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0000">
    <w:name w:val="Char Char Char Char Char1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0000">
    <w:name w:val="Char Char Char Char Char2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0000">
    <w:name w:val="Char Char Char Char Char3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000000">
    <w:name w:val="Char Char Char Char Char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00000">
    <w:name w:val="Char Char Char Char Char1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00000">
    <w:name w:val="Char Char Char Char Char2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00000">
    <w:name w:val="Char Char Char Char Char3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table" w:customStyle="1" w:styleId="LightShading-Accent42">
    <w:name w:val="Light Shading - Accent 42"/>
    <w:basedOn w:val="TableNormal"/>
    <w:next w:val="LightShading-Accent4"/>
    <w:uiPriority w:val="60"/>
    <w:rsid w:val="000F4A66"/>
    <w:pPr>
      <w:spacing w:after="0" w:line="240" w:lineRule="auto"/>
    </w:pPr>
    <w:rPr>
      <w:rFonts w:ascii="EYInterstate Light" w:eastAsia="Calibri" w:hAnsi="EYInterstate Light" w:cs="Times New Roman"/>
      <w:color w:val="5F497A"/>
      <w:lang w:val="it-IT"/>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semiHidden/>
    <w:unhideWhenUsed/>
    <w:rsid w:val="000F4A66"/>
    <w:pPr>
      <w:spacing w:after="0" w:line="240" w:lineRule="auto"/>
    </w:pPr>
    <w:rPr>
      <w:rFonts w:ascii="Times New Roman" w:eastAsia="Times New Roman" w:hAnsi="Times New Roman" w:cs="Times New Roman"/>
      <w:color w:val="BF8F00" w:themeColor="accent4" w:themeShade="BF"/>
      <w:lang w:val="nl-BE" w:eastAsia="nl-B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BulletTablestyle">
    <w:name w:val="Bullet Table style"/>
    <w:basedOn w:val="Bulletpoint1"/>
    <w:link w:val="BulletTablestyleChar"/>
    <w:qFormat/>
    <w:rsid w:val="000F4A66"/>
    <w:pPr>
      <w:numPr>
        <w:numId w:val="0"/>
      </w:numPr>
      <w:spacing w:before="60" w:after="60"/>
      <w:ind w:left="717" w:hanging="357"/>
    </w:pPr>
    <w:rPr>
      <w:sz w:val="18"/>
      <w:szCs w:val="18"/>
    </w:rPr>
  </w:style>
  <w:style w:type="character" w:customStyle="1" w:styleId="BulletTablestyleChar">
    <w:name w:val="Bullet Table style Char"/>
    <w:basedOn w:val="Bulletpoint1Char"/>
    <w:link w:val="BulletTablestyle"/>
    <w:rsid w:val="000F4A66"/>
    <w:rPr>
      <w:rFonts w:ascii="Verdana" w:eastAsia="Times New Roman" w:hAnsi="Verdana" w:cs="Times New Roman"/>
      <w:sz w:val="18"/>
      <w:szCs w:val="18"/>
      <w:lang w:val="en-GB" w:eastAsia="nl-BE"/>
    </w:rPr>
  </w:style>
  <w:style w:type="paragraph" w:customStyle="1" w:styleId="bullet1">
    <w:name w:val="bullet 1"/>
    <w:basedOn w:val="Normal"/>
    <w:next w:val="ListParagraph"/>
    <w:link w:val="bullet1Char"/>
    <w:uiPriority w:val="99"/>
    <w:qFormat/>
    <w:rsid w:val="000F4A66"/>
    <w:pPr>
      <w:numPr>
        <w:numId w:val="123"/>
      </w:numPr>
      <w:tabs>
        <w:tab w:val="num" w:pos="360"/>
      </w:tabs>
      <w:spacing w:after="40" w:line="240" w:lineRule="auto"/>
      <w:jc w:val="both"/>
    </w:pPr>
    <w:rPr>
      <w:rFonts w:ascii="EYInterstate Light" w:eastAsia="Times New Roman" w:hAnsi="EYInterstate Light" w:cs="Times New Roman"/>
      <w:spacing w:val="-8"/>
      <w:szCs w:val="24"/>
      <w:lang w:val="en-GB"/>
    </w:rPr>
  </w:style>
  <w:style w:type="character" w:customStyle="1" w:styleId="bullet1Char">
    <w:name w:val="bullet 1 Char"/>
    <w:link w:val="bullet1"/>
    <w:uiPriority w:val="99"/>
    <w:rsid w:val="000F4A66"/>
    <w:rPr>
      <w:rFonts w:ascii="EYInterstate Light" w:eastAsia="Times New Roman" w:hAnsi="EYInterstate Light" w:cs="Times New Roman"/>
      <w:spacing w:val="-8"/>
      <w:szCs w:val="24"/>
      <w:lang w:val="en-GB"/>
    </w:rPr>
  </w:style>
  <w:style w:type="table" w:customStyle="1" w:styleId="none1">
    <w:name w:val="none1"/>
    <w:basedOn w:val="TableNormal"/>
    <w:next w:val="TableGrid"/>
    <w:uiPriority w:val="39"/>
    <w:rsid w:val="000F4A66"/>
    <w:pPr>
      <w:spacing w:before="60" w:after="60" w:line="240" w:lineRule="auto"/>
      <w:jc w:val="both"/>
    </w:pPr>
    <w:rPr>
      <w:rFonts w:ascii="Verdana" w:eastAsia="Times New Roman" w:hAnsi="Verdana" w:cs="Times New Roman"/>
      <w:sz w:val="18"/>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customStyle="1" w:styleId="heading22">
    <w:name w:val="heading_2"/>
    <w:basedOn w:val="Normal"/>
    <w:next w:val="Body"/>
    <w:uiPriority w:val="99"/>
    <w:qFormat/>
    <w:rsid w:val="000F4A66"/>
    <w:pPr>
      <w:keepNext/>
      <w:spacing w:before="240" w:after="240" w:line="240" w:lineRule="auto"/>
      <w:ind w:left="576" w:hanging="576"/>
      <w:outlineLvl w:val="1"/>
    </w:pPr>
    <w:rPr>
      <w:rFonts w:ascii="Verdana" w:eastAsia="Times New Roman" w:hAnsi="Verdana" w:cs="Times New Roman"/>
      <w:b/>
      <w:sz w:val="22"/>
      <w:szCs w:val="22"/>
      <w:lang w:val="en-GB"/>
    </w:rPr>
  </w:style>
  <w:style w:type="table" w:customStyle="1" w:styleId="none2">
    <w:name w:val="none2"/>
    <w:basedOn w:val="TableNormal"/>
    <w:next w:val="TableGrid"/>
    <w:uiPriority w:val="39"/>
    <w:rsid w:val="000F4A66"/>
    <w:pPr>
      <w:spacing w:before="60" w:after="60" w:line="240" w:lineRule="auto"/>
      <w:jc w:val="both"/>
    </w:pPr>
    <w:rPr>
      <w:rFonts w:ascii="Verdana" w:eastAsia="Times New Roman" w:hAnsi="Verdana" w:cs="Times New Roman"/>
      <w:sz w:val="18"/>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table" w:customStyle="1" w:styleId="none3">
    <w:name w:val="none3"/>
    <w:basedOn w:val="TableNormal"/>
    <w:next w:val="TableGrid"/>
    <w:uiPriority w:val="39"/>
    <w:rsid w:val="000F4A66"/>
    <w:pPr>
      <w:spacing w:before="60" w:after="60" w:line="240" w:lineRule="auto"/>
      <w:jc w:val="both"/>
    </w:pPr>
    <w:rPr>
      <w:rFonts w:ascii="Verdana" w:eastAsia="Times New Roman" w:hAnsi="Verdana" w:cs="Times New Roman"/>
      <w:sz w:val="18"/>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customStyle="1" w:styleId="StyleVerdana9ptBlackAfter0pt">
    <w:name w:val="Style Verdana 9 pt Black After:  0 pt"/>
    <w:basedOn w:val="Normal"/>
    <w:uiPriority w:val="99"/>
    <w:rsid w:val="000F4A66"/>
    <w:pPr>
      <w:spacing w:before="40" w:after="40" w:line="240" w:lineRule="auto"/>
      <w:jc w:val="both"/>
    </w:pPr>
    <w:rPr>
      <w:rFonts w:ascii="Verdana" w:eastAsia="Times New Roman" w:hAnsi="Verdana" w:cs="Times New Roman"/>
      <w:color w:val="000000"/>
      <w:sz w:val="18"/>
      <w:lang w:val="en-GB"/>
    </w:rPr>
  </w:style>
  <w:style w:type="character" w:customStyle="1" w:styleId="Bullet1Char1">
    <w:name w:val="Bullet 1 Char1"/>
    <w:basedOn w:val="DefaultParagraphFont"/>
    <w:rsid w:val="000F4A66"/>
    <w:rPr>
      <w:rFonts w:ascii="Verdana" w:eastAsiaTheme="minorHAnsi" w:hAnsi="Verdana"/>
      <w:szCs w:val="18"/>
      <w:lang w:val="en-GB" w:eastAsia="en-GB"/>
    </w:rPr>
  </w:style>
  <w:style w:type="table" w:customStyle="1" w:styleId="Table-standard">
    <w:name w:val="Table - standard"/>
    <w:basedOn w:val="TableNormal"/>
    <w:rsid w:val="000F4A66"/>
    <w:pPr>
      <w:spacing w:after="0" w:line="240" w:lineRule="auto"/>
    </w:pPr>
    <w:rPr>
      <w:rFonts w:ascii="EYInterstate Light" w:eastAsia="Times New Roman" w:hAnsi="EYInterstate Light" w:cs="Times New Roman"/>
      <w:lang w:val="fr-FR" w:eastAsia="fr-FR"/>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Yu Gothic UI Semilight" w:hAnsi="Yu Gothic UI Semilight"/>
        <w:sz w:val="18"/>
      </w:rPr>
      <w:tblPr/>
      <w:tcPr>
        <w:shd w:val="clear" w:color="auto" w:fill="FFC000"/>
      </w:tcPr>
    </w:tblStylePr>
    <w:tblStylePr w:type="lastRow">
      <w:rPr>
        <w:rFonts w:ascii="Yu Gothic UI Semilight" w:hAnsi="Yu Gothic UI Semilight"/>
      </w:rPr>
    </w:tblStylePr>
  </w:style>
  <w:style w:type="paragraph" w:customStyle="1" w:styleId="Question">
    <w:name w:val="Question"/>
    <w:basedOn w:val="ListParagraph"/>
    <w:uiPriority w:val="99"/>
    <w:qFormat/>
    <w:rsid w:val="000F4A66"/>
    <w:pPr>
      <w:numPr>
        <w:numId w:val="125"/>
      </w:numPr>
      <w:tabs>
        <w:tab w:val="num" w:pos="360"/>
      </w:tabs>
      <w:spacing w:before="240" w:after="0" w:line="240" w:lineRule="auto"/>
      <w:ind w:firstLine="0"/>
      <w:contextualSpacing w:val="0"/>
    </w:pPr>
    <w:rPr>
      <w:b/>
      <w:bCs/>
      <w:sz w:val="22"/>
      <w:szCs w:val="22"/>
      <w:lang w:val="en-GB"/>
    </w:rPr>
  </w:style>
  <w:style w:type="table" w:styleId="PlainTable2">
    <w:name w:val="Plain Table 2"/>
    <w:basedOn w:val="TableNormal"/>
    <w:uiPriority w:val="42"/>
    <w:rsid w:val="000F4A66"/>
    <w:pPr>
      <w:spacing w:after="0" w:line="240" w:lineRule="auto"/>
    </w:pPr>
    <w:rPr>
      <w:rFonts w:ascii="Times New Roman" w:eastAsia="Times New Roman" w:hAnsi="Times New Roman" w:cs="Times New Roman"/>
      <w:lang w:val="nl-BE" w:eastAsia="nl-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echnopolisTable1">
    <w:name w:val="Technopolis Table1"/>
    <w:basedOn w:val="TableGrid"/>
    <w:uiPriority w:val="99"/>
    <w:rsid w:val="000F4A66"/>
    <w:pPr>
      <w:jc w:val="both"/>
    </w:pPr>
    <w:rPr>
      <w:rFonts w:ascii="Georgia" w:hAnsi="Georgia"/>
      <w:color w:val="000000"/>
      <w:sz w:val="18"/>
      <w:szCs w:val="24"/>
    </w:rPr>
    <w:tblPr>
      <w:tblStyleRowBandSize w:val="1"/>
    </w:tblPr>
    <w:tcPr>
      <w:shd w:val="clear" w:color="auto" w:fill="F2F2F2"/>
    </w:tcPr>
    <w:tblStylePr w:type="firstRow">
      <w:pPr>
        <w:jc w:val="center"/>
      </w:pPr>
      <w:rPr>
        <w:rFonts w:ascii="Times New Roman" w:hAnsi="Times New Roman" w:cs="Times New Roman"/>
        <w:b/>
        <w:color w:val="333333"/>
        <w:sz w:val="18"/>
      </w:rPr>
      <w:tblPr/>
      <w:tcPr>
        <w:tcBorders>
          <w:bottom w:val="single" w:sz="6" w:space="0" w:color="FF0000"/>
        </w:tcBorders>
        <w:shd w:val="clear" w:color="auto" w:fill="00AEF0"/>
        <w:vAlign w:val="center"/>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Pr/>
      <w:tcPr>
        <w:shd w:val="clear" w:color="auto" w:fill="D9D9D9" w:themeFill="background1" w:themeFillShade="D9"/>
      </w:tcPr>
    </w:tblStylePr>
    <w:tblStylePr w:type="band1Horz">
      <w:rPr>
        <w:sz w:val="18"/>
      </w:rPr>
    </w:tblStylePr>
  </w:style>
  <w:style w:type="table" w:customStyle="1" w:styleId="MediumList2-Accent21111">
    <w:name w:val="Medium List 2 - Accent 21111"/>
    <w:basedOn w:val="TableNormal"/>
    <w:uiPriority w:val="99"/>
    <w:rsid w:val="000F4A66"/>
    <w:pPr>
      <w:spacing w:after="0" w:line="240" w:lineRule="auto"/>
    </w:pPr>
    <w:rPr>
      <w:rFonts w:ascii="EYInterstate Light" w:eastAsia="Times New Roman" w:hAnsi="EYInterstate Light" w:cs="Times New Roman"/>
      <w:color w:val="000000"/>
      <w:sz w:val="18"/>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MS PGothic" w:hAnsi="@MS PGothic" w:cs="Times New Roman"/>
        <w:sz w:val="24"/>
        <w:szCs w:val="24"/>
      </w:rPr>
      <w:tblPr/>
      <w:tcPr>
        <w:shd w:val="clear" w:color="auto" w:fill="C1C1C1"/>
      </w:tcPr>
    </w:tblStylePr>
    <w:tblStylePr w:type="lastRow">
      <w:rPr>
        <w:rFonts w:ascii="@MS PGothic" w:hAnsi="@MS PGothic" w:cs="Times New Roman"/>
        <w:color w:val="auto"/>
        <w:sz w:val="18"/>
      </w:rPr>
      <w:tblPr/>
      <w:tcPr>
        <w:shd w:val="clear" w:color="auto" w:fill="F0F0F0"/>
      </w:tcPr>
    </w:tblStylePr>
    <w:tblStylePr w:type="firstCol">
      <w:rPr>
        <w:rFonts w:ascii="@MS PGothic" w:hAnsi="@MS PGothic" w:cs="Times New Roman"/>
        <w:sz w:val="18"/>
      </w:rPr>
    </w:tblStylePr>
    <w:tblStylePr w:type="lastCol">
      <w:rPr>
        <w:rFonts w:ascii="@MS PGothic" w:hAnsi="@MS PGothic" w:cs="Times New Roman"/>
        <w:sz w:val="18"/>
      </w:rPr>
    </w:tblStylePr>
    <w:tblStylePr w:type="band1Vert">
      <w:rPr>
        <w:rFonts w:ascii="@MS PGothic" w:hAnsi="@MS PGothic" w:cs="Times New Roman"/>
        <w:sz w:val="18"/>
      </w:rPr>
    </w:tblStylePr>
    <w:tblStylePr w:type="band2Vert">
      <w:rPr>
        <w:rFonts w:ascii="@MS PGothic" w:hAnsi="@MS PGothic"/>
        <w:sz w:val="18"/>
      </w:rPr>
    </w:tblStylePr>
    <w:tblStylePr w:type="band1Horz">
      <w:rPr>
        <w:rFonts w:ascii="@MS PGothic" w:hAnsi="@MS PGothic" w:cs="Times New Roman"/>
        <w:sz w:val="18"/>
      </w:rPr>
      <w:tblPr/>
      <w:tcPr>
        <w:shd w:val="clear" w:color="auto" w:fill="E0E0E0"/>
      </w:tcPr>
    </w:tblStylePr>
    <w:tblStylePr w:type="band2Horz">
      <w:rPr>
        <w:rFonts w:ascii="@MS PGothic" w:hAnsi="@MS PGothic"/>
        <w:sz w:val="18"/>
      </w:rPr>
      <w:tblPr/>
      <w:tcPr>
        <w:shd w:val="clear" w:color="auto" w:fill="F0F0F0"/>
      </w:tcPr>
    </w:tblStylePr>
    <w:tblStylePr w:type="neCell">
      <w:rPr>
        <w:rFonts w:ascii="@MS PGothic" w:hAnsi="@MS PGothic"/>
        <w:sz w:val="18"/>
      </w:rPr>
      <w:tblPr/>
      <w:tcPr>
        <w:shd w:val="clear" w:color="auto" w:fill="C1C1C1"/>
      </w:tcPr>
    </w:tblStylePr>
    <w:tblStylePr w:type="nwCell">
      <w:rPr>
        <w:rFonts w:cs="Times New Roman"/>
      </w:rPr>
      <w:tblPr/>
      <w:tcPr>
        <w:shd w:val="clear" w:color="auto" w:fill="C1C1C1"/>
      </w:tcPr>
    </w:tblStylePr>
    <w:tblStylePr w:type="seCell">
      <w:rPr>
        <w:rFonts w:ascii="@MS PGothic" w:hAnsi="@MS PGothic"/>
        <w:sz w:val="18"/>
      </w:rPr>
    </w:tblStylePr>
    <w:tblStylePr w:type="swCell">
      <w:rPr>
        <w:rFonts w:ascii="@MS PGothic" w:hAnsi="@MS PGothic" w:cs="Times New Roman"/>
        <w:sz w:val="18"/>
      </w:rPr>
    </w:tblStylePr>
  </w:style>
  <w:style w:type="paragraph" w:customStyle="1" w:styleId="HEADINGTHREEMASTER">
    <w:name w:val="HEADING THREE MASTER"/>
    <w:basedOn w:val="HEADING2MASTER"/>
    <w:autoRedefine/>
    <w:qFormat/>
    <w:rsid w:val="000F4A66"/>
    <w:pPr>
      <w:tabs>
        <w:tab w:val="clear" w:pos="1200"/>
        <w:tab w:val="num" w:pos="1920"/>
      </w:tabs>
      <w:spacing w:after="120"/>
      <w:ind w:left="1922"/>
      <w:outlineLvl w:val="2"/>
    </w:pPr>
  </w:style>
  <w:style w:type="paragraph" w:customStyle="1" w:styleId="HEADING2MASTER">
    <w:name w:val="HEADING 2 MASTER"/>
    <w:basedOn w:val="Heading1"/>
    <w:uiPriority w:val="99"/>
    <w:qFormat/>
    <w:rsid w:val="000F4A66"/>
    <w:pPr>
      <w:numPr>
        <w:numId w:val="0"/>
      </w:numPr>
      <w:tabs>
        <w:tab w:val="num" w:pos="1200"/>
      </w:tabs>
      <w:spacing w:after="0"/>
      <w:ind w:left="1200" w:hanging="720"/>
      <w:jc w:val="left"/>
      <w:outlineLvl w:val="1"/>
    </w:pPr>
    <w:rPr>
      <w:rFonts w:ascii="Verdana" w:hAnsi="Verdana"/>
      <w:smallCaps w:val="0"/>
      <w:sz w:val="22"/>
      <w:szCs w:val="24"/>
      <w:lang w:val="en-GB" w:eastAsia="zh-CN"/>
    </w:rPr>
  </w:style>
  <w:style w:type="paragraph" w:customStyle="1" w:styleId="HEADINGFOUR">
    <w:name w:val="HEADING FOUR"/>
    <w:basedOn w:val="HEADINGTHREEMASTER"/>
    <w:rsid w:val="000F4A66"/>
    <w:pPr>
      <w:ind w:left="1920"/>
      <w:outlineLvl w:val="3"/>
    </w:pPr>
  </w:style>
  <w:style w:type="character" w:customStyle="1" w:styleId="normaltextrun">
    <w:name w:val="normaltextrun"/>
    <w:basedOn w:val="DefaultParagraphFont"/>
    <w:rsid w:val="000F4A66"/>
  </w:style>
  <w:style w:type="character" w:customStyle="1" w:styleId="eop">
    <w:name w:val="eop"/>
    <w:basedOn w:val="DefaultParagraphFont"/>
    <w:rsid w:val="000F4A66"/>
  </w:style>
  <w:style w:type="paragraph" w:customStyle="1" w:styleId="font0">
    <w:name w:val="font0"/>
    <w:basedOn w:val="Normal"/>
    <w:uiPriority w:val="99"/>
    <w:rsid w:val="000F4A66"/>
    <w:pPr>
      <w:spacing w:before="100" w:beforeAutospacing="1" w:after="100" w:afterAutospacing="1" w:line="240" w:lineRule="auto"/>
    </w:pPr>
    <w:rPr>
      <w:rFonts w:ascii="Calibri" w:eastAsia="Times New Roman" w:hAnsi="Calibri" w:cs="Calibri"/>
      <w:color w:val="000000"/>
      <w:sz w:val="22"/>
      <w:szCs w:val="22"/>
      <w:lang w:val="de-DE" w:eastAsia="de-DE"/>
    </w:rPr>
  </w:style>
  <w:style w:type="paragraph" w:customStyle="1" w:styleId="font7">
    <w:name w:val="font7"/>
    <w:basedOn w:val="Normal"/>
    <w:uiPriority w:val="99"/>
    <w:rsid w:val="000F4A66"/>
    <w:pPr>
      <w:spacing w:before="100" w:beforeAutospacing="1" w:after="100" w:afterAutospacing="1" w:line="240" w:lineRule="auto"/>
    </w:pPr>
    <w:rPr>
      <w:rFonts w:ascii="Calibri" w:eastAsia="Times New Roman" w:hAnsi="Calibri" w:cs="Calibri"/>
      <w:color w:val="FF0000"/>
      <w:sz w:val="22"/>
      <w:szCs w:val="22"/>
      <w:lang w:val="de-DE" w:eastAsia="de-DE"/>
    </w:rPr>
  </w:style>
  <w:style w:type="paragraph" w:customStyle="1" w:styleId="font8">
    <w:name w:val="font8"/>
    <w:basedOn w:val="Normal"/>
    <w:uiPriority w:val="99"/>
    <w:rsid w:val="000F4A66"/>
    <w:pPr>
      <w:spacing w:before="100" w:beforeAutospacing="1" w:after="100" w:afterAutospacing="1" w:line="240" w:lineRule="auto"/>
    </w:pPr>
    <w:rPr>
      <w:rFonts w:ascii="Calibri" w:eastAsia="Times New Roman" w:hAnsi="Calibri" w:cs="Calibri"/>
      <w:b/>
      <w:bCs/>
      <w:i/>
      <w:iCs/>
      <w:color w:val="000000"/>
      <w:sz w:val="22"/>
      <w:szCs w:val="22"/>
      <w:lang w:val="de-DE" w:eastAsia="de-DE"/>
    </w:rPr>
  </w:style>
  <w:style w:type="paragraph" w:customStyle="1" w:styleId="font9">
    <w:name w:val="font9"/>
    <w:basedOn w:val="Normal"/>
    <w:uiPriority w:val="99"/>
    <w:rsid w:val="000F4A66"/>
    <w:pPr>
      <w:spacing w:before="100" w:beforeAutospacing="1" w:after="100" w:afterAutospacing="1" w:line="240" w:lineRule="auto"/>
    </w:pPr>
    <w:rPr>
      <w:rFonts w:ascii="Calibri" w:eastAsia="Times New Roman" w:hAnsi="Calibri" w:cs="Calibri"/>
      <w:color w:val="000000"/>
      <w:sz w:val="22"/>
      <w:szCs w:val="22"/>
      <w:lang w:val="de-DE" w:eastAsia="de-DE"/>
    </w:rPr>
  </w:style>
  <w:style w:type="paragraph" w:customStyle="1" w:styleId="font10">
    <w:name w:val="font10"/>
    <w:basedOn w:val="Normal"/>
    <w:uiPriority w:val="99"/>
    <w:rsid w:val="000F4A66"/>
    <w:pPr>
      <w:spacing w:before="100" w:beforeAutospacing="1" w:after="100" w:afterAutospacing="1" w:line="240" w:lineRule="auto"/>
    </w:pPr>
    <w:rPr>
      <w:rFonts w:ascii="Wingdings" w:eastAsia="Times New Roman" w:hAnsi="Wingdings" w:cs="Times New Roman"/>
      <w:color w:val="000000"/>
      <w:sz w:val="22"/>
      <w:szCs w:val="22"/>
      <w:lang w:val="de-DE" w:eastAsia="de-DE"/>
    </w:rPr>
  </w:style>
  <w:style w:type="paragraph" w:customStyle="1" w:styleId="font11">
    <w:name w:val="font11"/>
    <w:basedOn w:val="Normal"/>
    <w:uiPriority w:val="99"/>
    <w:rsid w:val="000F4A66"/>
    <w:pPr>
      <w:spacing w:before="100" w:beforeAutospacing="1" w:after="100" w:afterAutospacing="1" w:line="240" w:lineRule="auto"/>
    </w:pPr>
    <w:rPr>
      <w:rFonts w:ascii="Wingdings" w:eastAsia="Times New Roman" w:hAnsi="Wingdings" w:cs="Times New Roman"/>
      <w:sz w:val="22"/>
      <w:szCs w:val="22"/>
      <w:lang w:val="de-DE" w:eastAsia="de-DE"/>
    </w:rPr>
  </w:style>
  <w:style w:type="paragraph" w:customStyle="1" w:styleId="font12">
    <w:name w:val="font12"/>
    <w:basedOn w:val="Normal"/>
    <w:uiPriority w:val="99"/>
    <w:rsid w:val="000F4A66"/>
    <w:pPr>
      <w:spacing w:before="100" w:beforeAutospacing="1" w:after="100" w:afterAutospacing="1" w:line="240" w:lineRule="auto"/>
    </w:pPr>
    <w:rPr>
      <w:rFonts w:ascii="Calibri" w:eastAsia="Times New Roman" w:hAnsi="Calibri" w:cs="Calibri"/>
      <w:sz w:val="22"/>
      <w:szCs w:val="22"/>
      <w:lang w:val="de-DE" w:eastAsia="de-DE"/>
    </w:rPr>
  </w:style>
  <w:style w:type="paragraph" w:customStyle="1" w:styleId="font13">
    <w:name w:val="font13"/>
    <w:basedOn w:val="Normal"/>
    <w:uiPriority w:val="99"/>
    <w:rsid w:val="000F4A66"/>
    <w:pPr>
      <w:spacing w:before="100" w:beforeAutospacing="1" w:after="100" w:afterAutospacing="1" w:line="240" w:lineRule="auto"/>
    </w:pPr>
    <w:rPr>
      <w:rFonts w:ascii="Calibri" w:eastAsia="Times New Roman" w:hAnsi="Calibri" w:cs="Calibri"/>
      <w:color w:val="FF0000"/>
      <w:sz w:val="22"/>
      <w:szCs w:val="22"/>
      <w:lang w:val="de-DE" w:eastAsia="de-DE"/>
    </w:rPr>
  </w:style>
  <w:style w:type="paragraph" w:customStyle="1" w:styleId="font14">
    <w:name w:val="font14"/>
    <w:basedOn w:val="Normal"/>
    <w:uiPriority w:val="99"/>
    <w:rsid w:val="000F4A66"/>
    <w:pPr>
      <w:spacing w:before="100" w:beforeAutospacing="1" w:after="100" w:afterAutospacing="1" w:line="240" w:lineRule="auto"/>
    </w:pPr>
    <w:rPr>
      <w:rFonts w:ascii="Wingdings" w:eastAsia="Times New Roman" w:hAnsi="Wingdings" w:cs="Times New Roman"/>
      <w:color w:val="FF0000"/>
      <w:sz w:val="22"/>
      <w:szCs w:val="22"/>
      <w:lang w:val="de-DE" w:eastAsia="de-DE"/>
    </w:rPr>
  </w:style>
  <w:style w:type="paragraph" w:customStyle="1" w:styleId="font15">
    <w:name w:val="font15"/>
    <w:basedOn w:val="Normal"/>
    <w:uiPriority w:val="99"/>
    <w:rsid w:val="000F4A66"/>
    <w:pPr>
      <w:spacing w:before="100" w:beforeAutospacing="1" w:after="100" w:afterAutospacing="1" w:line="240" w:lineRule="auto"/>
    </w:pPr>
    <w:rPr>
      <w:rFonts w:ascii="Calibri" w:eastAsia="Times New Roman" w:hAnsi="Calibri" w:cs="Calibri"/>
      <w:color w:val="FF0000"/>
      <w:sz w:val="22"/>
      <w:szCs w:val="22"/>
      <w:lang w:val="de-DE" w:eastAsia="de-DE"/>
    </w:rPr>
  </w:style>
  <w:style w:type="paragraph" w:customStyle="1" w:styleId="font16">
    <w:name w:val="font16"/>
    <w:basedOn w:val="Normal"/>
    <w:uiPriority w:val="99"/>
    <w:rsid w:val="000F4A66"/>
    <w:pPr>
      <w:spacing w:before="100" w:beforeAutospacing="1" w:after="100" w:afterAutospacing="1" w:line="240" w:lineRule="auto"/>
    </w:pPr>
    <w:rPr>
      <w:rFonts w:ascii="Calibri Light" w:eastAsia="Times New Roman" w:hAnsi="Calibri Light" w:cs="Calibri Light"/>
      <w:color w:val="FF0000"/>
      <w:sz w:val="22"/>
      <w:szCs w:val="22"/>
      <w:lang w:val="de-DE" w:eastAsia="de-DE"/>
    </w:rPr>
  </w:style>
  <w:style w:type="paragraph" w:customStyle="1" w:styleId="font17">
    <w:name w:val="font17"/>
    <w:basedOn w:val="Normal"/>
    <w:uiPriority w:val="99"/>
    <w:rsid w:val="000F4A66"/>
    <w:pPr>
      <w:spacing w:before="100" w:beforeAutospacing="1" w:after="100" w:afterAutospacing="1" w:line="240" w:lineRule="auto"/>
    </w:pPr>
    <w:rPr>
      <w:rFonts w:ascii="Calibri" w:eastAsia="Times New Roman" w:hAnsi="Calibri" w:cs="Calibri"/>
      <w:b/>
      <w:bCs/>
      <w:color w:val="FFFFFF"/>
      <w:sz w:val="40"/>
      <w:szCs w:val="40"/>
      <w:lang w:val="de-DE" w:eastAsia="de-DE"/>
    </w:rPr>
  </w:style>
  <w:style w:type="paragraph" w:customStyle="1" w:styleId="font18">
    <w:name w:val="font18"/>
    <w:basedOn w:val="Normal"/>
    <w:uiPriority w:val="99"/>
    <w:rsid w:val="000F4A66"/>
    <w:pPr>
      <w:spacing w:before="100" w:beforeAutospacing="1" w:after="100" w:afterAutospacing="1" w:line="240" w:lineRule="auto"/>
    </w:pPr>
    <w:rPr>
      <w:rFonts w:ascii="Calibri" w:eastAsia="Times New Roman" w:hAnsi="Calibri" w:cs="Calibri"/>
      <w:b/>
      <w:bCs/>
      <w:i/>
      <w:iCs/>
      <w:color w:val="FFFFFF"/>
      <w:sz w:val="40"/>
      <w:szCs w:val="40"/>
      <w:lang w:val="de-DE" w:eastAsia="de-DE"/>
    </w:rPr>
  </w:style>
  <w:style w:type="paragraph" w:customStyle="1" w:styleId="font19">
    <w:name w:val="font19"/>
    <w:basedOn w:val="Normal"/>
    <w:uiPriority w:val="99"/>
    <w:rsid w:val="000F4A66"/>
    <w:pPr>
      <w:spacing w:before="100" w:beforeAutospacing="1" w:after="100" w:afterAutospacing="1" w:line="240" w:lineRule="auto"/>
    </w:pPr>
    <w:rPr>
      <w:rFonts w:ascii="Calibri" w:eastAsia="Times New Roman" w:hAnsi="Calibri" w:cs="Calibri"/>
      <w:b/>
      <w:bCs/>
      <w:color w:val="FFFFFF"/>
      <w:sz w:val="22"/>
      <w:szCs w:val="22"/>
      <w:lang w:val="de-DE" w:eastAsia="de-DE"/>
    </w:rPr>
  </w:style>
  <w:style w:type="paragraph" w:customStyle="1" w:styleId="font20">
    <w:name w:val="font20"/>
    <w:basedOn w:val="Normal"/>
    <w:uiPriority w:val="99"/>
    <w:rsid w:val="000F4A66"/>
    <w:pPr>
      <w:spacing w:before="100" w:beforeAutospacing="1" w:after="100" w:afterAutospacing="1" w:line="240" w:lineRule="auto"/>
    </w:pPr>
    <w:rPr>
      <w:rFonts w:ascii="Calibri" w:eastAsia="Times New Roman" w:hAnsi="Calibri" w:cs="Calibri"/>
      <w:i/>
      <w:iCs/>
      <w:sz w:val="22"/>
      <w:szCs w:val="22"/>
      <w:lang w:val="de-DE" w:eastAsia="de-DE"/>
    </w:rPr>
  </w:style>
  <w:style w:type="paragraph" w:customStyle="1" w:styleId="font21">
    <w:name w:val="font21"/>
    <w:basedOn w:val="Normal"/>
    <w:uiPriority w:val="99"/>
    <w:rsid w:val="000F4A66"/>
    <w:pPr>
      <w:spacing w:before="100" w:beforeAutospacing="1" w:after="100" w:afterAutospacing="1" w:line="240" w:lineRule="auto"/>
    </w:pPr>
    <w:rPr>
      <w:rFonts w:ascii="Calibri" w:eastAsia="Times New Roman" w:hAnsi="Calibri" w:cs="Calibri"/>
      <w:i/>
      <w:iCs/>
      <w:color w:val="000000"/>
      <w:sz w:val="22"/>
      <w:szCs w:val="22"/>
      <w:lang w:val="de-DE" w:eastAsia="de-DE"/>
    </w:rPr>
  </w:style>
  <w:style w:type="paragraph" w:customStyle="1" w:styleId="font22">
    <w:name w:val="font22"/>
    <w:basedOn w:val="Normal"/>
    <w:uiPriority w:val="99"/>
    <w:rsid w:val="000F4A66"/>
    <w:pPr>
      <w:spacing w:before="100" w:beforeAutospacing="1" w:after="100" w:afterAutospacing="1" w:line="240" w:lineRule="auto"/>
    </w:pPr>
    <w:rPr>
      <w:rFonts w:ascii="Calibri" w:eastAsia="Times New Roman" w:hAnsi="Calibri" w:cs="Calibri"/>
      <w:i/>
      <w:iCs/>
      <w:color w:val="000000"/>
      <w:sz w:val="22"/>
      <w:szCs w:val="22"/>
      <w:lang w:val="de-DE" w:eastAsia="de-DE"/>
    </w:rPr>
  </w:style>
  <w:style w:type="paragraph" w:customStyle="1" w:styleId="font23">
    <w:name w:val="font23"/>
    <w:basedOn w:val="Normal"/>
    <w:uiPriority w:val="99"/>
    <w:rsid w:val="000F4A66"/>
    <w:pPr>
      <w:spacing w:before="100" w:beforeAutospacing="1" w:after="100" w:afterAutospacing="1" w:line="240" w:lineRule="auto"/>
    </w:pPr>
    <w:rPr>
      <w:rFonts w:ascii="Calibri" w:eastAsia="Times New Roman" w:hAnsi="Calibri" w:cs="Calibri"/>
      <w:color w:val="00B050"/>
      <w:sz w:val="22"/>
      <w:szCs w:val="22"/>
      <w:lang w:val="de-DE" w:eastAsia="de-DE"/>
    </w:rPr>
  </w:style>
  <w:style w:type="paragraph" w:customStyle="1" w:styleId="font24">
    <w:name w:val="font24"/>
    <w:basedOn w:val="Normal"/>
    <w:uiPriority w:val="99"/>
    <w:rsid w:val="000F4A66"/>
    <w:pPr>
      <w:spacing w:before="100" w:beforeAutospacing="1" w:after="100" w:afterAutospacing="1" w:line="240" w:lineRule="auto"/>
    </w:pPr>
    <w:rPr>
      <w:rFonts w:ascii="Calibri" w:eastAsia="Times New Roman" w:hAnsi="Calibri" w:cs="Calibri"/>
      <w:color w:val="00B050"/>
      <w:sz w:val="22"/>
      <w:szCs w:val="22"/>
      <w:lang w:val="de-DE" w:eastAsia="de-DE"/>
    </w:rPr>
  </w:style>
  <w:style w:type="paragraph" w:customStyle="1" w:styleId="xl102">
    <w:name w:val="xl102"/>
    <w:basedOn w:val="Normal"/>
    <w:uiPriority w:val="99"/>
    <w:rsid w:val="000F4A66"/>
    <w:pPr>
      <w:pBdr>
        <w:top w:val="single" w:sz="4" w:space="0" w:color="auto"/>
        <w:left w:val="single" w:sz="8"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03">
    <w:name w:val="xl103"/>
    <w:basedOn w:val="Normal"/>
    <w:uiPriority w:val="99"/>
    <w:rsid w:val="000F4A66"/>
    <w:pPr>
      <w:pBdr>
        <w:top w:val="single" w:sz="4" w:space="0" w:color="auto"/>
        <w:left w:val="single" w:sz="8"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04">
    <w:name w:val="xl104"/>
    <w:basedOn w:val="Normal"/>
    <w:uiPriority w:val="99"/>
    <w:rsid w:val="000F4A66"/>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05">
    <w:name w:val="xl105"/>
    <w:basedOn w:val="Normal"/>
    <w:uiPriority w:val="99"/>
    <w:rsid w:val="000F4A66"/>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de-DE" w:eastAsia="de-DE"/>
    </w:rPr>
  </w:style>
  <w:style w:type="paragraph" w:customStyle="1" w:styleId="xl106">
    <w:name w:val="xl106"/>
    <w:basedOn w:val="Normal"/>
    <w:uiPriority w:val="99"/>
    <w:rsid w:val="000F4A66"/>
    <w:pPr>
      <w:pBdr>
        <w:top w:val="single" w:sz="4" w:space="0" w:color="auto"/>
        <w:left w:val="single" w:sz="8"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07">
    <w:name w:val="xl107"/>
    <w:basedOn w:val="Normal"/>
    <w:uiPriority w:val="99"/>
    <w:rsid w:val="000F4A66"/>
    <w:pPr>
      <w:pBdr>
        <w:left w:val="single" w:sz="8"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08">
    <w:name w:val="xl108"/>
    <w:basedOn w:val="Normal"/>
    <w:uiPriority w:val="99"/>
    <w:rsid w:val="000F4A66"/>
    <w:pPr>
      <w:pBdr>
        <w:top w:val="single" w:sz="4" w:space="0" w:color="auto"/>
        <w:left w:val="single" w:sz="8"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lang w:val="de-DE" w:eastAsia="de-DE"/>
    </w:rPr>
  </w:style>
  <w:style w:type="paragraph" w:customStyle="1" w:styleId="xl109">
    <w:name w:val="xl109"/>
    <w:basedOn w:val="Normal"/>
    <w:uiPriority w:val="99"/>
    <w:rsid w:val="000F4A66"/>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10">
    <w:name w:val="xl110"/>
    <w:basedOn w:val="Normal"/>
    <w:uiPriority w:val="99"/>
    <w:rsid w:val="000F4A6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11">
    <w:name w:val="xl111"/>
    <w:basedOn w:val="Normal"/>
    <w:uiPriority w:val="99"/>
    <w:rsid w:val="000F4A6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Light" w:eastAsia="Times New Roman" w:hAnsi="Calibri Light" w:cs="Calibri Light"/>
      <w:sz w:val="24"/>
      <w:szCs w:val="24"/>
      <w:lang w:val="de-DE" w:eastAsia="de-DE"/>
    </w:rPr>
  </w:style>
  <w:style w:type="paragraph" w:customStyle="1" w:styleId="xl112">
    <w:name w:val="xl112"/>
    <w:basedOn w:val="Normal"/>
    <w:uiPriority w:val="99"/>
    <w:rsid w:val="000F4A6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Light" w:eastAsia="Times New Roman" w:hAnsi="Calibri Light" w:cs="Calibri Light"/>
      <w:color w:val="FF0000"/>
      <w:sz w:val="24"/>
      <w:szCs w:val="24"/>
      <w:lang w:val="de-DE" w:eastAsia="de-DE"/>
    </w:rPr>
  </w:style>
  <w:style w:type="paragraph" w:customStyle="1" w:styleId="xl113">
    <w:name w:val="xl113"/>
    <w:basedOn w:val="Normal"/>
    <w:uiPriority w:val="99"/>
    <w:rsid w:val="000F4A6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Light" w:eastAsia="Times New Roman" w:hAnsi="Calibri Light" w:cs="Calibri Light"/>
      <w:sz w:val="24"/>
      <w:szCs w:val="24"/>
      <w:lang w:val="de-DE" w:eastAsia="de-DE"/>
    </w:rPr>
  </w:style>
  <w:style w:type="paragraph" w:customStyle="1" w:styleId="xl114">
    <w:name w:val="xl114"/>
    <w:basedOn w:val="Normal"/>
    <w:uiPriority w:val="99"/>
    <w:rsid w:val="000F4A66"/>
    <w:pPr>
      <w:pBdr>
        <w:left w:val="single" w:sz="8" w:space="0" w:color="auto"/>
        <w:bottom w:val="single" w:sz="8"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15">
    <w:name w:val="xl115"/>
    <w:basedOn w:val="Normal"/>
    <w:uiPriority w:val="99"/>
    <w:rsid w:val="000F4A66"/>
    <w:pPr>
      <w:pBdr>
        <w:left w:val="single" w:sz="8" w:space="0" w:color="auto"/>
        <w:right w:val="single" w:sz="4"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0"/>
      <w:szCs w:val="40"/>
      <w:lang w:val="de-DE" w:eastAsia="de-DE"/>
    </w:rPr>
  </w:style>
  <w:style w:type="paragraph" w:customStyle="1" w:styleId="xl116">
    <w:name w:val="xl116"/>
    <w:basedOn w:val="Normal"/>
    <w:uiPriority w:val="99"/>
    <w:rsid w:val="000F4A66"/>
    <w:pPr>
      <w:pBdr>
        <w:left w:val="single" w:sz="4" w:space="0" w:color="auto"/>
        <w:right w:val="single" w:sz="4"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0"/>
      <w:szCs w:val="40"/>
      <w:lang w:val="de-DE" w:eastAsia="de-DE"/>
    </w:rPr>
  </w:style>
  <w:style w:type="paragraph" w:customStyle="1" w:styleId="xl117">
    <w:name w:val="xl117"/>
    <w:basedOn w:val="Normal"/>
    <w:uiPriority w:val="99"/>
    <w:rsid w:val="000F4A66"/>
    <w:pPr>
      <w:pBdr>
        <w:right w:val="single" w:sz="8"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0"/>
      <w:szCs w:val="40"/>
      <w:lang w:val="de-DE" w:eastAsia="de-DE"/>
    </w:rPr>
  </w:style>
  <w:style w:type="paragraph" w:customStyle="1" w:styleId="xl118">
    <w:name w:val="xl118"/>
    <w:basedOn w:val="Normal"/>
    <w:uiPriority w:val="99"/>
    <w:rsid w:val="000F4A66"/>
    <w:pPr>
      <w:pBdr>
        <w:left w:val="single" w:sz="8"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sz w:val="40"/>
      <w:szCs w:val="40"/>
      <w:lang w:val="de-DE" w:eastAsia="de-DE"/>
    </w:rPr>
  </w:style>
  <w:style w:type="paragraph" w:customStyle="1" w:styleId="xl119">
    <w:name w:val="xl119"/>
    <w:basedOn w:val="Normal"/>
    <w:uiPriority w:val="99"/>
    <w:rsid w:val="000F4A66"/>
    <w:pPr>
      <w:pBdr>
        <w:left w:val="single" w:sz="8"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sz w:val="40"/>
      <w:szCs w:val="40"/>
      <w:lang w:val="de-DE" w:eastAsia="de-DE"/>
    </w:rPr>
  </w:style>
  <w:style w:type="paragraph" w:customStyle="1" w:styleId="xl120">
    <w:name w:val="xl120"/>
    <w:basedOn w:val="Normal"/>
    <w:uiPriority w:val="99"/>
    <w:rsid w:val="000F4A66"/>
    <w:pPr>
      <w:pBdr>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de-DE" w:eastAsia="de-DE"/>
    </w:rPr>
  </w:style>
  <w:style w:type="paragraph" w:customStyle="1" w:styleId="xl121">
    <w:name w:val="xl121"/>
    <w:basedOn w:val="Normal"/>
    <w:uiPriority w:val="99"/>
    <w:rsid w:val="000F4A66"/>
    <w:pPr>
      <w:pBdr>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de-DE" w:eastAsia="de-DE"/>
    </w:rPr>
  </w:style>
  <w:style w:type="paragraph" w:customStyle="1" w:styleId="xl122">
    <w:name w:val="xl122"/>
    <w:basedOn w:val="Normal"/>
    <w:uiPriority w:val="99"/>
    <w:rsid w:val="000F4A6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val="de-DE" w:eastAsia="de-DE"/>
    </w:rPr>
  </w:style>
  <w:style w:type="paragraph" w:customStyle="1" w:styleId="xl123">
    <w:name w:val="xl123"/>
    <w:basedOn w:val="Normal"/>
    <w:uiPriority w:val="99"/>
    <w:rsid w:val="000F4A6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24">
    <w:name w:val="xl124"/>
    <w:basedOn w:val="Normal"/>
    <w:uiPriority w:val="99"/>
    <w:rsid w:val="000F4A6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25">
    <w:name w:val="xl125"/>
    <w:basedOn w:val="Normal"/>
    <w:uiPriority w:val="99"/>
    <w:rsid w:val="000F4A66"/>
    <w:pPr>
      <w:pBdr>
        <w:top w:val="single" w:sz="4"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26">
    <w:name w:val="xl126"/>
    <w:basedOn w:val="Normal"/>
    <w:uiPriority w:val="99"/>
    <w:rsid w:val="000F4A66"/>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de-DE" w:eastAsia="de-DE"/>
    </w:rPr>
  </w:style>
  <w:style w:type="paragraph" w:customStyle="1" w:styleId="xl127">
    <w:name w:val="xl127"/>
    <w:basedOn w:val="Normal"/>
    <w:uiPriority w:val="99"/>
    <w:rsid w:val="000F4A6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de-DE" w:eastAsia="de-DE"/>
    </w:rPr>
  </w:style>
  <w:style w:type="paragraph" w:customStyle="1" w:styleId="xl128">
    <w:name w:val="xl128"/>
    <w:basedOn w:val="Normal"/>
    <w:uiPriority w:val="99"/>
    <w:rsid w:val="000F4A66"/>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xl129">
    <w:name w:val="xl129"/>
    <w:basedOn w:val="Normal"/>
    <w:uiPriority w:val="99"/>
    <w:rsid w:val="000F4A6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de-DE" w:eastAsia="de-DE"/>
    </w:rPr>
  </w:style>
  <w:style w:type="paragraph" w:customStyle="1" w:styleId="xl130">
    <w:name w:val="xl130"/>
    <w:basedOn w:val="Normal"/>
    <w:uiPriority w:val="99"/>
    <w:rsid w:val="000F4A66"/>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xl131">
    <w:name w:val="xl131"/>
    <w:basedOn w:val="Normal"/>
    <w:uiPriority w:val="99"/>
    <w:rsid w:val="000F4A66"/>
    <w:pPr>
      <w:pBdr>
        <w:top w:val="single" w:sz="8"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32">
    <w:name w:val="xl132"/>
    <w:basedOn w:val="Normal"/>
    <w:uiPriority w:val="99"/>
    <w:rsid w:val="000F4A66"/>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33">
    <w:name w:val="xl133"/>
    <w:basedOn w:val="Normal"/>
    <w:uiPriority w:val="99"/>
    <w:rsid w:val="000F4A66"/>
    <w:pPr>
      <w:pBdr>
        <w:top w:val="single" w:sz="8" w:space="0" w:color="auto"/>
        <w:left w:val="single" w:sz="8" w:space="0" w:color="auto"/>
        <w:bottom w:val="single" w:sz="4" w:space="0" w:color="auto"/>
      </w:pBdr>
      <w:shd w:val="clear" w:color="000000" w:fill="FFFF00"/>
      <w:spacing w:before="100" w:beforeAutospacing="1" w:after="100" w:afterAutospacing="1" w:line="240" w:lineRule="auto"/>
      <w:textAlignment w:val="top"/>
    </w:pPr>
    <w:rPr>
      <w:rFonts w:ascii="Calibri" w:eastAsia="Times New Roman" w:hAnsi="Calibri" w:cs="Calibri"/>
      <w:color w:val="FF0000"/>
      <w:sz w:val="24"/>
      <w:szCs w:val="24"/>
      <w:lang w:val="de-DE" w:eastAsia="de-DE"/>
    </w:rPr>
  </w:style>
  <w:style w:type="paragraph" w:customStyle="1" w:styleId="xl134">
    <w:name w:val="xl134"/>
    <w:basedOn w:val="Normal"/>
    <w:uiPriority w:val="99"/>
    <w:rsid w:val="000F4A66"/>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Calibri"/>
      <w:color w:val="FF0000"/>
      <w:sz w:val="24"/>
      <w:szCs w:val="24"/>
      <w:lang w:val="de-DE" w:eastAsia="de-DE"/>
    </w:rPr>
  </w:style>
  <w:style w:type="paragraph" w:customStyle="1" w:styleId="xl135">
    <w:name w:val="xl135"/>
    <w:basedOn w:val="Normal"/>
    <w:uiPriority w:val="99"/>
    <w:rsid w:val="000F4A6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FF0000"/>
      <w:sz w:val="24"/>
      <w:szCs w:val="24"/>
      <w:lang w:val="de-DE" w:eastAsia="de-DE"/>
    </w:rPr>
  </w:style>
  <w:style w:type="paragraph" w:customStyle="1" w:styleId="xl136">
    <w:name w:val="xl136"/>
    <w:basedOn w:val="Normal"/>
    <w:uiPriority w:val="99"/>
    <w:rsid w:val="000F4A66"/>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color w:val="FF0000"/>
      <w:sz w:val="24"/>
      <w:szCs w:val="24"/>
      <w:lang w:val="de-DE" w:eastAsia="de-DE"/>
    </w:rPr>
  </w:style>
  <w:style w:type="paragraph" w:customStyle="1" w:styleId="xl137">
    <w:name w:val="xl137"/>
    <w:basedOn w:val="Normal"/>
    <w:uiPriority w:val="99"/>
    <w:rsid w:val="000F4A6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38">
    <w:name w:val="xl138"/>
    <w:basedOn w:val="Normal"/>
    <w:uiPriority w:val="99"/>
    <w:rsid w:val="000F4A66"/>
    <w:pPr>
      <w:shd w:val="clear" w:color="000000" w:fill="FFFFFF"/>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xl139">
    <w:name w:val="xl139"/>
    <w:basedOn w:val="Normal"/>
    <w:uiPriority w:val="99"/>
    <w:rsid w:val="000F4A66"/>
    <w:pPr>
      <w:pBdr>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40">
    <w:name w:val="xl140"/>
    <w:basedOn w:val="Normal"/>
    <w:uiPriority w:val="99"/>
    <w:rsid w:val="000F4A66"/>
    <w:pPr>
      <w:pBdr>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sz w:val="24"/>
      <w:szCs w:val="24"/>
      <w:lang w:val="de-DE" w:eastAsia="de-DE"/>
    </w:rPr>
  </w:style>
  <w:style w:type="paragraph" w:customStyle="1" w:styleId="xl141">
    <w:name w:val="xl141"/>
    <w:basedOn w:val="Normal"/>
    <w:uiPriority w:val="99"/>
    <w:rsid w:val="000F4A66"/>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42">
    <w:name w:val="xl142"/>
    <w:basedOn w:val="Normal"/>
    <w:uiPriority w:val="99"/>
    <w:rsid w:val="000F4A6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43">
    <w:name w:val="xl143"/>
    <w:basedOn w:val="Normal"/>
    <w:uiPriority w:val="99"/>
    <w:rsid w:val="000F4A66"/>
    <w:pPr>
      <w:pBdr>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44">
    <w:name w:val="xl144"/>
    <w:basedOn w:val="Normal"/>
    <w:uiPriority w:val="99"/>
    <w:rsid w:val="000F4A66"/>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45">
    <w:name w:val="xl145"/>
    <w:basedOn w:val="Normal"/>
    <w:uiPriority w:val="99"/>
    <w:rsid w:val="000F4A66"/>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46">
    <w:name w:val="xl146"/>
    <w:basedOn w:val="Normal"/>
    <w:uiPriority w:val="99"/>
    <w:rsid w:val="000F4A66"/>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de-DE" w:eastAsia="de-DE"/>
    </w:rPr>
  </w:style>
  <w:style w:type="paragraph" w:customStyle="1" w:styleId="xl147">
    <w:name w:val="xl147"/>
    <w:basedOn w:val="Normal"/>
    <w:uiPriority w:val="99"/>
    <w:rsid w:val="000F4A66"/>
    <w:pPr>
      <w:pBdr>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48">
    <w:name w:val="xl148"/>
    <w:basedOn w:val="Normal"/>
    <w:uiPriority w:val="99"/>
    <w:rsid w:val="000F4A66"/>
    <w:pPr>
      <w:pBdr>
        <w:top w:val="single" w:sz="4"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49">
    <w:name w:val="xl149"/>
    <w:basedOn w:val="Normal"/>
    <w:uiPriority w:val="99"/>
    <w:rsid w:val="000F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0">
    <w:name w:val="xl150"/>
    <w:basedOn w:val="Normal"/>
    <w:uiPriority w:val="99"/>
    <w:rsid w:val="000F4A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1">
    <w:name w:val="xl151"/>
    <w:basedOn w:val="Normal"/>
    <w:uiPriority w:val="99"/>
    <w:rsid w:val="000F4A66"/>
    <w:pPr>
      <w:pBdr>
        <w:top w:val="single" w:sz="4" w:space="0" w:color="auto"/>
        <w:left w:val="single" w:sz="8" w:space="0" w:color="auto"/>
        <w:bottom w:val="single" w:sz="4" w:space="0" w:color="auto"/>
      </w:pBdr>
      <w:shd w:val="clear" w:color="000000" w:fill="7030A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2">
    <w:name w:val="xl152"/>
    <w:basedOn w:val="Normal"/>
    <w:uiPriority w:val="99"/>
    <w:rsid w:val="000F4A66"/>
    <w:pPr>
      <w:pBdr>
        <w:top w:val="single" w:sz="4" w:space="0" w:color="auto"/>
        <w:bottom w:val="single" w:sz="4" w:space="0" w:color="auto"/>
      </w:pBdr>
      <w:shd w:val="clear" w:color="000000" w:fill="7030A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3">
    <w:name w:val="xl153"/>
    <w:basedOn w:val="Normal"/>
    <w:uiPriority w:val="99"/>
    <w:rsid w:val="000F4A66"/>
    <w:pPr>
      <w:pBdr>
        <w:bottom w:val="single" w:sz="4" w:space="0" w:color="auto"/>
      </w:pBdr>
      <w:shd w:val="clear" w:color="000000" w:fill="7030A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4">
    <w:name w:val="xl154"/>
    <w:basedOn w:val="Normal"/>
    <w:uiPriority w:val="99"/>
    <w:rsid w:val="000F4A66"/>
    <w:pPr>
      <w:pBdr>
        <w:top w:val="single" w:sz="8" w:space="0" w:color="auto"/>
        <w:bottom w:val="single" w:sz="4" w:space="0" w:color="auto"/>
        <w:right w:val="single" w:sz="4" w:space="0" w:color="auto"/>
      </w:pBdr>
      <w:shd w:val="clear" w:color="000000" w:fill="7030A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5">
    <w:name w:val="xl155"/>
    <w:basedOn w:val="Normal"/>
    <w:uiPriority w:val="99"/>
    <w:rsid w:val="000F4A66"/>
    <w:pPr>
      <w:pBdr>
        <w:top w:val="single" w:sz="4" w:space="0" w:color="auto"/>
        <w:left w:val="single" w:sz="8" w:space="0" w:color="auto"/>
        <w:bottom w:val="single" w:sz="4" w:space="0" w:color="auto"/>
      </w:pBdr>
      <w:shd w:val="clear" w:color="000000" w:fill="7030A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6">
    <w:name w:val="xl156"/>
    <w:basedOn w:val="Normal"/>
    <w:uiPriority w:val="99"/>
    <w:rsid w:val="000F4A6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7">
    <w:name w:val="xl157"/>
    <w:basedOn w:val="Normal"/>
    <w:uiPriority w:val="99"/>
    <w:rsid w:val="000F4A66"/>
    <w:pPr>
      <w:pBdr>
        <w:top w:val="single" w:sz="4" w:space="0" w:color="auto"/>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8">
    <w:name w:val="xl158"/>
    <w:basedOn w:val="Normal"/>
    <w:uiPriority w:val="99"/>
    <w:rsid w:val="000F4A66"/>
    <w:pPr>
      <w:pBdr>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59">
    <w:name w:val="xl159"/>
    <w:basedOn w:val="Normal"/>
    <w:uiPriority w:val="99"/>
    <w:rsid w:val="000F4A6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lang w:val="de-DE" w:eastAsia="de-DE"/>
    </w:rPr>
  </w:style>
  <w:style w:type="paragraph" w:customStyle="1" w:styleId="xl160">
    <w:name w:val="xl160"/>
    <w:basedOn w:val="Normal"/>
    <w:uiPriority w:val="99"/>
    <w:rsid w:val="000F4A66"/>
    <w:pPr>
      <w:pBdr>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lang w:val="de-DE" w:eastAsia="de-DE"/>
    </w:rPr>
  </w:style>
  <w:style w:type="paragraph" w:customStyle="1" w:styleId="xl161">
    <w:name w:val="xl161"/>
    <w:basedOn w:val="Normal"/>
    <w:uiPriority w:val="99"/>
    <w:rsid w:val="000F4A6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lang w:val="de-DE" w:eastAsia="de-DE"/>
    </w:rPr>
  </w:style>
  <w:style w:type="paragraph" w:customStyle="1" w:styleId="xl162">
    <w:name w:val="xl162"/>
    <w:basedOn w:val="Normal"/>
    <w:uiPriority w:val="99"/>
    <w:rsid w:val="000F4A66"/>
    <w:pPr>
      <w:pBdr>
        <w:top w:val="single" w:sz="4" w:space="0" w:color="auto"/>
        <w:left w:val="single" w:sz="4" w:space="0" w:color="auto"/>
        <w:right w:val="single" w:sz="8" w:space="0" w:color="auto"/>
      </w:pBdr>
      <w:shd w:val="clear" w:color="000000" w:fill="7030A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63">
    <w:name w:val="xl163"/>
    <w:basedOn w:val="Normal"/>
    <w:uiPriority w:val="99"/>
    <w:rsid w:val="000F4A66"/>
    <w:pPr>
      <w:pBdr>
        <w:left w:val="single" w:sz="4" w:space="0" w:color="auto"/>
        <w:right w:val="single" w:sz="8" w:space="0" w:color="auto"/>
      </w:pBdr>
      <w:shd w:val="clear" w:color="000000" w:fill="7030A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64">
    <w:name w:val="xl164"/>
    <w:basedOn w:val="Normal"/>
    <w:uiPriority w:val="99"/>
    <w:rsid w:val="000F4A66"/>
    <w:pPr>
      <w:pBdr>
        <w:left w:val="single" w:sz="4" w:space="0" w:color="auto"/>
        <w:bottom w:val="single" w:sz="4" w:space="0" w:color="auto"/>
        <w:right w:val="single" w:sz="8" w:space="0" w:color="auto"/>
      </w:pBdr>
      <w:shd w:val="clear" w:color="000000" w:fill="7030A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65">
    <w:name w:val="xl165"/>
    <w:basedOn w:val="Normal"/>
    <w:uiPriority w:val="99"/>
    <w:rsid w:val="000F4A6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66">
    <w:name w:val="xl166"/>
    <w:basedOn w:val="Normal"/>
    <w:uiPriority w:val="99"/>
    <w:rsid w:val="000F4A66"/>
    <w:pPr>
      <w:pBdr>
        <w:top w:val="single" w:sz="8" w:space="0" w:color="auto"/>
        <w:left w:val="single" w:sz="8"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67">
    <w:name w:val="xl167"/>
    <w:basedOn w:val="Normal"/>
    <w:uiPriority w:val="99"/>
    <w:rsid w:val="000F4A66"/>
    <w:pPr>
      <w:pBdr>
        <w:top w:val="single" w:sz="8"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68">
    <w:name w:val="xl168"/>
    <w:basedOn w:val="Normal"/>
    <w:uiPriority w:val="99"/>
    <w:rsid w:val="000F4A66"/>
    <w:pPr>
      <w:pBdr>
        <w:top w:val="single" w:sz="8" w:space="0" w:color="auto"/>
        <w:right w:val="single" w:sz="8"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69">
    <w:name w:val="xl169"/>
    <w:basedOn w:val="Normal"/>
    <w:uiPriority w:val="99"/>
    <w:rsid w:val="000F4A66"/>
    <w:pPr>
      <w:pBdr>
        <w:left w:val="single" w:sz="8" w:space="0" w:color="auto"/>
        <w:bottom w:val="single" w:sz="8"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70">
    <w:name w:val="xl170"/>
    <w:basedOn w:val="Normal"/>
    <w:uiPriority w:val="99"/>
    <w:rsid w:val="000F4A66"/>
    <w:pPr>
      <w:pBdr>
        <w:bottom w:val="single" w:sz="8"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71">
    <w:name w:val="xl171"/>
    <w:basedOn w:val="Normal"/>
    <w:uiPriority w:val="99"/>
    <w:rsid w:val="000F4A66"/>
    <w:pPr>
      <w:pBdr>
        <w:bottom w:val="single" w:sz="8" w:space="0" w:color="auto"/>
        <w:right w:val="single" w:sz="8" w:space="0" w:color="auto"/>
      </w:pBdr>
      <w:shd w:val="clear" w:color="000000" w:fill="333F4F"/>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72">
    <w:name w:val="xl172"/>
    <w:basedOn w:val="Normal"/>
    <w:uiPriority w:val="99"/>
    <w:rsid w:val="000F4A66"/>
    <w:pPr>
      <w:pBdr>
        <w:top w:val="single" w:sz="8" w:space="0" w:color="auto"/>
        <w:left w:val="single" w:sz="8" w:space="0" w:color="auto"/>
        <w:bottom w:val="single" w:sz="4"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b/>
      <w:bCs/>
      <w:color w:val="FFFFFF"/>
      <w:sz w:val="48"/>
      <w:szCs w:val="48"/>
      <w:lang w:val="de-DE" w:eastAsia="de-DE"/>
    </w:rPr>
  </w:style>
  <w:style w:type="paragraph" w:customStyle="1" w:styleId="xl173">
    <w:name w:val="xl173"/>
    <w:basedOn w:val="Normal"/>
    <w:uiPriority w:val="99"/>
    <w:rsid w:val="000F4A66"/>
    <w:pPr>
      <w:pBdr>
        <w:top w:val="single" w:sz="8"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b/>
      <w:bCs/>
      <w:color w:val="FFFFFF"/>
      <w:sz w:val="48"/>
      <w:szCs w:val="48"/>
      <w:lang w:val="de-DE" w:eastAsia="de-DE"/>
    </w:rPr>
  </w:style>
  <w:style w:type="paragraph" w:customStyle="1" w:styleId="xl174">
    <w:name w:val="xl174"/>
    <w:basedOn w:val="Normal"/>
    <w:uiPriority w:val="99"/>
    <w:rsid w:val="000F4A66"/>
    <w:pPr>
      <w:pBdr>
        <w:top w:val="single" w:sz="8" w:space="0" w:color="auto"/>
        <w:right w:val="single" w:sz="8"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b/>
      <w:bCs/>
      <w:color w:val="FFFFFF"/>
      <w:sz w:val="48"/>
      <w:szCs w:val="48"/>
      <w:lang w:val="de-DE" w:eastAsia="de-DE"/>
    </w:rPr>
  </w:style>
  <w:style w:type="paragraph" w:customStyle="1" w:styleId="xl175">
    <w:name w:val="xl175"/>
    <w:basedOn w:val="Normal"/>
    <w:uiPriority w:val="99"/>
    <w:rsid w:val="000F4A66"/>
    <w:pPr>
      <w:pBdr>
        <w:top w:val="single" w:sz="8" w:space="0" w:color="auto"/>
        <w:left w:val="single" w:sz="8" w:space="0" w:color="auto"/>
        <w:bottom w:val="single" w:sz="8"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76">
    <w:name w:val="xl176"/>
    <w:basedOn w:val="Normal"/>
    <w:uiPriority w:val="99"/>
    <w:rsid w:val="000F4A66"/>
    <w:pPr>
      <w:pBdr>
        <w:top w:val="single" w:sz="8" w:space="0" w:color="auto"/>
        <w:bottom w:val="single" w:sz="8"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77">
    <w:name w:val="xl177"/>
    <w:basedOn w:val="Normal"/>
    <w:uiPriority w:val="99"/>
    <w:rsid w:val="000F4A66"/>
    <w:pPr>
      <w:pBdr>
        <w:top w:val="single" w:sz="8" w:space="0" w:color="auto"/>
        <w:bottom w:val="single" w:sz="8" w:space="0" w:color="auto"/>
        <w:right w:val="single" w:sz="8"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sz w:val="48"/>
      <w:szCs w:val="48"/>
      <w:lang w:val="de-DE" w:eastAsia="de-DE"/>
    </w:rPr>
  </w:style>
  <w:style w:type="paragraph" w:customStyle="1" w:styleId="xl178">
    <w:name w:val="xl178"/>
    <w:basedOn w:val="Normal"/>
    <w:uiPriority w:val="99"/>
    <w:rsid w:val="000F4A6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79">
    <w:name w:val="xl179"/>
    <w:basedOn w:val="Normal"/>
    <w:uiPriority w:val="99"/>
    <w:rsid w:val="000F4A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80">
    <w:name w:val="xl180"/>
    <w:basedOn w:val="Normal"/>
    <w:uiPriority w:val="99"/>
    <w:rsid w:val="000F4A66"/>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81">
    <w:name w:val="xl181"/>
    <w:basedOn w:val="Normal"/>
    <w:uiPriority w:val="99"/>
    <w:rsid w:val="000F4A66"/>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82">
    <w:name w:val="xl182"/>
    <w:basedOn w:val="Normal"/>
    <w:uiPriority w:val="99"/>
    <w:rsid w:val="000F4A66"/>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83">
    <w:name w:val="xl183"/>
    <w:basedOn w:val="Normal"/>
    <w:uiPriority w:val="99"/>
    <w:rsid w:val="000F4A66"/>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lang w:val="de-DE" w:eastAsia="de-DE"/>
    </w:rPr>
  </w:style>
  <w:style w:type="paragraph" w:customStyle="1" w:styleId="xl184">
    <w:name w:val="xl184"/>
    <w:basedOn w:val="Normal"/>
    <w:uiPriority w:val="99"/>
    <w:rsid w:val="000F4A66"/>
    <w:pPr>
      <w:pBdr>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lang w:val="de-DE" w:eastAsia="de-DE"/>
    </w:rPr>
  </w:style>
  <w:style w:type="paragraph" w:customStyle="1" w:styleId="xl185">
    <w:name w:val="xl185"/>
    <w:basedOn w:val="Normal"/>
    <w:uiPriority w:val="99"/>
    <w:rsid w:val="000F4A6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lang w:val="de-DE" w:eastAsia="de-DE"/>
    </w:rPr>
  </w:style>
  <w:style w:type="paragraph" w:customStyle="1" w:styleId="xl186">
    <w:name w:val="xl186"/>
    <w:basedOn w:val="Normal"/>
    <w:uiPriority w:val="99"/>
    <w:rsid w:val="000F4A66"/>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87">
    <w:name w:val="xl187"/>
    <w:basedOn w:val="Normal"/>
    <w:uiPriority w:val="99"/>
    <w:rsid w:val="000F4A66"/>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88">
    <w:name w:val="xl188"/>
    <w:basedOn w:val="Normal"/>
    <w:uiPriority w:val="99"/>
    <w:rsid w:val="000F4A66"/>
    <w:pPr>
      <w:pBdr>
        <w:top w:val="single" w:sz="8" w:space="0" w:color="auto"/>
        <w:left w:val="single" w:sz="8"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89">
    <w:name w:val="xl189"/>
    <w:basedOn w:val="Normal"/>
    <w:uiPriority w:val="99"/>
    <w:rsid w:val="000F4A66"/>
    <w:pPr>
      <w:pBdr>
        <w:left w:val="single" w:sz="8"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0">
    <w:name w:val="xl190"/>
    <w:basedOn w:val="Normal"/>
    <w:uiPriority w:val="99"/>
    <w:rsid w:val="000F4A66"/>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1">
    <w:name w:val="xl191"/>
    <w:basedOn w:val="Normal"/>
    <w:uiPriority w:val="99"/>
    <w:rsid w:val="000F4A66"/>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2">
    <w:name w:val="xl192"/>
    <w:basedOn w:val="Normal"/>
    <w:uiPriority w:val="99"/>
    <w:rsid w:val="000F4A66"/>
    <w:pPr>
      <w:pBdr>
        <w:top w:val="single" w:sz="8"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3">
    <w:name w:val="xl193"/>
    <w:basedOn w:val="Normal"/>
    <w:uiPriority w:val="99"/>
    <w:rsid w:val="000F4A6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4">
    <w:name w:val="xl194"/>
    <w:basedOn w:val="Normal"/>
    <w:uiPriority w:val="99"/>
    <w:rsid w:val="000F4A66"/>
    <w:pPr>
      <w:pBdr>
        <w:top w:val="single" w:sz="8"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195">
    <w:name w:val="xl195"/>
    <w:basedOn w:val="Normal"/>
    <w:uiPriority w:val="99"/>
    <w:rsid w:val="000F4A6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6">
    <w:name w:val="xl196"/>
    <w:basedOn w:val="Normal"/>
    <w:uiPriority w:val="99"/>
    <w:rsid w:val="000F4A66"/>
    <w:pPr>
      <w:pBdr>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7">
    <w:name w:val="xl197"/>
    <w:basedOn w:val="Normal"/>
    <w:uiPriority w:val="99"/>
    <w:rsid w:val="000F4A66"/>
    <w:pPr>
      <w:pBdr>
        <w:top w:val="single" w:sz="8" w:space="0" w:color="auto"/>
        <w:left w:val="single" w:sz="8"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8">
    <w:name w:val="xl198"/>
    <w:basedOn w:val="Normal"/>
    <w:uiPriority w:val="99"/>
    <w:rsid w:val="000F4A66"/>
    <w:pPr>
      <w:pBdr>
        <w:left w:val="single" w:sz="8"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199">
    <w:name w:val="xl199"/>
    <w:basedOn w:val="Normal"/>
    <w:uiPriority w:val="99"/>
    <w:rsid w:val="000F4A66"/>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200">
    <w:name w:val="xl200"/>
    <w:basedOn w:val="Normal"/>
    <w:uiPriority w:val="99"/>
    <w:rsid w:val="000F4A66"/>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201">
    <w:name w:val="xl201"/>
    <w:basedOn w:val="Normal"/>
    <w:uiPriority w:val="99"/>
    <w:rsid w:val="000F4A66"/>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202">
    <w:name w:val="xl202"/>
    <w:basedOn w:val="Normal"/>
    <w:uiPriority w:val="99"/>
    <w:rsid w:val="000F4A6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203">
    <w:name w:val="xl203"/>
    <w:basedOn w:val="Normal"/>
    <w:uiPriority w:val="99"/>
    <w:rsid w:val="000F4A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204">
    <w:name w:val="xl204"/>
    <w:basedOn w:val="Normal"/>
    <w:uiPriority w:val="99"/>
    <w:rsid w:val="000F4A6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205">
    <w:name w:val="xl205"/>
    <w:basedOn w:val="Normal"/>
    <w:uiPriority w:val="99"/>
    <w:rsid w:val="000F4A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lang w:val="de-DE" w:eastAsia="de-DE"/>
    </w:rPr>
  </w:style>
  <w:style w:type="paragraph" w:customStyle="1" w:styleId="xl206">
    <w:name w:val="xl206"/>
    <w:basedOn w:val="Normal"/>
    <w:uiPriority w:val="99"/>
    <w:rsid w:val="000F4A6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207">
    <w:name w:val="xl207"/>
    <w:basedOn w:val="Normal"/>
    <w:uiPriority w:val="99"/>
    <w:rsid w:val="000F4A6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208">
    <w:name w:val="xl208"/>
    <w:basedOn w:val="Normal"/>
    <w:uiPriority w:val="99"/>
    <w:rsid w:val="000F4A66"/>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msonormal">
    <w:name w:val="x_msonormal"/>
    <w:basedOn w:val="Normal"/>
    <w:uiPriority w:val="99"/>
    <w:rsid w:val="000F4A66"/>
    <w:pPr>
      <w:spacing w:after="0" w:line="240" w:lineRule="auto"/>
    </w:pPr>
    <w:rPr>
      <w:rFonts w:ascii="Calibri" w:hAnsi="Calibri" w:cs="Calibri"/>
      <w:sz w:val="22"/>
      <w:szCs w:val="22"/>
      <w:lang w:val="de-DE" w:eastAsia="de-DE"/>
    </w:rPr>
  </w:style>
  <w:style w:type="paragraph" w:customStyle="1" w:styleId="xmsolistparagraph">
    <w:name w:val="x_msolistparagraph"/>
    <w:basedOn w:val="Normal"/>
    <w:uiPriority w:val="99"/>
    <w:rsid w:val="000F4A66"/>
    <w:pPr>
      <w:spacing w:after="0" w:line="240" w:lineRule="auto"/>
      <w:ind w:left="720"/>
    </w:pPr>
    <w:rPr>
      <w:rFonts w:ascii="Calibri" w:hAnsi="Calibri" w:cs="Calibri"/>
      <w:sz w:val="22"/>
      <w:szCs w:val="22"/>
      <w:lang w:val="de-DE" w:eastAsia="de-DE"/>
    </w:rPr>
  </w:style>
  <w:style w:type="paragraph" w:customStyle="1" w:styleId="commentcontentpara">
    <w:name w:val="commentcontentpara"/>
    <w:basedOn w:val="Normal"/>
    <w:uiPriority w:val="99"/>
    <w:rsid w:val="000F4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F4A66"/>
  </w:style>
  <w:style w:type="character" w:customStyle="1" w:styleId="Mention">
    <w:name w:val="Mention"/>
    <w:basedOn w:val="DefaultParagraphFont"/>
    <w:uiPriority w:val="99"/>
    <w:unhideWhenUsed/>
    <w:rsid w:val="000F4A66"/>
    <w:rPr>
      <w:color w:val="2B579A"/>
      <w:shd w:val="clear" w:color="auto" w:fill="E1DFDD"/>
    </w:rPr>
  </w:style>
  <w:style w:type="table" w:customStyle="1" w:styleId="none5">
    <w:name w:val="none5"/>
    <w:basedOn w:val="TableNormal"/>
    <w:next w:val="TableGrid"/>
    <w:uiPriority w:val="39"/>
    <w:rsid w:val="000F4A66"/>
    <w:pPr>
      <w:spacing w:after="0" w:line="240" w:lineRule="auto"/>
    </w:pPr>
    <w:rPr>
      <w:rFonts w:ascii="Verdana" w:eastAsia="Times New Roman" w:hAnsi="Verdana" w:cs="Times New Roman"/>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Verdana" w:hAnsi="Verdana"/>
        <w:b/>
        <w:color w:val="FFFFFF" w:themeColor="background1"/>
        <w:sz w:val="18"/>
      </w:rPr>
      <w:tblPr/>
      <w:tcPr>
        <w:shd w:val="clear" w:color="auto" w:fill="00AEF0"/>
      </w:tcPr>
    </w:tblStylePr>
    <w:tblStylePr w:type="band1Horz">
      <w:rPr>
        <w:sz w:val="18"/>
      </w:rPr>
    </w:tblStylePr>
  </w:style>
  <w:style w:type="table" w:customStyle="1" w:styleId="none6">
    <w:name w:val="none6"/>
    <w:basedOn w:val="TableNormal"/>
    <w:next w:val="TableGrid"/>
    <w:uiPriority w:val="39"/>
    <w:rsid w:val="000F4A66"/>
    <w:pPr>
      <w:spacing w:after="0" w:line="240" w:lineRule="auto"/>
    </w:pPr>
    <w:rPr>
      <w:rFonts w:ascii="Verdana" w:eastAsia="Times New Roman" w:hAnsi="Verdana" w:cs="Times New Roman"/>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Verdana" w:hAnsi="Verdana"/>
        <w:b/>
        <w:color w:val="FFFFFF" w:themeColor="background1"/>
        <w:sz w:val="18"/>
      </w:rPr>
      <w:tblPr/>
      <w:tcPr>
        <w:shd w:val="clear" w:color="auto" w:fill="00AEF0"/>
      </w:tcPr>
    </w:tblStylePr>
    <w:tblStylePr w:type="band1Horz">
      <w:rPr>
        <w:sz w:val="18"/>
      </w:rPr>
    </w:tblStylePr>
  </w:style>
  <w:style w:type="table" w:customStyle="1" w:styleId="none7">
    <w:name w:val="none7"/>
    <w:basedOn w:val="TableNormal"/>
    <w:next w:val="TableGrid"/>
    <w:uiPriority w:val="39"/>
    <w:rsid w:val="000F4A66"/>
    <w:pPr>
      <w:spacing w:after="0" w:line="240" w:lineRule="auto"/>
    </w:pPr>
    <w:rPr>
      <w:rFonts w:ascii="Verdana" w:eastAsia="Times New Roman" w:hAnsi="Verdana" w:cs="Times New Roman"/>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Verdana" w:hAnsi="Verdana"/>
        <w:b/>
        <w:color w:val="FFFFFF" w:themeColor="background1"/>
        <w:sz w:val="18"/>
      </w:rPr>
      <w:tblPr/>
      <w:tcPr>
        <w:shd w:val="clear" w:color="auto" w:fill="00AEF0"/>
      </w:tcPr>
    </w:tblStylePr>
    <w:tblStylePr w:type="band1Horz">
      <w:rPr>
        <w:sz w:val="18"/>
      </w:rPr>
    </w:tblStylePr>
  </w:style>
  <w:style w:type="table" w:customStyle="1" w:styleId="none8">
    <w:name w:val="none8"/>
    <w:basedOn w:val="TableNormal"/>
    <w:next w:val="TableGrid"/>
    <w:uiPriority w:val="39"/>
    <w:rsid w:val="000F4A66"/>
    <w:pPr>
      <w:spacing w:after="0" w:line="240" w:lineRule="auto"/>
    </w:pPr>
    <w:rPr>
      <w:rFonts w:ascii="Verdana" w:eastAsia="Times New Roman" w:hAnsi="Verdana" w:cs="Times New Roman"/>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Verdana" w:hAnsi="Verdana"/>
        <w:b/>
        <w:color w:val="FFFFFF" w:themeColor="background1"/>
        <w:sz w:val="18"/>
      </w:rPr>
      <w:tblPr/>
      <w:tcPr>
        <w:shd w:val="clear" w:color="auto" w:fill="00AEF0"/>
      </w:tcPr>
    </w:tblStylePr>
    <w:tblStylePr w:type="band1Horz">
      <w:rPr>
        <w:sz w:val="18"/>
      </w:rPr>
    </w:tblStylePr>
  </w:style>
  <w:style w:type="character" w:customStyle="1" w:styleId="Heading1Char1">
    <w:name w:val="Heading 1 Char1"/>
    <w:aliases w:val="HEADING 1 MASTER Char1"/>
    <w:basedOn w:val="DefaultParagraphFont"/>
    <w:uiPriority w:val="9"/>
    <w:rsid w:val="000F4A66"/>
    <w:rPr>
      <w:rFonts w:asciiTheme="majorHAnsi" w:eastAsiaTheme="majorEastAsia" w:hAnsiTheme="majorHAnsi" w:cstheme="majorBidi"/>
      <w:color w:val="2E74B5" w:themeColor="accent1" w:themeShade="BF"/>
      <w:sz w:val="32"/>
      <w:szCs w:val="32"/>
      <w:lang w:val="fr-FR" w:eastAsia="en-US"/>
    </w:rPr>
  </w:style>
  <w:style w:type="character" w:customStyle="1" w:styleId="Heading3Char1">
    <w:name w:val="Heading 3 Char1"/>
    <w:aliases w:val="Heading_3 Char1"/>
    <w:basedOn w:val="DefaultParagraphFont"/>
    <w:uiPriority w:val="9"/>
    <w:semiHidden/>
    <w:rsid w:val="000F4A66"/>
    <w:rPr>
      <w:rFonts w:asciiTheme="majorHAnsi" w:eastAsiaTheme="majorEastAsia" w:hAnsiTheme="majorHAnsi" w:cstheme="majorBidi"/>
      <w:color w:val="1F4D78" w:themeColor="accent1" w:themeShade="7F"/>
      <w:sz w:val="24"/>
      <w:szCs w:val="24"/>
      <w:lang w:val="fr-FR" w:eastAsia="en-US"/>
    </w:rPr>
  </w:style>
  <w:style w:type="character" w:customStyle="1" w:styleId="Heading4Char1">
    <w:name w:val="Heading 4 Char1"/>
    <w:aliases w:val="Figures Only Char1,Heading 4 CFMU Char1,h4 Char1,Header 4 Char1,Numbered 4 (SBC) Char1,Heading 4 - SBC Char1,dash Char1,Map Title Char1,H4 Char1,Topic Major Char1,RFQ3 Char1,l4 Char1,4 Char1,4heading Char1,heading4 Char1,heading Char1"/>
    <w:basedOn w:val="DefaultParagraphFont"/>
    <w:uiPriority w:val="9"/>
    <w:semiHidden/>
    <w:rsid w:val="000F4A66"/>
    <w:rPr>
      <w:rFonts w:asciiTheme="majorHAnsi" w:eastAsiaTheme="majorEastAsia" w:hAnsiTheme="majorHAnsi" w:cstheme="majorBidi"/>
      <w:i/>
      <w:iCs/>
      <w:color w:val="2E74B5" w:themeColor="accent1" w:themeShade="BF"/>
      <w:sz w:val="24"/>
      <w:lang w:val="fr-FR" w:eastAsia="en-US"/>
    </w:rPr>
  </w:style>
  <w:style w:type="character" w:customStyle="1" w:styleId="Heading5Char1">
    <w:name w:val="Heading 5 Char1"/>
    <w:aliases w:val="Heading_4 Char1"/>
    <w:basedOn w:val="DefaultParagraphFont"/>
    <w:uiPriority w:val="9"/>
    <w:semiHidden/>
    <w:rsid w:val="000F4A66"/>
    <w:rPr>
      <w:rFonts w:asciiTheme="majorHAnsi" w:eastAsiaTheme="majorEastAsia" w:hAnsiTheme="majorHAnsi" w:cstheme="majorBidi"/>
      <w:color w:val="2E74B5" w:themeColor="accent1" w:themeShade="BF"/>
      <w:sz w:val="24"/>
      <w:lang w:val="fr-FR" w:eastAsia="en-US"/>
    </w:rPr>
  </w:style>
  <w:style w:type="character" w:customStyle="1" w:styleId="Heading6Char1">
    <w:name w:val="Heading 6 Char1"/>
    <w:aliases w:val="sub2 Char1,b Char1,Heading 6 CFMU Char1,h6 Char1,Header 6 Char1,UEH6 Char1,Heading 6 CFMU1 Char1,Heading 6 CFMU2 Char1,Heading 6 CFMU3 Char1,Heading 6 CFMU4 Char1,Heading 6 CFMU5 Char1,Para 6 Char1,H6 Char1,Legal Level 1. Char1"/>
    <w:basedOn w:val="DefaultParagraphFont"/>
    <w:uiPriority w:val="9"/>
    <w:semiHidden/>
    <w:rsid w:val="000F4A66"/>
    <w:rPr>
      <w:rFonts w:asciiTheme="majorHAnsi" w:eastAsiaTheme="majorEastAsia" w:hAnsiTheme="majorHAnsi" w:cstheme="majorBidi"/>
      <w:color w:val="1F4D78" w:themeColor="accent1" w:themeShade="7F"/>
      <w:sz w:val="24"/>
      <w:lang w:val="fr-FR" w:eastAsia="en-US"/>
    </w:rPr>
  </w:style>
  <w:style w:type="character" w:customStyle="1" w:styleId="Heading7Char1">
    <w:name w:val="Heading 7 Char1"/>
    <w:aliases w:val="letter list Char1,lettered list Char1,Heading 7 CFMU Char1,h7 Char1,Header 7 Char1,Legal Level 1.1. Char1,sub3 Char1,Heading 7 (do not use) Char1,Para 7 Char1,H7 Char1,TITRE PARTIE Char1"/>
    <w:basedOn w:val="DefaultParagraphFont"/>
    <w:uiPriority w:val="9"/>
    <w:semiHidden/>
    <w:rsid w:val="000F4A66"/>
    <w:rPr>
      <w:rFonts w:asciiTheme="majorHAnsi" w:eastAsiaTheme="majorEastAsia" w:hAnsiTheme="majorHAnsi" w:cstheme="majorBidi"/>
      <w:i/>
      <w:iCs/>
      <w:color w:val="1F4D78" w:themeColor="accent1" w:themeShade="7F"/>
      <w:sz w:val="24"/>
      <w:lang w:val="fr-FR" w:eastAsia="en-US"/>
    </w:rPr>
  </w:style>
  <w:style w:type="character" w:customStyle="1" w:styleId="Heading8Char1">
    <w:name w:val="Heading 8 Char1"/>
    <w:aliases w:val="sub4 Char1,Heading 8 (do not use) Char1,Heading 8 CFMU Char1,h8 Char1,Header 8 Char1,ASAPHeading 8 Char1,8 Char1,Titolo8 Char1,action Char1,action1 Char1,action2 Char1,action11 Char1,action3 Char1,action4 Char1,action5 Char1,action8 Char"/>
    <w:basedOn w:val="DefaultParagraphFont"/>
    <w:uiPriority w:val="9"/>
    <w:semiHidden/>
    <w:rsid w:val="000F4A66"/>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aliases w:val="sub5 Char1,Heading 9 (do not use) Char1,App Heading Char1,Heading 9 CFMU Char1,h9 Char1,Header 9 Char1,ASAPHeading 9 Char1,Appendix Char1,9 Char1,Titolo9 Char1,progress Char1,progress1 Char1,progress2 Char1,progress11 Char1,App1 Char1"/>
    <w:basedOn w:val="DefaultParagraphFont"/>
    <w:uiPriority w:val="9"/>
    <w:semiHidden/>
    <w:rsid w:val="000F4A66"/>
    <w:rPr>
      <w:rFonts w:asciiTheme="majorHAnsi" w:eastAsiaTheme="majorEastAsia" w:hAnsiTheme="majorHAnsi" w:cstheme="majorBidi"/>
      <w:i/>
      <w:iCs/>
      <w:color w:val="272727" w:themeColor="text1" w:themeTint="D8"/>
      <w:sz w:val="21"/>
      <w:szCs w:val="21"/>
      <w:lang w:val="fr-FR" w:eastAsia="en-US"/>
    </w:rPr>
  </w:style>
  <w:style w:type="paragraph" w:customStyle="1" w:styleId="CharCharCharCharChar0000000000000000000000000000000000000000000000000000000000000000000000000000000000000000000000000000000000000000000">
    <w:name w:val="Char Char Char Char Char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000000">
    <w:name w:val="Char Char Char Char Char1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000000">
    <w:name w:val="Char Char Char Char Char2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000000">
    <w:name w:val="Char Char Char Char Char3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00000000">
    <w:name w:val="Char Char Char Char Char0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0000000">
    <w:name w:val="Char Char Char Char Char1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0000000">
    <w:name w:val="Char Char Char Char Char2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0000000">
    <w:name w:val="Char Char Char Char Char3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000000000000000000000000000000000000000000000000000000000000000000000000000000000000000000000000000000000000000000000">
    <w:name w:val="Char Char Char Char Char00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100000000000000000000000000000000000000000000000000000000000000000000000000000000000000000000000000000000000000000000">
    <w:name w:val="Char Char Char Char Char10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200000000000000000000000000000000000000000000000000000000000000000000000000000000000000000000000000000000000000000000">
    <w:name w:val="Char Char Char Char Char20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paragraph" w:customStyle="1" w:styleId="CharCharCharCharChar300000000000000000000000000000000000000000000000000000000000000000000000000000000000000000000000000000000000000000000">
    <w:name w:val="Char Char Char Char Char300000000000000000000000000000000000000000000000000000000000000000000000000000000000000000000000000000000000000000000"/>
    <w:basedOn w:val="Normal"/>
    <w:next w:val="Normal"/>
    <w:uiPriority w:val="99"/>
    <w:rsid w:val="000F4A66"/>
    <w:pPr>
      <w:spacing w:after="160" w:line="240" w:lineRule="exact"/>
    </w:pPr>
    <w:rPr>
      <w:rFonts w:ascii="Tahoma" w:eastAsia="Times New Roman" w:hAnsi="Tahoma" w:cs="Times New Roman"/>
      <w:sz w:val="24"/>
      <w:lang w:eastAsia="zh-CN"/>
    </w:rPr>
  </w:style>
  <w:style w:type="table" w:styleId="GridTable4-Accent5">
    <w:name w:val="Grid Table 4 Accent 5"/>
    <w:basedOn w:val="TableNormal"/>
    <w:uiPriority w:val="49"/>
    <w:rsid w:val="00593E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6732">
      <w:bodyDiv w:val="1"/>
      <w:marLeft w:val="0"/>
      <w:marRight w:val="0"/>
      <w:marTop w:val="0"/>
      <w:marBottom w:val="0"/>
      <w:divBdr>
        <w:top w:val="none" w:sz="0" w:space="0" w:color="auto"/>
        <w:left w:val="none" w:sz="0" w:space="0" w:color="auto"/>
        <w:bottom w:val="none" w:sz="0" w:space="0" w:color="auto"/>
        <w:right w:val="none" w:sz="0" w:space="0" w:color="auto"/>
      </w:divBdr>
    </w:div>
    <w:div w:id="131558503">
      <w:bodyDiv w:val="1"/>
      <w:marLeft w:val="0"/>
      <w:marRight w:val="0"/>
      <w:marTop w:val="0"/>
      <w:marBottom w:val="0"/>
      <w:divBdr>
        <w:top w:val="none" w:sz="0" w:space="0" w:color="auto"/>
        <w:left w:val="none" w:sz="0" w:space="0" w:color="auto"/>
        <w:bottom w:val="none" w:sz="0" w:space="0" w:color="auto"/>
        <w:right w:val="none" w:sz="0" w:space="0" w:color="auto"/>
      </w:divBdr>
    </w:div>
    <w:div w:id="195167877">
      <w:bodyDiv w:val="1"/>
      <w:marLeft w:val="0"/>
      <w:marRight w:val="0"/>
      <w:marTop w:val="0"/>
      <w:marBottom w:val="0"/>
      <w:divBdr>
        <w:top w:val="none" w:sz="0" w:space="0" w:color="auto"/>
        <w:left w:val="none" w:sz="0" w:space="0" w:color="auto"/>
        <w:bottom w:val="none" w:sz="0" w:space="0" w:color="auto"/>
        <w:right w:val="none" w:sz="0" w:space="0" w:color="auto"/>
      </w:divBdr>
    </w:div>
    <w:div w:id="320549418">
      <w:bodyDiv w:val="1"/>
      <w:marLeft w:val="0"/>
      <w:marRight w:val="0"/>
      <w:marTop w:val="0"/>
      <w:marBottom w:val="0"/>
      <w:divBdr>
        <w:top w:val="none" w:sz="0" w:space="0" w:color="auto"/>
        <w:left w:val="none" w:sz="0" w:space="0" w:color="auto"/>
        <w:bottom w:val="none" w:sz="0" w:space="0" w:color="auto"/>
        <w:right w:val="none" w:sz="0" w:space="0" w:color="auto"/>
      </w:divBdr>
    </w:div>
    <w:div w:id="376667128">
      <w:bodyDiv w:val="1"/>
      <w:marLeft w:val="0"/>
      <w:marRight w:val="0"/>
      <w:marTop w:val="0"/>
      <w:marBottom w:val="0"/>
      <w:divBdr>
        <w:top w:val="none" w:sz="0" w:space="0" w:color="auto"/>
        <w:left w:val="none" w:sz="0" w:space="0" w:color="auto"/>
        <w:bottom w:val="none" w:sz="0" w:space="0" w:color="auto"/>
        <w:right w:val="none" w:sz="0" w:space="0" w:color="auto"/>
      </w:divBdr>
    </w:div>
    <w:div w:id="385691455">
      <w:bodyDiv w:val="1"/>
      <w:marLeft w:val="0"/>
      <w:marRight w:val="0"/>
      <w:marTop w:val="0"/>
      <w:marBottom w:val="0"/>
      <w:divBdr>
        <w:top w:val="none" w:sz="0" w:space="0" w:color="auto"/>
        <w:left w:val="none" w:sz="0" w:space="0" w:color="auto"/>
        <w:bottom w:val="none" w:sz="0" w:space="0" w:color="auto"/>
        <w:right w:val="none" w:sz="0" w:space="0" w:color="auto"/>
      </w:divBdr>
    </w:div>
    <w:div w:id="485587700">
      <w:bodyDiv w:val="1"/>
      <w:marLeft w:val="0"/>
      <w:marRight w:val="0"/>
      <w:marTop w:val="0"/>
      <w:marBottom w:val="0"/>
      <w:divBdr>
        <w:top w:val="none" w:sz="0" w:space="0" w:color="auto"/>
        <w:left w:val="none" w:sz="0" w:space="0" w:color="auto"/>
        <w:bottom w:val="none" w:sz="0" w:space="0" w:color="auto"/>
        <w:right w:val="none" w:sz="0" w:space="0" w:color="auto"/>
      </w:divBdr>
    </w:div>
    <w:div w:id="623660347">
      <w:bodyDiv w:val="1"/>
      <w:marLeft w:val="0"/>
      <w:marRight w:val="0"/>
      <w:marTop w:val="0"/>
      <w:marBottom w:val="0"/>
      <w:divBdr>
        <w:top w:val="none" w:sz="0" w:space="0" w:color="auto"/>
        <w:left w:val="none" w:sz="0" w:space="0" w:color="auto"/>
        <w:bottom w:val="none" w:sz="0" w:space="0" w:color="auto"/>
        <w:right w:val="none" w:sz="0" w:space="0" w:color="auto"/>
      </w:divBdr>
    </w:div>
    <w:div w:id="717819943">
      <w:bodyDiv w:val="1"/>
      <w:marLeft w:val="0"/>
      <w:marRight w:val="0"/>
      <w:marTop w:val="0"/>
      <w:marBottom w:val="0"/>
      <w:divBdr>
        <w:top w:val="none" w:sz="0" w:space="0" w:color="auto"/>
        <w:left w:val="none" w:sz="0" w:space="0" w:color="auto"/>
        <w:bottom w:val="none" w:sz="0" w:space="0" w:color="auto"/>
        <w:right w:val="none" w:sz="0" w:space="0" w:color="auto"/>
      </w:divBdr>
    </w:div>
    <w:div w:id="754321672">
      <w:bodyDiv w:val="1"/>
      <w:marLeft w:val="0"/>
      <w:marRight w:val="0"/>
      <w:marTop w:val="0"/>
      <w:marBottom w:val="0"/>
      <w:divBdr>
        <w:top w:val="none" w:sz="0" w:space="0" w:color="auto"/>
        <w:left w:val="none" w:sz="0" w:space="0" w:color="auto"/>
        <w:bottom w:val="none" w:sz="0" w:space="0" w:color="auto"/>
        <w:right w:val="none" w:sz="0" w:space="0" w:color="auto"/>
      </w:divBdr>
    </w:div>
    <w:div w:id="787091659">
      <w:bodyDiv w:val="1"/>
      <w:marLeft w:val="0"/>
      <w:marRight w:val="0"/>
      <w:marTop w:val="0"/>
      <w:marBottom w:val="0"/>
      <w:divBdr>
        <w:top w:val="none" w:sz="0" w:space="0" w:color="auto"/>
        <w:left w:val="none" w:sz="0" w:space="0" w:color="auto"/>
        <w:bottom w:val="none" w:sz="0" w:space="0" w:color="auto"/>
        <w:right w:val="none" w:sz="0" w:space="0" w:color="auto"/>
      </w:divBdr>
    </w:div>
    <w:div w:id="805045992">
      <w:bodyDiv w:val="1"/>
      <w:marLeft w:val="0"/>
      <w:marRight w:val="0"/>
      <w:marTop w:val="0"/>
      <w:marBottom w:val="0"/>
      <w:divBdr>
        <w:top w:val="none" w:sz="0" w:space="0" w:color="auto"/>
        <w:left w:val="none" w:sz="0" w:space="0" w:color="auto"/>
        <w:bottom w:val="none" w:sz="0" w:space="0" w:color="auto"/>
        <w:right w:val="none" w:sz="0" w:space="0" w:color="auto"/>
      </w:divBdr>
    </w:div>
    <w:div w:id="868759902">
      <w:bodyDiv w:val="1"/>
      <w:marLeft w:val="0"/>
      <w:marRight w:val="0"/>
      <w:marTop w:val="0"/>
      <w:marBottom w:val="0"/>
      <w:divBdr>
        <w:top w:val="none" w:sz="0" w:space="0" w:color="auto"/>
        <w:left w:val="none" w:sz="0" w:space="0" w:color="auto"/>
        <w:bottom w:val="none" w:sz="0" w:space="0" w:color="auto"/>
        <w:right w:val="none" w:sz="0" w:space="0" w:color="auto"/>
      </w:divBdr>
    </w:div>
    <w:div w:id="986280065">
      <w:bodyDiv w:val="1"/>
      <w:marLeft w:val="0"/>
      <w:marRight w:val="0"/>
      <w:marTop w:val="0"/>
      <w:marBottom w:val="0"/>
      <w:divBdr>
        <w:top w:val="none" w:sz="0" w:space="0" w:color="auto"/>
        <w:left w:val="none" w:sz="0" w:space="0" w:color="auto"/>
        <w:bottom w:val="none" w:sz="0" w:space="0" w:color="auto"/>
        <w:right w:val="none" w:sz="0" w:space="0" w:color="auto"/>
      </w:divBdr>
    </w:div>
    <w:div w:id="1030834697">
      <w:bodyDiv w:val="1"/>
      <w:marLeft w:val="0"/>
      <w:marRight w:val="0"/>
      <w:marTop w:val="0"/>
      <w:marBottom w:val="0"/>
      <w:divBdr>
        <w:top w:val="none" w:sz="0" w:space="0" w:color="auto"/>
        <w:left w:val="none" w:sz="0" w:space="0" w:color="auto"/>
        <w:bottom w:val="none" w:sz="0" w:space="0" w:color="auto"/>
        <w:right w:val="none" w:sz="0" w:space="0" w:color="auto"/>
      </w:divBdr>
    </w:div>
    <w:div w:id="1045056477">
      <w:bodyDiv w:val="1"/>
      <w:marLeft w:val="0"/>
      <w:marRight w:val="0"/>
      <w:marTop w:val="0"/>
      <w:marBottom w:val="0"/>
      <w:divBdr>
        <w:top w:val="none" w:sz="0" w:space="0" w:color="auto"/>
        <w:left w:val="none" w:sz="0" w:space="0" w:color="auto"/>
        <w:bottom w:val="none" w:sz="0" w:space="0" w:color="auto"/>
        <w:right w:val="none" w:sz="0" w:space="0" w:color="auto"/>
      </w:divBdr>
    </w:div>
    <w:div w:id="1182621405">
      <w:bodyDiv w:val="1"/>
      <w:marLeft w:val="0"/>
      <w:marRight w:val="0"/>
      <w:marTop w:val="0"/>
      <w:marBottom w:val="0"/>
      <w:divBdr>
        <w:top w:val="none" w:sz="0" w:space="0" w:color="auto"/>
        <w:left w:val="none" w:sz="0" w:space="0" w:color="auto"/>
        <w:bottom w:val="none" w:sz="0" w:space="0" w:color="auto"/>
        <w:right w:val="none" w:sz="0" w:space="0" w:color="auto"/>
      </w:divBdr>
      <w:divsChild>
        <w:div w:id="1612131780">
          <w:marLeft w:val="0"/>
          <w:marRight w:val="0"/>
          <w:marTop w:val="0"/>
          <w:marBottom w:val="0"/>
          <w:divBdr>
            <w:top w:val="none" w:sz="0" w:space="0" w:color="auto"/>
            <w:left w:val="none" w:sz="0" w:space="0" w:color="auto"/>
            <w:bottom w:val="none" w:sz="0" w:space="0" w:color="auto"/>
            <w:right w:val="none" w:sz="0" w:space="0" w:color="auto"/>
          </w:divBdr>
          <w:divsChild>
            <w:div w:id="13638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6388">
      <w:bodyDiv w:val="1"/>
      <w:marLeft w:val="0"/>
      <w:marRight w:val="0"/>
      <w:marTop w:val="0"/>
      <w:marBottom w:val="0"/>
      <w:divBdr>
        <w:top w:val="none" w:sz="0" w:space="0" w:color="auto"/>
        <w:left w:val="none" w:sz="0" w:space="0" w:color="auto"/>
        <w:bottom w:val="none" w:sz="0" w:space="0" w:color="auto"/>
        <w:right w:val="none" w:sz="0" w:space="0" w:color="auto"/>
      </w:divBdr>
    </w:div>
    <w:div w:id="1246844319">
      <w:bodyDiv w:val="1"/>
      <w:marLeft w:val="0"/>
      <w:marRight w:val="0"/>
      <w:marTop w:val="0"/>
      <w:marBottom w:val="0"/>
      <w:divBdr>
        <w:top w:val="none" w:sz="0" w:space="0" w:color="auto"/>
        <w:left w:val="none" w:sz="0" w:space="0" w:color="auto"/>
        <w:bottom w:val="none" w:sz="0" w:space="0" w:color="auto"/>
        <w:right w:val="none" w:sz="0" w:space="0" w:color="auto"/>
      </w:divBdr>
    </w:div>
    <w:div w:id="1252085393">
      <w:bodyDiv w:val="1"/>
      <w:marLeft w:val="0"/>
      <w:marRight w:val="0"/>
      <w:marTop w:val="0"/>
      <w:marBottom w:val="0"/>
      <w:divBdr>
        <w:top w:val="none" w:sz="0" w:space="0" w:color="auto"/>
        <w:left w:val="none" w:sz="0" w:space="0" w:color="auto"/>
        <w:bottom w:val="none" w:sz="0" w:space="0" w:color="auto"/>
        <w:right w:val="none" w:sz="0" w:space="0" w:color="auto"/>
      </w:divBdr>
      <w:divsChild>
        <w:div w:id="2134127822">
          <w:marLeft w:val="0"/>
          <w:marRight w:val="0"/>
          <w:marTop w:val="0"/>
          <w:marBottom w:val="0"/>
          <w:divBdr>
            <w:top w:val="none" w:sz="0" w:space="0" w:color="auto"/>
            <w:left w:val="none" w:sz="0" w:space="0" w:color="auto"/>
            <w:bottom w:val="none" w:sz="0" w:space="0" w:color="auto"/>
            <w:right w:val="none" w:sz="0" w:space="0" w:color="auto"/>
          </w:divBdr>
          <w:divsChild>
            <w:div w:id="10103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5118">
      <w:bodyDiv w:val="1"/>
      <w:marLeft w:val="0"/>
      <w:marRight w:val="0"/>
      <w:marTop w:val="0"/>
      <w:marBottom w:val="0"/>
      <w:divBdr>
        <w:top w:val="none" w:sz="0" w:space="0" w:color="auto"/>
        <w:left w:val="none" w:sz="0" w:space="0" w:color="auto"/>
        <w:bottom w:val="none" w:sz="0" w:space="0" w:color="auto"/>
        <w:right w:val="none" w:sz="0" w:space="0" w:color="auto"/>
      </w:divBdr>
    </w:div>
    <w:div w:id="1294558497">
      <w:bodyDiv w:val="1"/>
      <w:marLeft w:val="0"/>
      <w:marRight w:val="0"/>
      <w:marTop w:val="0"/>
      <w:marBottom w:val="0"/>
      <w:divBdr>
        <w:top w:val="none" w:sz="0" w:space="0" w:color="auto"/>
        <w:left w:val="none" w:sz="0" w:space="0" w:color="auto"/>
        <w:bottom w:val="none" w:sz="0" w:space="0" w:color="auto"/>
        <w:right w:val="none" w:sz="0" w:space="0" w:color="auto"/>
      </w:divBdr>
      <w:divsChild>
        <w:div w:id="695542648">
          <w:marLeft w:val="0"/>
          <w:marRight w:val="0"/>
          <w:marTop w:val="0"/>
          <w:marBottom w:val="0"/>
          <w:divBdr>
            <w:top w:val="none" w:sz="0" w:space="0" w:color="auto"/>
            <w:left w:val="none" w:sz="0" w:space="0" w:color="auto"/>
            <w:bottom w:val="none" w:sz="0" w:space="0" w:color="auto"/>
            <w:right w:val="none" w:sz="0" w:space="0" w:color="auto"/>
          </w:divBdr>
          <w:divsChild>
            <w:div w:id="2960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9114">
      <w:bodyDiv w:val="1"/>
      <w:marLeft w:val="0"/>
      <w:marRight w:val="0"/>
      <w:marTop w:val="0"/>
      <w:marBottom w:val="0"/>
      <w:divBdr>
        <w:top w:val="none" w:sz="0" w:space="0" w:color="auto"/>
        <w:left w:val="none" w:sz="0" w:space="0" w:color="auto"/>
        <w:bottom w:val="none" w:sz="0" w:space="0" w:color="auto"/>
        <w:right w:val="none" w:sz="0" w:space="0" w:color="auto"/>
      </w:divBdr>
      <w:divsChild>
        <w:div w:id="254677519">
          <w:marLeft w:val="0"/>
          <w:marRight w:val="0"/>
          <w:marTop w:val="0"/>
          <w:marBottom w:val="0"/>
          <w:divBdr>
            <w:top w:val="none" w:sz="0" w:space="0" w:color="auto"/>
            <w:left w:val="none" w:sz="0" w:space="0" w:color="auto"/>
            <w:bottom w:val="none" w:sz="0" w:space="0" w:color="auto"/>
            <w:right w:val="none" w:sz="0" w:space="0" w:color="auto"/>
          </w:divBdr>
          <w:divsChild>
            <w:div w:id="18132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1307">
      <w:bodyDiv w:val="1"/>
      <w:marLeft w:val="0"/>
      <w:marRight w:val="0"/>
      <w:marTop w:val="0"/>
      <w:marBottom w:val="0"/>
      <w:divBdr>
        <w:top w:val="none" w:sz="0" w:space="0" w:color="auto"/>
        <w:left w:val="none" w:sz="0" w:space="0" w:color="auto"/>
        <w:bottom w:val="none" w:sz="0" w:space="0" w:color="auto"/>
        <w:right w:val="none" w:sz="0" w:space="0" w:color="auto"/>
      </w:divBdr>
    </w:div>
    <w:div w:id="1327513258">
      <w:bodyDiv w:val="1"/>
      <w:marLeft w:val="0"/>
      <w:marRight w:val="0"/>
      <w:marTop w:val="0"/>
      <w:marBottom w:val="0"/>
      <w:divBdr>
        <w:top w:val="none" w:sz="0" w:space="0" w:color="auto"/>
        <w:left w:val="none" w:sz="0" w:space="0" w:color="auto"/>
        <w:bottom w:val="none" w:sz="0" w:space="0" w:color="auto"/>
        <w:right w:val="none" w:sz="0" w:space="0" w:color="auto"/>
      </w:divBdr>
    </w:div>
    <w:div w:id="1370377154">
      <w:bodyDiv w:val="1"/>
      <w:marLeft w:val="0"/>
      <w:marRight w:val="0"/>
      <w:marTop w:val="0"/>
      <w:marBottom w:val="0"/>
      <w:divBdr>
        <w:top w:val="none" w:sz="0" w:space="0" w:color="auto"/>
        <w:left w:val="none" w:sz="0" w:space="0" w:color="auto"/>
        <w:bottom w:val="none" w:sz="0" w:space="0" w:color="auto"/>
        <w:right w:val="none" w:sz="0" w:space="0" w:color="auto"/>
      </w:divBdr>
    </w:div>
    <w:div w:id="1377120482">
      <w:bodyDiv w:val="1"/>
      <w:marLeft w:val="0"/>
      <w:marRight w:val="0"/>
      <w:marTop w:val="0"/>
      <w:marBottom w:val="0"/>
      <w:divBdr>
        <w:top w:val="none" w:sz="0" w:space="0" w:color="auto"/>
        <w:left w:val="none" w:sz="0" w:space="0" w:color="auto"/>
        <w:bottom w:val="none" w:sz="0" w:space="0" w:color="auto"/>
        <w:right w:val="none" w:sz="0" w:space="0" w:color="auto"/>
      </w:divBdr>
    </w:div>
    <w:div w:id="1377969378">
      <w:bodyDiv w:val="1"/>
      <w:marLeft w:val="0"/>
      <w:marRight w:val="0"/>
      <w:marTop w:val="0"/>
      <w:marBottom w:val="0"/>
      <w:divBdr>
        <w:top w:val="none" w:sz="0" w:space="0" w:color="auto"/>
        <w:left w:val="none" w:sz="0" w:space="0" w:color="auto"/>
        <w:bottom w:val="none" w:sz="0" w:space="0" w:color="auto"/>
        <w:right w:val="none" w:sz="0" w:space="0" w:color="auto"/>
      </w:divBdr>
    </w:div>
    <w:div w:id="1380014352">
      <w:bodyDiv w:val="1"/>
      <w:marLeft w:val="0"/>
      <w:marRight w:val="0"/>
      <w:marTop w:val="0"/>
      <w:marBottom w:val="0"/>
      <w:divBdr>
        <w:top w:val="none" w:sz="0" w:space="0" w:color="auto"/>
        <w:left w:val="none" w:sz="0" w:space="0" w:color="auto"/>
        <w:bottom w:val="none" w:sz="0" w:space="0" w:color="auto"/>
        <w:right w:val="none" w:sz="0" w:space="0" w:color="auto"/>
      </w:divBdr>
    </w:div>
    <w:div w:id="1443306763">
      <w:bodyDiv w:val="1"/>
      <w:marLeft w:val="0"/>
      <w:marRight w:val="0"/>
      <w:marTop w:val="0"/>
      <w:marBottom w:val="0"/>
      <w:divBdr>
        <w:top w:val="none" w:sz="0" w:space="0" w:color="auto"/>
        <w:left w:val="none" w:sz="0" w:space="0" w:color="auto"/>
        <w:bottom w:val="none" w:sz="0" w:space="0" w:color="auto"/>
        <w:right w:val="none" w:sz="0" w:space="0" w:color="auto"/>
      </w:divBdr>
    </w:div>
    <w:div w:id="1478956015">
      <w:bodyDiv w:val="1"/>
      <w:marLeft w:val="0"/>
      <w:marRight w:val="0"/>
      <w:marTop w:val="0"/>
      <w:marBottom w:val="0"/>
      <w:divBdr>
        <w:top w:val="none" w:sz="0" w:space="0" w:color="auto"/>
        <w:left w:val="none" w:sz="0" w:space="0" w:color="auto"/>
        <w:bottom w:val="none" w:sz="0" w:space="0" w:color="auto"/>
        <w:right w:val="none" w:sz="0" w:space="0" w:color="auto"/>
      </w:divBdr>
    </w:div>
    <w:div w:id="1846044000">
      <w:bodyDiv w:val="1"/>
      <w:marLeft w:val="0"/>
      <w:marRight w:val="0"/>
      <w:marTop w:val="0"/>
      <w:marBottom w:val="0"/>
      <w:divBdr>
        <w:top w:val="none" w:sz="0" w:space="0" w:color="auto"/>
        <w:left w:val="none" w:sz="0" w:space="0" w:color="auto"/>
        <w:bottom w:val="none" w:sz="0" w:space="0" w:color="auto"/>
        <w:right w:val="none" w:sz="0" w:space="0" w:color="auto"/>
      </w:divBdr>
    </w:div>
    <w:div w:id="1861891972">
      <w:bodyDiv w:val="1"/>
      <w:marLeft w:val="0"/>
      <w:marRight w:val="0"/>
      <w:marTop w:val="0"/>
      <w:marBottom w:val="0"/>
      <w:divBdr>
        <w:top w:val="none" w:sz="0" w:space="0" w:color="auto"/>
        <w:left w:val="none" w:sz="0" w:space="0" w:color="auto"/>
        <w:bottom w:val="none" w:sz="0" w:space="0" w:color="auto"/>
        <w:right w:val="none" w:sz="0" w:space="0" w:color="auto"/>
      </w:divBdr>
    </w:div>
    <w:div w:id="1883832815">
      <w:bodyDiv w:val="1"/>
      <w:marLeft w:val="0"/>
      <w:marRight w:val="0"/>
      <w:marTop w:val="0"/>
      <w:marBottom w:val="0"/>
      <w:divBdr>
        <w:top w:val="none" w:sz="0" w:space="0" w:color="auto"/>
        <w:left w:val="none" w:sz="0" w:space="0" w:color="auto"/>
        <w:bottom w:val="none" w:sz="0" w:space="0" w:color="auto"/>
        <w:right w:val="none" w:sz="0" w:space="0" w:color="auto"/>
      </w:divBdr>
    </w:div>
    <w:div w:id="1892811183">
      <w:bodyDiv w:val="1"/>
      <w:marLeft w:val="0"/>
      <w:marRight w:val="0"/>
      <w:marTop w:val="0"/>
      <w:marBottom w:val="0"/>
      <w:divBdr>
        <w:top w:val="none" w:sz="0" w:space="0" w:color="auto"/>
        <w:left w:val="none" w:sz="0" w:space="0" w:color="auto"/>
        <w:bottom w:val="none" w:sz="0" w:space="0" w:color="auto"/>
        <w:right w:val="none" w:sz="0" w:space="0" w:color="auto"/>
      </w:divBdr>
    </w:div>
    <w:div w:id="1946113143">
      <w:bodyDiv w:val="1"/>
      <w:marLeft w:val="0"/>
      <w:marRight w:val="0"/>
      <w:marTop w:val="0"/>
      <w:marBottom w:val="0"/>
      <w:divBdr>
        <w:top w:val="none" w:sz="0" w:space="0" w:color="auto"/>
        <w:left w:val="none" w:sz="0" w:space="0" w:color="auto"/>
        <w:bottom w:val="none" w:sz="0" w:space="0" w:color="auto"/>
        <w:right w:val="none" w:sz="0" w:space="0" w:color="auto"/>
      </w:divBdr>
    </w:div>
    <w:div w:id="1953366291">
      <w:bodyDiv w:val="1"/>
      <w:marLeft w:val="0"/>
      <w:marRight w:val="0"/>
      <w:marTop w:val="0"/>
      <w:marBottom w:val="0"/>
      <w:divBdr>
        <w:top w:val="none" w:sz="0" w:space="0" w:color="auto"/>
        <w:left w:val="none" w:sz="0" w:space="0" w:color="auto"/>
        <w:bottom w:val="none" w:sz="0" w:space="0" w:color="auto"/>
        <w:right w:val="none" w:sz="0" w:space="0" w:color="auto"/>
      </w:divBdr>
    </w:div>
    <w:div w:id="1994330337">
      <w:bodyDiv w:val="1"/>
      <w:marLeft w:val="0"/>
      <w:marRight w:val="0"/>
      <w:marTop w:val="0"/>
      <w:marBottom w:val="0"/>
      <w:divBdr>
        <w:top w:val="none" w:sz="0" w:space="0" w:color="auto"/>
        <w:left w:val="none" w:sz="0" w:space="0" w:color="auto"/>
        <w:bottom w:val="none" w:sz="0" w:space="0" w:color="auto"/>
        <w:right w:val="none" w:sz="0" w:space="0" w:color="auto"/>
      </w:divBdr>
    </w:div>
    <w:div w:id="2064870509">
      <w:bodyDiv w:val="1"/>
      <w:marLeft w:val="0"/>
      <w:marRight w:val="0"/>
      <w:marTop w:val="0"/>
      <w:marBottom w:val="0"/>
      <w:divBdr>
        <w:top w:val="none" w:sz="0" w:space="0" w:color="auto"/>
        <w:left w:val="none" w:sz="0" w:space="0" w:color="auto"/>
        <w:bottom w:val="none" w:sz="0" w:space="0" w:color="auto"/>
        <w:right w:val="none" w:sz="0" w:space="0" w:color="auto"/>
      </w:divBdr>
      <w:divsChild>
        <w:div w:id="1211767780">
          <w:marLeft w:val="0"/>
          <w:marRight w:val="0"/>
          <w:marTop w:val="0"/>
          <w:marBottom w:val="0"/>
          <w:divBdr>
            <w:top w:val="none" w:sz="0" w:space="0" w:color="auto"/>
            <w:left w:val="none" w:sz="0" w:space="0" w:color="auto"/>
            <w:bottom w:val="none" w:sz="0" w:space="0" w:color="auto"/>
            <w:right w:val="none" w:sz="0" w:space="0" w:color="auto"/>
          </w:divBdr>
          <w:divsChild>
            <w:div w:id="6793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2390">
      <w:bodyDiv w:val="1"/>
      <w:marLeft w:val="0"/>
      <w:marRight w:val="0"/>
      <w:marTop w:val="0"/>
      <w:marBottom w:val="0"/>
      <w:divBdr>
        <w:top w:val="none" w:sz="0" w:space="0" w:color="auto"/>
        <w:left w:val="none" w:sz="0" w:space="0" w:color="auto"/>
        <w:bottom w:val="none" w:sz="0" w:space="0" w:color="auto"/>
        <w:right w:val="none" w:sz="0" w:space="0" w:color="auto"/>
      </w:divBdr>
    </w:div>
    <w:div w:id="21355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hyperlink" Target="https://ec.europa.eu/info/law/better-regulation/initiatives/ares-2018-1378074_en" TargetMode="External"/><Relationship Id="rId42" Type="http://schemas.openxmlformats.org/officeDocument/2006/relationships/header" Target="header14.xml"/><Relationship Id="rId47" Type="http://schemas.openxmlformats.org/officeDocument/2006/relationships/image" Target="media/image6.png"/><Relationship Id="rId50" Type="http://schemas.openxmlformats.org/officeDocument/2006/relationships/chart" Target="charts/chart2.xml"/><Relationship Id="rId55" Type="http://schemas.openxmlformats.org/officeDocument/2006/relationships/header" Target="header18.xml"/><Relationship Id="rId63" Type="http://schemas.openxmlformats.org/officeDocument/2006/relationships/header" Target="header22.xml"/><Relationship Id="rId68" Type="http://schemas.openxmlformats.org/officeDocument/2006/relationships/footer" Target="footer24.xml"/><Relationship Id="rId76" Type="http://schemas.openxmlformats.org/officeDocument/2006/relationships/chart" Target="charts/chart4.xml"/><Relationship Id="rId84" Type="http://schemas.openxmlformats.org/officeDocument/2006/relationships/header" Target="header29.xm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25.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footer" Target="footer16.xml"/><Relationship Id="rId58" Type="http://schemas.openxmlformats.org/officeDocument/2006/relationships/header" Target="header20.xml"/><Relationship Id="rId66" Type="http://schemas.openxmlformats.org/officeDocument/2006/relationships/footer" Target="footer23.xml"/><Relationship Id="rId74" Type="http://schemas.openxmlformats.org/officeDocument/2006/relationships/footer" Target="footer27.xml"/><Relationship Id="rId79" Type="http://schemas.openxmlformats.org/officeDocument/2006/relationships/chart" Target="charts/chart7.xml"/><Relationship Id="rId87" Type="http://schemas.openxmlformats.org/officeDocument/2006/relationships/header" Target="header30.xml"/><Relationship Id="rId5" Type="http://schemas.openxmlformats.org/officeDocument/2006/relationships/numbering" Target="numbering.xml"/><Relationship Id="rId61" Type="http://schemas.openxmlformats.org/officeDocument/2006/relationships/header" Target="header21.xml"/><Relationship Id="rId82" Type="http://schemas.openxmlformats.org/officeDocument/2006/relationships/image" Target="media/image10.png"/><Relationship Id="rId90" Type="http://schemas.openxmlformats.org/officeDocument/2006/relationships/theme" Target="theme/theme1.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image" Target="media/image2.emf"/><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chart" Target="charts/chart1.xml"/><Relationship Id="rId56" Type="http://schemas.openxmlformats.org/officeDocument/2006/relationships/footer" Target="footer18.xml"/><Relationship Id="rId64" Type="http://schemas.openxmlformats.org/officeDocument/2006/relationships/header" Target="header23.xml"/><Relationship Id="rId69" Type="http://schemas.openxmlformats.org/officeDocument/2006/relationships/header" Target="header25.xml"/><Relationship Id="rId77" Type="http://schemas.openxmlformats.org/officeDocument/2006/relationships/chart" Target="charts/chart5.xml"/><Relationship Id="rId8" Type="http://schemas.openxmlformats.org/officeDocument/2006/relationships/webSettings" Target="webSettings.xml"/><Relationship Id="rId51" Type="http://schemas.openxmlformats.org/officeDocument/2006/relationships/header" Target="header16.xml"/><Relationship Id="rId72" Type="http://schemas.openxmlformats.org/officeDocument/2006/relationships/footer" Target="footer26.xml"/><Relationship Id="rId80" Type="http://schemas.openxmlformats.org/officeDocument/2006/relationships/image" Target="media/image8.png"/><Relationship Id="rId85" Type="http://schemas.openxmlformats.org/officeDocument/2006/relationships/footer" Target="footer2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image" Target="media/image5.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oter" Target="footer19.xml"/><Relationship Id="rId67" Type="http://schemas.openxmlformats.org/officeDocument/2006/relationships/header" Target="header24.xml"/><Relationship Id="rId20" Type="http://schemas.openxmlformats.org/officeDocument/2006/relationships/footer" Target="footer4.xml"/><Relationship Id="rId41" Type="http://schemas.openxmlformats.org/officeDocument/2006/relationships/header" Target="header13.xml"/><Relationship Id="rId54" Type="http://schemas.openxmlformats.org/officeDocument/2006/relationships/footer" Target="footer17.xml"/><Relationship Id="rId62" Type="http://schemas.openxmlformats.org/officeDocument/2006/relationships/footer" Target="footer21.xml"/><Relationship Id="rId70" Type="http://schemas.openxmlformats.org/officeDocument/2006/relationships/header" Target="header26.xml"/><Relationship Id="rId75" Type="http://schemas.openxmlformats.org/officeDocument/2006/relationships/chart" Target="charts/chart3.xml"/><Relationship Id="rId83" Type="http://schemas.openxmlformats.org/officeDocument/2006/relationships/header" Target="header28.xml"/><Relationship Id="rId88"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1.xml"/><Relationship Id="rId49" Type="http://schemas.openxmlformats.org/officeDocument/2006/relationships/image" Target="media/image7.emf"/><Relationship Id="rId57" Type="http://schemas.openxmlformats.org/officeDocument/2006/relationships/header" Target="header19.xm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header" Target="header17.xml"/><Relationship Id="rId60" Type="http://schemas.openxmlformats.org/officeDocument/2006/relationships/footer" Target="footer20.xml"/><Relationship Id="rId65" Type="http://schemas.openxmlformats.org/officeDocument/2006/relationships/footer" Target="footer22.xml"/><Relationship Id="rId73" Type="http://schemas.openxmlformats.org/officeDocument/2006/relationships/header" Target="header27.xml"/><Relationship Id="rId78" Type="http://schemas.openxmlformats.org/officeDocument/2006/relationships/chart" Target="charts/chart6.xml"/><Relationship Id="rId81" Type="http://schemas.openxmlformats.org/officeDocument/2006/relationships/image" Target="media/image9.png"/><Relationship Id="rId86" Type="http://schemas.openxmlformats.org/officeDocument/2006/relationships/footer" Target="footer29.xml"/></Relationships>
</file>

<file path=word/_rels/footnotes.xml.rels><?xml version="1.0" encoding="UTF-8" standalone="yes"?>
<Relationships xmlns="http://schemas.openxmlformats.org/package/2006/relationships"><Relationship Id="rId26" Type="http://schemas.openxmlformats.org/officeDocument/2006/relationships/hyperlink" Target="https://ec.europa.eu/transparencyregister/public/homePage.do" TargetMode="External"/><Relationship Id="rId117" Type="http://schemas.openxmlformats.org/officeDocument/2006/relationships/hyperlink" Target="https://data.consilium.europa.eu/doc/document/ST-10000-2007-INIT/en/pdf" TargetMode="External"/><Relationship Id="rId21" Type="http://schemas.openxmlformats.org/officeDocument/2006/relationships/hyperlink" Target="https://ec.europa.eu/info/law/better-regulation/have-your-say/initiatives/12614-EU-police-cooperation-code-tackling-cross-border-serious-&amp;-organised-crime_en" TargetMode="External"/><Relationship Id="rId42" Type="http://schemas.openxmlformats.org/officeDocument/2006/relationships/hyperlink" Target="https://op.europa.eu/en/publication-detail/-/publication/30af2b54-3f4d-11eb-b27b-01aa75ed71a1/language-en" TargetMode="External"/><Relationship Id="rId47" Type="http://schemas.openxmlformats.org/officeDocument/2006/relationships/hyperlink" Target="https://data.consilium.europa.eu/doc/document/ST-13887-2020-INIT/en/pdf" TargetMode="External"/><Relationship Id="rId63" Type="http://schemas.openxmlformats.org/officeDocument/2006/relationships/hyperlink" Target="https://www.dw.com/en/covid-aid-germany-uncovers-over-25000-cases-of-fraud/a-56565754" TargetMode="External"/><Relationship Id="rId68" Type="http://schemas.openxmlformats.org/officeDocument/2006/relationships/hyperlink" Target="https://www.bbc.com/news/world-europe-36515575" TargetMode="External"/><Relationship Id="rId84" Type="http://schemas.openxmlformats.org/officeDocument/2006/relationships/hyperlink" Target="https://www.europol.europa.eu/newsroom/news/customs-thwart-illegal-cigarette-trade-in-eu-and-uk-17-arrests-and-67-million-cigarettes-seized" TargetMode="External"/><Relationship Id="rId89" Type="http://schemas.openxmlformats.org/officeDocument/2006/relationships/hyperlink" Target="https://www.europol.europa.eu/publications-documents/exploring-tomorrow%E2%80%99s-organised-crime" TargetMode="External"/><Relationship Id="rId112" Type="http://schemas.openxmlformats.org/officeDocument/2006/relationships/hyperlink" Target="https://eur-lex.europa.eu/legal-content/EN/TXT/?uri=CELEX%3A32008D0616" TargetMode="External"/><Relationship Id="rId133" Type="http://schemas.openxmlformats.org/officeDocument/2006/relationships/hyperlink" Target="https://eur-lex.europa.eu/legal-content/EN/ALL/?uri=LEGISSUM:l33051" TargetMode="External"/><Relationship Id="rId16" Type="http://schemas.openxmlformats.org/officeDocument/2006/relationships/hyperlink" Target="https://eur-lex.europa.eu/legal-content/EN/TXT/PDF/?uri=CELEX:32017H0820&amp;from=EN" TargetMode="External"/><Relationship Id="rId107" Type="http://schemas.openxmlformats.org/officeDocument/2006/relationships/hyperlink" Target="https://www.bbc.com/news/world-europe-34818994" TargetMode="External"/><Relationship Id="rId11" Type="http://schemas.openxmlformats.org/officeDocument/2006/relationships/hyperlink" Target="https://data.consilium.europa.eu/doc/document/ST-13083-2020-REV-1/en/pdf" TargetMode="External"/><Relationship Id="rId32" Type="http://schemas.openxmlformats.org/officeDocument/2006/relationships/hyperlink" Target="https://doi.org/10.1016/B978-0-08-097086-8.45091-9" TargetMode="External"/><Relationship Id="rId37" Type="http://schemas.openxmlformats.org/officeDocument/2006/relationships/hyperlink" Target="https://ec.europa.eu/eurostat/web/products-eurostat-news/-/ddn-20210315-2?redirect=%2Feurostat%2Fweb%2Fcovid-19%2Fagriculture-energy-transport-tourism" TargetMode="External"/><Relationship Id="rId53" Type="http://schemas.openxmlformats.org/officeDocument/2006/relationships/hyperlink" Target="https://ec.europa.eu/eurostat/databrowser/view/tec00001/default/line?lang=en" TargetMode="External"/><Relationship Id="rId58" Type="http://schemas.openxmlformats.org/officeDocument/2006/relationships/hyperlink" Target="https://www.europol.europa.eu/activities-services/main-reports/internet-organised-crime-threat-assessment-iocta-2020" TargetMode="External"/><Relationship Id="rId74" Type="http://schemas.openxmlformats.org/officeDocument/2006/relationships/hyperlink" Target="https://ec.europa.eu/eurostat/databrowser/view/tour_occ_nim/default/table?lang=en" TargetMode="External"/><Relationship Id="rId79" Type="http://schemas.openxmlformats.org/officeDocument/2006/relationships/hyperlink" Target="https://www.europol.europa.eu/activities-services/main-reports/internet-organised-crime-threat-assessment-iocta-2020" TargetMode="External"/><Relationship Id="rId102" Type="http://schemas.openxmlformats.org/officeDocument/2006/relationships/hyperlink" Target="https://www.dw.com/en/after-g20-a-look-at-left-wing-radicalism-in-europe/a-39629507" TargetMode="External"/><Relationship Id="rId123" Type="http://schemas.openxmlformats.org/officeDocument/2006/relationships/hyperlink" Target="https://eur-lex.europa.eu/legal-content/IT/ALL/?uri=CELEX%3A32005D0671" TargetMode="External"/><Relationship Id="rId128" Type="http://schemas.openxmlformats.org/officeDocument/2006/relationships/hyperlink" Target="https://data.consilium.europa.eu/doc/document/ST-5825-2020-INIT/en/pdf" TargetMode="External"/><Relationship Id="rId5" Type="http://schemas.openxmlformats.org/officeDocument/2006/relationships/hyperlink" Target="https://data.consilium.europa.eu/doc/document/ST-14755-2012-REV-1/en/pdf" TargetMode="External"/><Relationship Id="rId90" Type="http://schemas.openxmlformats.org/officeDocument/2006/relationships/hyperlink" Target="https://ec.europa.eu/home-affairs/what-we-do/policies/organized-crime-and-human-trafficking/trafficking-in-firearms_en" TargetMode="External"/><Relationship Id="rId95" Type="http://schemas.openxmlformats.org/officeDocument/2006/relationships/hyperlink" Target="https://digital-strategy.ec.europa.eu/en/library/proposal-regulation-laying-down-harmonised-rules-artificial-intelligence-artificial-intelligence" TargetMode="External"/><Relationship Id="rId14" Type="http://schemas.openxmlformats.org/officeDocument/2006/relationships/hyperlink" Target="https://ec.europa.eu/home-affairs/sites/default/files/pdf/14042021_eu_strategy_to_tackle_organised_crime_2021-2025_com-2021-170-1_en.pdf" TargetMode="External"/><Relationship Id="rId22" Type="http://schemas.openxmlformats.org/officeDocument/2006/relationships/hyperlink" Target="https://ec.europa.eu/info/law/better-regulation/have-your-say/initiatives/12614-EU-police-cooperation-code-tackling-cross-border-serious-&amp;-organised-crime_en" TargetMode="External"/><Relationship Id="rId27" Type="http://schemas.openxmlformats.org/officeDocument/2006/relationships/hyperlink" Target="https://digital-strategy.ec.europa.eu/en/library/impact-assessment-support-study-revision-public-sector-information-directive" TargetMode="External"/><Relationship Id="rId30" Type="http://schemas.openxmlformats.org/officeDocument/2006/relationships/hyperlink" Target="https://doi.org/10.1007/978-3-030-62728-7_4" TargetMode="External"/><Relationship Id="rId35" Type="http://schemas.openxmlformats.org/officeDocument/2006/relationships/hyperlink" Target="https://data.consilium.europa.eu/doc/document/ST-12280-2020-INIT/en/pdf" TargetMode="External"/><Relationship Id="rId43" Type="http://schemas.openxmlformats.org/officeDocument/2006/relationships/hyperlink" Target="https://ec.europa.eu/eurostat/statistics-explained/index.php/EU_citizens_living_in_another_Member_State_-_statistical_overview" TargetMode="External"/><Relationship Id="rId48" Type="http://schemas.openxmlformats.org/officeDocument/2006/relationships/hyperlink" Target="https://eur-lex.europa.eu/legal-content/EN/TXT/PDF/?uri=CELEX:32016G1129(01)&amp;from=EN" TargetMode="External"/><Relationship Id="rId56" Type="http://schemas.openxmlformats.org/officeDocument/2006/relationships/hyperlink" Target="https://www.eurofound.europa.eu/sites/default/files/ef_publication/field_ef_document/ef20059en.pdf" TargetMode="External"/><Relationship Id="rId64" Type="http://schemas.openxmlformats.org/officeDocument/2006/relationships/hyperlink" Target="https://www.emcdda.europa.eu/system/files/publications/13838/TDAT21001ENN.pdf" TargetMode="External"/><Relationship Id="rId69" Type="http://schemas.openxmlformats.org/officeDocument/2006/relationships/hyperlink" Target="https://www.bbc.com/news/world-europe-34818994" TargetMode="External"/><Relationship Id="rId77" Type="http://schemas.openxmlformats.org/officeDocument/2006/relationships/hyperlink" Target="https://www.voanews.com/europe/along-covid-frances-hospitals-battle-cyberattacks" TargetMode="External"/><Relationship Id="rId100" Type="http://schemas.openxmlformats.org/officeDocument/2006/relationships/hyperlink" Target="https://www.bbc.com/news/world-europe-36515575" TargetMode="External"/><Relationship Id="rId105" Type="http://schemas.openxmlformats.org/officeDocument/2006/relationships/hyperlink" Target="https://www.theguardian.com/cities/2019/apr/30/sinking-city-how-venice-is-managing-europes-worst-tourism-crisis" TargetMode="External"/><Relationship Id="rId113" Type="http://schemas.openxmlformats.org/officeDocument/2006/relationships/hyperlink" Target="http://data.europa.eu/eli/dec_framw/2006/960/oj" TargetMode="External"/><Relationship Id="rId118" Type="http://schemas.openxmlformats.org/officeDocument/2006/relationships/hyperlink" Target="https://eur-lex.europa.eu/legal-content/en/TXT/?uri=CELEX%3A32018R1862" TargetMode="External"/><Relationship Id="rId126" Type="http://schemas.openxmlformats.org/officeDocument/2006/relationships/hyperlink" Target="https://eur-lex.europa.eu/legal-content/EN/TXT/?uri=celex%3A32009D0917" TargetMode="External"/><Relationship Id="rId8" Type="http://schemas.openxmlformats.org/officeDocument/2006/relationships/hyperlink" Target="https://eur-lex.europa.eu/legal-content/EN/TXT/PDF/?uri=CELEX:52020SC0327&amp;from=EN" TargetMode="External"/><Relationship Id="rId51" Type="http://schemas.openxmlformats.org/officeDocument/2006/relationships/hyperlink" Target="https://www.emcdda.europa.eu/system/files/publications/12078/20192630_TD0319332ENN_PDF.pdf" TargetMode="External"/><Relationship Id="rId72" Type="http://schemas.openxmlformats.org/officeDocument/2006/relationships/hyperlink" Target="https://ec.europa.eu/eurostat/web/products-eurostat-news/-/ddn-20210315-2?redirect=%2Feurostat%2Fweb%2Fcovid-19%2Fagriculture-energy-transport-tourism" TargetMode="External"/><Relationship Id="rId80" Type="http://schemas.openxmlformats.org/officeDocument/2006/relationships/hyperlink" Target="https://www.europol.europa.eu/activities-services/main-reports/internet-organised-crime-threat-assessment-iocta-2020" TargetMode="External"/><Relationship Id="rId85" Type="http://schemas.openxmlformats.org/officeDocument/2006/relationships/hyperlink" Target="https://ec.europa.eu/anti-trafficking/sites/default/files/study_on_data_collection_on_trafficking_in_human_beings_in_the_eu.pdf" TargetMode="External"/><Relationship Id="rId93" Type="http://schemas.openxmlformats.org/officeDocument/2006/relationships/hyperlink" Target="https://www.europol.europa.eu/publications-documents/exploring-tomorrow%E2%80%99s-organised-crime" TargetMode="External"/><Relationship Id="rId98" Type="http://schemas.openxmlformats.org/officeDocument/2006/relationships/hyperlink" Target="https://digital-strategy.ec.europa.eu/en/library/proposal-regulation-laying-down-harmonised-rules-artificial-intelligence-artificial-intelligence" TargetMode="External"/><Relationship Id="rId121" Type="http://schemas.openxmlformats.org/officeDocument/2006/relationships/hyperlink" Target="https://data.consilium.europa.eu/doc/document/ST-9105-2011-INIT/en/pdf" TargetMode="External"/><Relationship Id="rId3" Type="http://schemas.openxmlformats.org/officeDocument/2006/relationships/hyperlink" Target="https://oeil.secure.europarl.europa.eu/oeil/popups/ficheprocedure.do?lang=en&amp;reference=2020/2791(RSP)" TargetMode="External"/><Relationship Id="rId12" Type="http://schemas.openxmlformats.org/officeDocument/2006/relationships/hyperlink" Target="https://eur-lex.europa.eu/legal-content/EN/TXT/?qid=1596452256370&amp;uri=CELEX:52020DC0605" TargetMode="External"/><Relationship Id="rId17" Type="http://schemas.openxmlformats.org/officeDocument/2006/relationships/hyperlink" Target="https://eur-lex.europa.eu/legal-content/EN/TXT/PDF/?uri=CELEX:52020SC0327&amp;from=EN" TargetMode="External"/><Relationship Id="rId25" Type="http://schemas.openxmlformats.org/officeDocument/2006/relationships/hyperlink" Target="https://www.ris.bka.gv.at/GeltendeFassung.wxe?Abfrage=Bundesnormen&amp;Gesetzesnummer=20005062" TargetMode="External"/><Relationship Id="rId33" Type="http://schemas.openxmlformats.org/officeDocument/2006/relationships/hyperlink" Target="https://www.europarl.europa.eu/RegData/etudes/etudes/join/2013/493018/IPOL-JOIN_ET(2013)493018_EN.pdf" TargetMode="External"/><Relationship Id="rId38" Type="http://schemas.openxmlformats.org/officeDocument/2006/relationships/hyperlink" Target="https://ec.europa.eu/eurostat/cache/digpub/eumove/bloc-2c.html?lang=en" TargetMode="External"/><Relationship Id="rId46" Type="http://schemas.openxmlformats.org/officeDocument/2006/relationships/hyperlink" Target="https://www.bbc.com/news/uk-england-wiltshire-56263107" TargetMode="External"/><Relationship Id="rId59" Type="http://schemas.openxmlformats.org/officeDocument/2006/relationships/hyperlink" Target="http://www.unicri.it/sites/default/files/2020-07/UNICRI-INTERPOL_Report_Towards_Responsible_AI_Innovation_0.pdf" TargetMode="External"/><Relationship Id="rId67" Type="http://schemas.openxmlformats.org/officeDocument/2006/relationships/hyperlink" Target="https://www.emcdda.europa.eu/system/files/publications/12078/20192630_TD0319332ENN_PDF.pdf" TargetMode="External"/><Relationship Id="rId103" Type="http://schemas.openxmlformats.org/officeDocument/2006/relationships/hyperlink" Target="https://ec.europa.eu/eurostat/databrowser/view/tour_occ_nim/default/table?lang=en" TargetMode="External"/><Relationship Id="rId108" Type="http://schemas.openxmlformats.org/officeDocument/2006/relationships/hyperlink" Target="https://ec.europa.eu/home-affairs/sites/default/files/pdf/09122020_communication_commission_european_parliament_the_council_eu_agenda_counter_terrorism_po-2020-9031_com-2020_795_en.pdf" TargetMode="External"/><Relationship Id="rId116" Type="http://schemas.openxmlformats.org/officeDocument/2006/relationships/hyperlink" Target="https://eur-lex.europa.eu/legal-content/EN/TXT/?uri=celex:32006F0960" TargetMode="External"/><Relationship Id="rId124" Type="http://schemas.openxmlformats.org/officeDocument/2006/relationships/hyperlink" Target="https://eur-lex.europa.eu/legal-content/EN/ALL/?uri=CELEX%3A32003D0170" TargetMode="External"/><Relationship Id="rId129" Type="http://schemas.openxmlformats.org/officeDocument/2006/relationships/hyperlink" Target="https://data.consilium.europa.eu/doc/document/ST-9512-2010-INIT/en/pdf" TargetMode="External"/><Relationship Id="rId20" Type="http://schemas.openxmlformats.org/officeDocument/2006/relationships/hyperlink" Target="https://ec.europa.eu/info/law/better-regulation/have-your-say/initiatives/12614-EU-police-cooperation-code-tackling-cross-border-serious-&amp;-organised-crime/feedback_en?p_id=8587933" TargetMode="External"/><Relationship Id="rId41" Type="http://schemas.openxmlformats.org/officeDocument/2006/relationships/hyperlink" Target="https://ec.europa.eu/eurostat/cache/digpub/eumove/images/pdf/PeopleOnTheMove-DigitalPublication-2020_en.pdf?lang=en" TargetMode="External"/><Relationship Id="rId54" Type="http://schemas.openxmlformats.org/officeDocument/2006/relationships/hyperlink" Target="https://www.tagesspiegel.de/berlin/prozessauftakt-in-berlin-so-funktioniert-das-netzwerk-der-taschendiebe/13619548.html" TargetMode="External"/><Relationship Id="rId62" Type="http://schemas.openxmlformats.org/officeDocument/2006/relationships/hyperlink" Target="https://www.europol.europa.eu/activities-services/main-reports/internet-organised-crime-threat-assessment-iocta-2020" TargetMode="External"/><Relationship Id="rId70" Type="http://schemas.openxmlformats.org/officeDocument/2006/relationships/hyperlink" Target="https://ec.europa.eu/home-affairs/sites/default/files/pdf/09122020_communication_commission_european_parliament_the_council_eu_agenda_counter_terrorism_po-2020-9031_com-2020_795_en.pdf" TargetMode="External"/><Relationship Id="rId75" Type="http://schemas.openxmlformats.org/officeDocument/2006/relationships/hyperlink" Target="https://www.bbc.com/news/uk-england-wiltshire-56263107" TargetMode="External"/><Relationship Id="rId83" Type="http://schemas.openxmlformats.org/officeDocument/2006/relationships/hyperlink" Target="https://www.ndr.de/nachrichten/info/epg/NDR-Info-Hintergrund,sendung1130964.html" TargetMode="External"/><Relationship Id="rId88" Type="http://schemas.openxmlformats.org/officeDocument/2006/relationships/hyperlink" Target="https://www.europol.europa.eu/newsroom/news/covid-19-waste-crime-europe-wide-operation-to-tackle-unlawful-sanitary-waste-disposal" TargetMode="External"/><Relationship Id="rId91" Type="http://schemas.openxmlformats.org/officeDocument/2006/relationships/hyperlink" Target="https://www.europol.europa.eu/publications-documents/exploring-tomorrow%E2%80%99s-organised-crime" TargetMode="External"/><Relationship Id="rId96" Type="http://schemas.openxmlformats.org/officeDocument/2006/relationships/hyperlink" Target="https://www.interpol.int/News-and-Events/News/2020/Artificial-Intelligence-and-law-enforcement-challenges-and-opportunities" TargetMode="External"/><Relationship Id="rId111" Type="http://schemas.openxmlformats.org/officeDocument/2006/relationships/hyperlink" Target="http://data.europa.eu/eli/dec/2008/615/oj." TargetMode="External"/><Relationship Id="rId132" Type="http://schemas.openxmlformats.org/officeDocument/2006/relationships/hyperlink" Target="https://eur-lex.europa.eu/legal-content/EN/ALL/?uri=CELEX%3A32002D0348" TargetMode="External"/><Relationship Id="rId1" Type="http://schemas.openxmlformats.org/officeDocument/2006/relationships/hyperlink" Target="https://ec.europa.eu/regional_policy/sources/docoffic/2014/boosting_growth/com_boosting_borders.pdf" TargetMode="External"/><Relationship Id="rId6" Type="http://schemas.openxmlformats.org/officeDocument/2006/relationships/hyperlink" Target="https://ec.europa.eu/home-affairs/sites/homeaffairs/files/doc_centre/police/docs/icmpd_study_lea_infoex.pdf" TargetMode="External"/><Relationship Id="rId15" Type="http://schemas.openxmlformats.org/officeDocument/2006/relationships/hyperlink" Target="https://data.consilium.europa.eu/doc/document/ST-13083-2020-REV-1/en/pdf" TargetMode="External"/><Relationship Id="rId23" Type="http://schemas.openxmlformats.org/officeDocument/2006/relationships/hyperlink" Target="https://ec.europa.eu/eurostat/databrowser/view/tps00001/default/table?lang=en" TargetMode="External"/><Relationship Id="rId28" Type="http://schemas.openxmlformats.org/officeDocument/2006/relationships/hyperlink" Target="https://www.bundeshaushalt.de/fileadmin/de.bundeshaushalt/content_de/dokumente/2020/soll/epl06.pdf" TargetMode="External"/><Relationship Id="rId36" Type="http://schemas.openxmlformats.org/officeDocument/2006/relationships/hyperlink" Target="https://ec.europa.eu/eurostat/cache/digpub/eumove/bloc-2c.html?lang=en" TargetMode="External"/><Relationship Id="rId49" Type="http://schemas.openxmlformats.org/officeDocument/2006/relationships/hyperlink" Target="https://ec.europa.eu/eurostat/statistics-explained/index.php?title=Main_goods_in_extra-EU_imports" TargetMode="External"/><Relationship Id="rId57" Type="http://schemas.openxmlformats.org/officeDocument/2006/relationships/hyperlink" Target="https://www.europol.europa.eu/activities-services/main-reports/european-union-serious-and-organised-crime-threat-assessment-2017" TargetMode="External"/><Relationship Id="rId106" Type="http://schemas.openxmlformats.org/officeDocument/2006/relationships/hyperlink" Target="https://www.vox.com/the-goods/2019/4/4/18293965/game-of-thrones-tourism-croatia-iceland-ireland-spain" TargetMode="External"/><Relationship Id="rId114" Type="http://schemas.openxmlformats.org/officeDocument/2006/relationships/hyperlink" Target="https://eur-lex.europa.eu/legal-content/EN/TXT/?uri=CELEX%3A32006D0560" TargetMode="External"/><Relationship Id="rId119" Type="http://schemas.openxmlformats.org/officeDocument/2006/relationships/hyperlink" Target="https://eur-lex.europa.eu/legal-content/EN/TXT/?uri=CELEX%3A32019R0818" TargetMode="External"/><Relationship Id="rId127" Type="http://schemas.openxmlformats.org/officeDocument/2006/relationships/hyperlink" Target="https://eur-lex.europa.eu/legal-content/EN/ALL/?uri=celex%3A31997R0515" TargetMode="External"/><Relationship Id="rId10" Type="http://schemas.openxmlformats.org/officeDocument/2006/relationships/hyperlink" Target="https://www.europol.europa.eu/activities-services/services-support/information-exchange/secure-information-exchange-network-application-siena" TargetMode="External"/><Relationship Id="rId31" Type="http://schemas.openxmlformats.org/officeDocument/2006/relationships/hyperlink" Target="https://doi.org/10.1007/s10610-017-9355-0" TargetMode="External"/><Relationship Id="rId44" Type="http://schemas.openxmlformats.org/officeDocument/2006/relationships/hyperlink" Target="https://ec.europa.eu/eurostat/databrowser/view/tin00175/default/line?lang=en" TargetMode="External"/><Relationship Id="rId52" Type="http://schemas.openxmlformats.org/officeDocument/2006/relationships/hyperlink" Target="https://ec.europa.eu/eurostat/databrowser/view/tec00001/default/line?lang=en" TargetMode="External"/><Relationship Id="rId60" Type="http://schemas.openxmlformats.org/officeDocument/2006/relationships/hyperlink" Target="https://www.europol.europa.eu/publications-documents/exploring-tomorrow%E2%80%99s-organised-crime" TargetMode="External"/><Relationship Id="rId65" Type="http://schemas.openxmlformats.org/officeDocument/2006/relationships/hyperlink" Target="https://ec.europa.eu/eurostat/databrowser/view/tec00001/default/line?lang=en" TargetMode="External"/><Relationship Id="rId73" Type="http://schemas.openxmlformats.org/officeDocument/2006/relationships/hyperlink" Target="https://ec.europa.eu/eurostat/cache/digpub/eumove/bloc-2c.html?lang=en" TargetMode="External"/><Relationship Id="rId78" Type="http://schemas.openxmlformats.org/officeDocument/2006/relationships/hyperlink" Target="https://www.europol.europa.eu/newsroom/news/cocaine-cartel-shipping-south-america-busted-in-spain-and-netherlands" TargetMode="External"/><Relationship Id="rId81" Type="http://schemas.openxmlformats.org/officeDocument/2006/relationships/hyperlink" Target="https://www.dw.com/en/covid-aid-germany-uncovers-over-25000-cases-of-fraud/a-56565754" TargetMode="External"/><Relationship Id="rId86" Type="http://schemas.openxmlformats.org/officeDocument/2006/relationships/hyperlink" Target="https://www.europol.europa.eu/publications-documents/exploring-tomorrow%E2%80%99s-organised-crime" TargetMode="External"/><Relationship Id="rId94" Type="http://schemas.openxmlformats.org/officeDocument/2006/relationships/hyperlink" Target="https://www.euractiv.com/section/justice-home-affairs/news/eu-signs-contract-with-airbus-and-israeli-arms-companies-to-spot-migrant-boats-with-drones/" TargetMode="External"/><Relationship Id="rId99" Type="http://schemas.openxmlformats.org/officeDocument/2006/relationships/hyperlink" Target="https://www.europarl.europa.eu/cmsdata/196207/UNICRI%20-%20Artificial%20intelligence%20and%20robotics%20for%20law%20enforcement.pdf" TargetMode="External"/><Relationship Id="rId101" Type="http://schemas.openxmlformats.org/officeDocument/2006/relationships/hyperlink" Target="https://www.brusselstimes.com/news/art-culture/51527/hackers-steal-personal-details-of-64-000-tomorrowland-visitors/" TargetMode="External"/><Relationship Id="rId122" Type="http://schemas.openxmlformats.org/officeDocument/2006/relationships/hyperlink" Target="https://ec.europa.eu/transparency/regdoc/rep/1/2015/EN/1-2015-624-EN-F1-1.PDF" TargetMode="External"/><Relationship Id="rId130" Type="http://schemas.openxmlformats.org/officeDocument/2006/relationships/hyperlink" Target="https://www.ejn-crimjust.europa.eu/ejn/libdocumentproperties/EN/548" TargetMode="External"/><Relationship Id="rId4" Type="http://schemas.openxmlformats.org/officeDocument/2006/relationships/hyperlink" Target="https://ec.europa.eu/info/sites/info/files/political-guidelines-next-commission_en_0.pdf" TargetMode="External"/><Relationship Id="rId9" Type="http://schemas.openxmlformats.org/officeDocument/2006/relationships/hyperlink" Target="https://eur-lex.europa.eu/legal-content/EN/TXT/?uri=CELEX:52020DC0779" TargetMode="External"/><Relationship Id="rId13" Type="http://schemas.openxmlformats.org/officeDocument/2006/relationships/hyperlink" Target="https://ec.europa.eu/commission/presscorner/detail/en/ip_20_2326" TargetMode="External"/><Relationship Id="rId18" Type="http://schemas.openxmlformats.org/officeDocument/2006/relationships/hyperlink" Target="https://ec.europa.eu/info/publications/2021-commission-work-programme-key-documents_en" TargetMode="External"/><Relationship Id="rId39" Type="http://schemas.openxmlformats.org/officeDocument/2006/relationships/hyperlink" Target="https://ec.europa.eu/regional_policy/sources/docoffic/2014/boosting_growth/com_boosting_borders.pdf" TargetMode="External"/><Relationship Id="rId109" Type="http://schemas.openxmlformats.org/officeDocument/2006/relationships/hyperlink" Target="https://eur-lex.europa.eu/legal-content/EN/TXT/?uri=CELEX%3A42000A0922%2802%29" TargetMode="External"/><Relationship Id="rId34" Type="http://schemas.openxmlformats.org/officeDocument/2006/relationships/hyperlink" Target="https://ec.europa.eu/home-affairs/sites/homeaffairs/files/what-we-do/policies/european-agenda-security/20181204_com-2018-777-report_en.pdf" TargetMode="External"/><Relationship Id="rId50" Type="http://schemas.openxmlformats.org/officeDocument/2006/relationships/hyperlink" Target="https://www.bbc.com/news/world-middle-east-56567985" TargetMode="External"/><Relationship Id="rId55" Type="http://schemas.openxmlformats.org/officeDocument/2006/relationships/hyperlink" Target="https://ec.europa.eu/digital-single-market/en/use-internet-and-online-activities" TargetMode="External"/><Relationship Id="rId76" Type="http://schemas.openxmlformats.org/officeDocument/2006/relationships/hyperlink" Target="https://www.europol.europa.eu/newsroom/news/europol-warning-illicit-sale-of-false-negative-covid-19-test-certificates" TargetMode="External"/><Relationship Id="rId97" Type="http://schemas.openxmlformats.org/officeDocument/2006/relationships/hyperlink" Target="https://www.europarl.europa.eu/cmsdata/196207/UNICRI%20-%20Artificial%20intelligence%20and%20robotics%20for%20law%20enforcement.pdf" TargetMode="External"/><Relationship Id="rId104" Type="http://schemas.openxmlformats.org/officeDocument/2006/relationships/hyperlink" Target="https://ec.europa.eu/eurostat/cache/digpub/eumove/bloc-2c.html?lang=en" TargetMode="External"/><Relationship Id="rId120" Type="http://schemas.openxmlformats.org/officeDocument/2006/relationships/hyperlink" Target="https://data.consilium.europa.eu/doc/document/ST-6721-2014-REV-3/en/pdf" TargetMode="External"/><Relationship Id="rId125" Type="http://schemas.openxmlformats.org/officeDocument/2006/relationships/hyperlink" Target="https://eur-lex.europa.eu/legal-content/EN/ALL/?uri=CELEX%3A32006D0560" TargetMode="External"/><Relationship Id="rId7" Type="http://schemas.openxmlformats.org/officeDocument/2006/relationships/hyperlink" Target="https://eur-lex.europa.eu/legal-content/EN/TXT/PDF/?uri=CELEX:52020SC0327&amp;from=EN" TargetMode="External"/><Relationship Id="rId71" Type="http://schemas.openxmlformats.org/officeDocument/2006/relationships/hyperlink" Target="https://ec.europa.eu/eurostat/cache/digpub/eumove/bloc-2c.html?lang=en" TargetMode="External"/><Relationship Id="rId92" Type="http://schemas.openxmlformats.org/officeDocument/2006/relationships/hyperlink" Target="https://www.statista.com/statistics/454775/number-of-illegal-entries-between-bcps-to-the-eu/" TargetMode="External"/><Relationship Id="rId2" Type="http://schemas.openxmlformats.org/officeDocument/2006/relationships/hyperlink" Target="https://ec.europa.eu/eurostat/statistics-explained/index.php/EU_citizens_living_in_another_Member_State_-_statistical_overview" TargetMode="External"/><Relationship Id="rId29" Type="http://schemas.openxmlformats.org/officeDocument/2006/relationships/hyperlink" Target="https://www.stmfh.bayern.de/haushalt/staatshaushalt_2019/haushaltsplan/Epl03.pdf" TargetMode="External"/><Relationship Id="rId24" Type="http://schemas.openxmlformats.org/officeDocument/2006/relationships/hyperlink" Target="https://eur-lex.europa.eu/legal-content/EN/TXT/?uri=CELEX%3A42000A0922%2802%29" TargetMode="External"/><Relationship Id="rId40" Type="http://schemas.openxmlformats.org/officeDocument/2006/relationships/hyperlink" Target="https://ec.europa.eu/eurostat/cache/digpub/eumove/images/pdf/PeopleOnTheMove-DigitalPublication-2020_en.pdf?lang=en" TargetMode="External"/><Relationship Id="rId45" Type="http://schemas.openxmlformats.org/officeDocument/2006/relationships/hyperlink" Target="https://ec.europa.eu/eurostat/cache/digpub/eumove/bloc-2c.html?lang=en" TargetMode="External"/><Relationship Id="rId66" Type="http://schemas.openxmlformats.org/officeDocument/2006/relationships/hyperlink" Target="https://ec.europa.eu/eurostat/statistics-explained/index.php?title=Main_goods_in_extra-EU_imports" TargetMode="External"/><Relationship Id="rId87" Type="http://schemas.openxmlformats.org/officeDocument/2006/relationships/hyperlink" Target="https://www.europarl.europa.eu/RegData/etudes/STUD/2020/656042/IPOL_STU(2020)656042_EN.pdf" TargetMode="External"/><Relationship Id="rId110" Type="http://schemas.openxmlformats.org/officeDocument/2006/relationships/hyperlink" Target="https://eur-lex.europa.eu/legal-content/EN/ALL/?uri=LEGISSUM:l33051" TargetMode="External"/><Relationship Id="rId115" Type="http://schemas.openxmlformats.org/officeDocument/2006/relationships/hyperlink" Target="https://www.statewatch.org/media/documents/news/2014/mar/eu-council-post-stockholm-guidelines-lea-info-exchange-6721-14.pdf" TargetMode="External"/><Relationship Id="rId131" Type="http://schemas.openxmlformats.org/officeDocument/2006/relationships/hyperlink" Target="https://eur-lex.europa.eu/legal-content/EN/TXT/?uri=CELEX%3A32008D0633" TargetMode="External"/><Relationship Id="rId61" Type="http://schemas.openxmlformats.org/officeDocument/2006/relationships/hyperlink" Target="https://www.europarl.europa.eu/cmsdata/196207/UNICRI%20-%20Artificial%20intelligence%20and%20robotics%20for%20law%20enforcement.pdf" TargetMode="External"/><Relationship Id="rId82" Type="http://schemas.openxmlformats.org/officeDocument/2006/relationships/hyperlink" Target="https://www.emcdda.europa.eu/system/files/publications/12078/20192630_TD0319332ENN_PDF.pdf" TargetMode="External"/><Relationship Id="rId19" Type="http://schemas.openxmlformats.org/officeDocument/2006/relationships/hyperlink" Target="https://ec.europa.eu/info/law/better-regulation/have-your-say/initiatives/12614-EU-police-coopera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RBAEH1\Desktop\Police%20Code_Eurostat_GDP%20per%20capita_v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ites.ey.com/sites/DGHOME-Policecooperation/Shared%20Documents/General/Reports/Interim%20report/Review/Graphs%20for%20the%20Evolution%20of%20the%20Problem%20and%20Baseline%20Scenario/DG%20HOME_PoliceCode_Tourist%20Accomodation_v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ites.ey.com/sites/DGHOME-Policecooperation/Shared%20Documents/General/Data%20collection/Desktop%20research/DG%20HOME_Police%20Code_Annex%20V_PO%20Assessment_Supporting%20Evidence_v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ites.ey.com/sites/DGHOME-Policecooperation/Shared%20Documents/General/Data%20collection/Desktop%20research/DG%20HOME_Police%20Code_Annex%20V_PO%20Assessment_Supporting%20Evidence_v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ites.ey.com/sites/DGHOME-Policecooperation/Shared%20Documents/General/Data%20collection/Desktop%20research/DG%20HOME_Police%20Code_Annex%20V_PO%20Assessment_Supporting%20Evidence_v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ites.ey.com/sites/DGHOME-Policecooperation/Shared%20Documents/General/Data%20collection/Desktop%20research/DG%20HOME_Police%20Code_Annex%20V_PO%20Assessment_Supporting%20Evidence_v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ites.ey.com/sites/DGHOME-Policecooperation/Shared%20Documents/General/Data%20collection/Desktop%20research/DG%20HOME_Police%20Code_Annex%20V_PO%20Assessment_Supporting%20Evidence_v0.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934544690546005E-2"/>
          <c:y val="9.1341822644240414E-2"/>
          <c:w val="0.91844783880271841"/>
          <c:h val="0.65767929639685174"/>
        </c:manualLayout>
      </c:layout>
      <c:lineChart>
        <c:grouping val="standard"/>
        <c:varyColors val="0"/>
        <c:ser>
          <c:idx val="10"/>
          <c:order val="9"/>
          <c:tx>
            <c:strRef>
              <c:f>'GDP Figure'!$A$23</c:f>
              <c:strCache>
                <c:ptCount val="1"/>
                <c:pt idx="0">
                  <c:v>EU-27 Member States</c:v>
                </c:pt>
              </c:strCache>
            </c:strRef>
          </c:tx>
          <c:spPr>
            <a:ln w="15875" cap="rnd">
              <a:solidFill>
                <a:schemeClr val="accent6"/>
              </a:solidFill>
              <a:round/>
            </a:ln>
            <a:effectLst/>
          </c:spPr>
          <c:marker>
            <c:symbol val="none"/>
          </c:marker>
          <c:cat>
            <c:strRef>
              <c:f>'GDP Figure'!$C$11:$M$12</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'GDP Figure'!$C$23:$M$23</c:f>
              <c:numCache>
                <c:formatCode>#,##0</c:formatCode>
                <c:ptCount val="11"/>
                <c:pt idx="0">
                  <c:v>24890</c:v>
                </c:pt>
                <c:pt idx="1">
                  <c:v>25640</c:v>
                </c:pt>
                <c:pt idx="2">
                  <c:v>25740</c:v>
                </c:pt>
                <c:pt idx="3">
                  <c:v>26000</c:v>
                </c:pt>
                <c:pt idx="4">
                  <c:v>26550</c:v>
                </c:pt>
                <c:pt idx="5">
                  <c:v>27460</c:v>
                </c:pt>
                <c:pt idx="6">
                  <c:v>28160</c:v>
                </c:pt>
                <c:pt idx="7">
                  <c:v>29280</c:v>
                </c:pt>
                <c:pt idx="8">
                  <c:v>30230</c:v>
                </c:pt>
                <c:pt idx="9">
                  <c:v>31170</c:v>
                </c:pt>
                <c:pt idx="10">
                  <c:v>29640</c:v>
                </c:pt>
              </c:numCache>
            </c:numRef>
          </c:val>
          <c:smooth val="0"/>
          <c:extLst>
            <c:ext xmlns:c16="http://schemas.microsoft.com/office/drawing/2014/chart" uri="{C3380CC4-5D6E-409C-BE32-E72D297353CC}">
              <c16:uniqueId val="{00000000-E03B-4625-AD67-FCB933559C14}"/>
            </c:ext>
          </c:extLst>
        </c:ser>
        <c:ser>
          <c:idx val="28"/>
          <c:order val="26"/>
          <c:tx>
            <c:strRef>
              <c:f>'GDP Figure'!$A$41</c:f>
              <c:strCache>
                <c:ptCount val="1"/>
                <c:pt idx="0">
                  <c:v>Top 5 Member States of the EU-27</c:v>
                </c:pt>
              </c:strCache>
            </c:strRef>
          </c:tx>
          <c:spPr>
            <a:ln w="15875" cap="rnd">
              <a:solidFill>
                <a:srgbClr val="646464"/>
              </a:solidFill>
              <a:round/>
            </a:ln>
            <a:effectLst/>
          </c:spPr>
          <c:marker>
            <c:symbol val="none"/>
          </c:marker>
          <c:cat>
            <c:strRef>
              <c:f>'GDP Figure'!$C$11:$M$12</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'GDP Figure'!$C$41:$M$41</c:f>
              <c:numCache>
                <c:formatCode>#,##0</c:formatCode>
                <c:ptCount val="11"/>
                <c:pt idx="0">
                  <c:v>47638</c:v>
                </c:pt>
                <c:pt idx="1">
                  <c:v>49518</c:v>
                </c:pt>
                <c:pt idx="2">
                  <c:v>50152</c:v>
                </c:pt>
                <c:pt idx="3">
                  <c:v>51114</c:v>
                </c:pt>
                <c:pt idx="4">
                  <c:v>52672</c:v>
                </c:pt>
                <c:pt idx="5">
                  <c:v>56536</c:v>
                </c:pt>
                <c:pt idx="6">
                  <c:v>57790</c:v>
                </c:pt>
                <c:pt idx="7">
                  <c:v>59936</c:v>
                </c:pt>
                <c:pt idx="8">
                  <c:v>61856</c:v>
                </c:pt>
                <c:pt idx="9">
                  <c:v>64220</c:v>
                </c:pt>
                <c:pt idx="10">
                  <c:v>63912</c:v>
                </c:pt>
              </c:numCache>
            </c:numRef>
          </c:val>
          <c:smooth val="0"/>
          <c:extLst>
            <c:ext xmlns:c16="http://schemas.microsoft.com/office/drawing/2014/chart" uri="{C3380CC4-5D6E-409C-BE32-E72D297353CC}">
              <c16:uniqueId val="{00000001-E03B-4625-AD67-FCB933559C14}"/>
            </c:ext>
          </c:extLst>
        </c:ser>
        <c:ser>
          <c:idx val="29"/>
          <c:order val="27"/>
          <c:tx>
            <c:strRef>
              <c:f>'GDP Figure'!$A$42</c:f>
              <c:strCache>
                <c:ptCount val="1"/>
                <c:pt idx="0">
                  <c:v>Low 5 Member States of the EU-27</c:v>
                </c:pt>
              </c:strCache>
            </c:strRef>
          </c:tx>
          <c:spPr>
            <a:ln w="15875" cap="rnd">
              <a:solidFill>
                <a:schemeClr val="accent5"/>
              </a:solidFill>
              <a:round/>
            </a:ln>
            <a:effectLst/>
          </c:spPr>
          <c:marker>
            <c:symbol val="none"/>
          </c:marker>
          <c:cat>
            <c:strRef>
              <c:f>'GDP Figure'!$C$11:$M$12</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'GDP Figure'!$C$42:$M$42</c:f>
              <c:numCache>
                <c:formatCode>#,##0</c:formatCode>
                <c:ptCount val="11"/>
                <c:pt idx="0">
                  <c:v>8226</c:v>
                </c:pt>
                <c:pt idx="1">
                  <c:v>8548</c:v>
                </c:pt>
                <c:pt idx="2">
                  <c:v>8568</c:v>
                </c:pt>
                <c:pt idx="3">
                  <c:v>8752</c:v>
                </c:pt>
                <c:pt idx="4">
                  <c:v>9028</c:v>
                </c:pt>
                <c:pt idx="5">
                  <c:v>9538</c:v>
                </c:pt>
                <c:pt idx="6">
                  <c:v>9912</c:v>
                </c:pt>
                <c:pt idx="7">
                  <c:v>10806</c:v>
                </c:pt>
                <c:pt idx="8">
                  <c:v>11612</c:v>
                </c:pt>
                <c:pt idx="9">
                  <c:v>12490</c:v>
                </c:pt>
                <c:pt idx="10">
                  <c:v>11930</c:v>
                </c:pt>
              </c:numCache>
            </c:numRef>
          </c:val>
          <c:smooth val="0"/>
          <c:extLst>
            <c:ext xmlns:c16="http://schemas.microsoft.com/office/drawing/2014/chart" uri="{C3380CC4-5D6E-409C-BE32-E72D297353CC}">
              <c16:uniqueId val="{00000002-E03B-4625-AD67-FCB933559C14}"/>
            </c:ext>
          </c:extLst>
        </c:ser>
        <c:dLbls>
          <c:showLegendKey val="0"/>
          <c:showVal val="0"/>
          <c:showCatName val="0"/>
          <c:showSerName val="0"/>
          <c:showPercent val="0"/>
          <c:showBubbleSize val="0"/>
        </c:dLbls>
        <c:smooth val="0"/>
        <c:axId val="767289560"/>
        <c:axId val="767286608"/>
        <c:extLst>
          <c:ext xmlns:c15="http://schemas.microsoft.com/office/drawing/2012/chart" uri="{02D57815-91ED-43cb-92C2-25804820EDAC}">
            <c15:filteredLineSeries>
              <c15:ser>
                <c:idx val="0"/>
                <c:order val="0"/>
                <c:tx>
                  <c:strRef>
                    <c:extLst>
                      <c:ext uri="{02D57815-91ED-43cb-92C2-25804820EDAC}">
                        <c15:formulaRef>
                          <c15:sqref>'GDP Figure'!$A$13</c15:sqref>
                        </c15:formulaRef>
                      </c:ext>
                    </c:extLst>
                    <c:strCache>
                      <c:ptCount val="1"/>
                      <c:pt idx="0">
                        <c:v>Luxembourg</c:v>
                      </c:pt>
                    </c:strCache>
                  </c:strRef>
                </c:tx>
                <c:spPr>
                  <a:ln w="28575" cap="rnd">
                    <a:solidFill>
                      <a:schemeClr val="accent1"/>
                    </a:solidFill>
                    <a:round/>
                  </a:ln>
                  <a:effectLst/>
                </c:spPr>
                <c:marker>
                  <c:symbol val="none"/>
                </c:marker>
                <c:cat>
                  <c:strRef>
                    <c:extLst>
                      <c:ex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c:ext uri="{02D57815-91ED-43cb-92C2-25804820EDAC}">
                        <c15:formulaRef>
                          <c15:sqref>'GDP Figure'!$C$13:$M$13</c15:sqref>
                        </c15:formulaRef>
                      </c:ext>
                    </c:extLst>
                    <c:numCache>
                      <c:formatCode>#,##0</c:formatCode>
                      <c:ptCount val="11"/>
                      <c:pt idx="0">
                        <c:v>79160</c:v>
                      </c:pt>
                      <c:pt idx="1">
                        <c:v>83100</c:v>
                      </c:pt>
                      <c:pt idx="2">
                        <c:v>83000</c:v>
                      </c:pt>
                      <c:pt idx="3">
                        <c:v>85270</c:v>
                      </c:pt>
                      <c:pt idx="4">
                        <c:v>89240</c:v>
                      </c:pt>
                      <c:pt idx="5">
                        <c:v>91440</c:v>
                      </c:pt>
                      <c:pt idx="6">
                        <c:v>93930</c:v>
                      </c:pt>
                      <c:pt idx="7">
                        <c:v>95170</c:v>
                      </c:pt>
                      <c:pt idx="8">
                        <c:v>98640</c:v>
                      </c:pt>
                      <c:pt idx="9">
                        <c:v>102200</c:v>
                      </c:pt>
                      <c:pt idx="10">
                        <c:v>101640</c:v>
                      </c:pt>
                    </c:numCache>
                  </c:numRef>
                </c:val>
                <c:smooth val="0"/>
                <c:extLst>
                  <c:ext xmlns:c16="http://schemas.microsoft.com/office/drawing/2014/chart" uri="{C3380CC4-5D6E-409C-BE32-E72D297353CC}">
                    <c16:uniqueId val="{00000003-E03B-4625-AD67-FCB933559C14}"/>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'GDP Figure'!$A$14</c15:sqref>
                        </c15:formulaRef>
                      </c:ext>
                    </c:extLst>
                    <c:strCache>
                      <c:ptCount val="1"/>
                      <c:pt idx="0">
                        <c:v>Ireland</c:v>
                      </c:pt>
                    </c:strCache>
                  </c:strRef>
                </c:tx>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Figure'!$C$14:$M$14</c15:sqref>
                        </c15:formulaRef>
                      </c:ext>
                    </c:extLst>
                    <c:numCache>
                      <c:formatCode>#,##0</c:formatCode>
                      <c:ptCount val="11"/>
                      <c:pt idx="0">
                        <c:v>36770</c:v>
                      </c:pt>
                      <c:pt idx="1">
                        <c:v>37340</c:v>
                      </c:pt>
                      <c:pt idx="2">
                        <c:v>38090</c:v>
                      </c:pt>
                      <c:pt idx="3">
                        <c:v>38880</c:v>
                      </c:pt>
                      <c:pt idx="4">
                        <c:v>41950</c:v>
                      </c:pt>
                      <c:pt idx="5">
                        <c:v>55980</c:v>
                      </c:pt>
                      <c:pt idx="6">
                        <c:v>57020</c:v>
                      </c:pt>
                      <c:pt idx="7">
                        <c:v>62550</c:v>
                      </c:pt>
                      <c:pt idx="8">
                        <c:v>67270</c:v>
                      </c:pt>
                      <c:pt idx="9">
                        <c:v>72260</c:v>
                      </c:pt>
                      <c:pt idx="10">
                        <c:v>73590</c:v>
                      </c:pt>
                    </c:numCache>
                  </c:numRef>
                </c:val>
                <c:smooth val="0"/>
                <c:extLst xmlns:c15="http://schemas.microsoft.com/office/drawing/2012/chart">
                  <c:ext xmlns:c16="http://schemas.microsoft.com/office/drawing/2014/chart" uri="{C3380CC4-5D6E-409C-BE32-E72D297353CC}">
                    <c16:uniqueId val="{00000004-E03B-4625-AD67-FCB933559C14}"/>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'GDP Figure'!$A$15</c15:sqref>
                        </c15:formulaRef>
                      </c:ext>
                    </c:extLst>
                    <c:strCache>
                      <c:ptCount val="1"/>
                      <c:pt idx="0">
                        <c:v>Denmark</c:v>
                      </c:pt>
                    </c:strCache>
                  </c:strRef>
                </c:tx>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Figure'!$C$15:$M$15</c15:sqref>
                        </c15:formulaRef>
                      </c:ext>
                    </c:extLst>
                    <c:numCache>
                      <c:formatCode>#,##0</c:formatCode>
                      <c:ptCount val="11"/>
                      <c:pt idx="0">
                        <c:v>43840</c:v>
                      </c:pt>
                      <c:pt idx="1">
                        <c:v>44500</c:v>
                      </c:pt>
                      <c:pt idx="2">
                        <c:v>45530</c:v>
                      </c:pt>
                      <c:pt idx="3">
                        <c:v>46100</c:v>
                      </c:pt>
                      <c:pt idx="4">
                        <c:v>47090</c:v>
                      </c:pt>
                      <c:pt idx="5">
                        <c:v>48050</c:v>
                      </c:pt>
                      <c:pt idx="6">
                        <c:v>49420</c:v>
                      </c:pt>
                      <c:pt idx="7">
                        <c:v>51140</c:v>
                      </c:pt>
                      <c:pt idx="8">
                        <c:v>52190</c:v>
                      </c:pt>
                      <c:pt idx="9">
                        <c:v>53760</c:v>
                      </c:pt>
                      <c:pt idx="10">
                        <c:v>53030</c:v>
                      </c:pt>
                    </c:numCache>
                  </c:numRef>
                </c:val>
                <c:smooth val="0"/>
                <c:extLst xmlns:c15="http://schemas.microsoft.com/office/drawing/2012/chart">
                  <c:ext xmlns:c16="http://schemas.microsoft.com/office/drawing/2014/chart" uri="{C3380CC4-5D6E-409C-BE32-E72D297353CC}">
                    <c16:uniqueId val="{00000005-E03B-4625-AD67-FCB933559C14}"/>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'GDP Figure'!$A$16</c15:sqref>
                        </c15:formulaRef>
                      </c:ext>
                    </c:extLst>
                    <c:strCache>
                      <c:ptCount val="1"/>
                      <c:pt idx="0">
                        <c:v>Netherlands</c:v>
                      </c:pt>
                    </c:strCache>
                  </c:strRef>
                </c:tx>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Figure'!$C$16:$M$16</c15:sqref>
                        </c15:formulaRef>
                      </c:ext>
                    </c:extLst>
                    <c:numCache>
                      <c:formatCode>#,##0</c:formatCode>
                      <c:ptCount val="11"/>
                      <c:pt idx="0">
                        <c:v>38470</c:v>
                      </c:pt>
                      <c:pt idx="1">
                        <c:v>38960</c:v>
                      </c:pt>
                      <c:pt idx="2">
                        <c:v>38970</c:v>
                      </c:pt>
                      <c:pt idx="3">
                        <c:v>39300</c:v>
                      </c:pt>
                      <c:pt idx="4">
                        <c:v>39820</c:v>
                      </c:pt>
                      <c:pt idx="5">
                        <c:v>40730</c:v>
                      </c:pt>
                      <c:pt idx="6">
                        <c:v>41590</c:v>
                      </c:pt>
                      <c:pt idx="7">
                        <c:v>43090</c:v>
                      </c:pt>
                      <c:pt idx="8">
                        <c:v>44920</c:v>
                      </c:pt>
                      <c:pt idx="9">
                        <c:v>46710</c:v>
                      </c:pt>
                      <c:pt idx="10">
                        <c:v>45690</c:v>
                      </c:pt>
                    </c:numCache>
                  </c:numRef>
                </c:val>
                <c:smooth val="0"/>
                <c:extLst xmlns:c15="http://schemas.microsoft.com/office/drawing/2012/chart">
                  <c:ext xmlns:c16="http://schemas.microsoft.com/office/drawing/2014/chart" uri="{C3380CC4-5D6E-409C-BE32-E72D297353CC}">
                    <c16:uniqueId val="{00000006-E03B-4625-AD67-FCB933559C14}"/>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'GDP Figure'!$A$17</c15:sqref>
                        </c15:formulaRef>
                      </c:ext>
                    </c:extLst>
                    <c:strCache>
                      <c:ptCount val="1"/>
                      <c:pt idx="0">
                        <c:v>Sweden</c:v>
                      </c:pt>
                    </c:strCache>
                  </c:strRef>
                </c:tx>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Figure'!$C$17:$M$17</c15:sqref>
                        </c15:formulaRef>
                      </c:ext>
                    </c:extLst>
                    <c:numCache>
                      <c:formatCode>#,##0</c:formatCode>
                      <c:ptCount val="11"/>
                      <c:pt idx="0">
                        <c:v>39950</c:v>
                      </c:pt>
                      <c:pt idx="1">
                        <c:v>43690</c:v>
                      </c:pt>
                      <c:pt idx="2">
                        <c:v>45170</c:v>
                      </c:pt>
                      <c:pt idx="3">
                        <c:v>46020</c:v>
                      </c:pt>
                      <c:pt idx="4">
                        <c:v>45260</c:v>
                      </c:pt>
                      <c:pt idx="5">
                        <c:v>46480</c:v>
                      </c:pt>
                      <c:pt idx="6">
                        <c:v>46990</c:v>
                      </c:pt>
                      <c:pt idx="7">
                        <c:v>47730</c:v>
                      </c:pt>
                      <c:pt idx="8">
                        <c:v>46260</c:v>
                      </c:pt>
                      <c:pt idx="9">
                        <c:v>46170</c:v>
                      </c:pt>
                      <c:pt idx="10">
                        <c:v>45610</c:v>
                      </c:pt>
                    </c:numCache>
                  </c:numRef>
                </c:val>
                <c:smooth val="0"/>
                <c:extLst xmlns:c15="http://schemas.microsoft.com/office/drawing/2012/chart">
                  <c:ext xmlns:c16="http://schemas.microsoft.com/office/drawing/2014/chart" uri="{C3380CC4-5D6E-409C-BE32-E72D297353CC}">
                    <c16:uniqueId val="{00000007-E03B-4625-AD67-FCB933559C14}"/>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'GDP Figure'!$A$18</c15:sqref>
                        </c15:formulaRef>
                      </c:ext>
                    </c:extLst>
                    <c:strCache>
                      <c:ptCount val="1"/>
                      <c:pt idx="0">
                        <c:v>Austria</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Figure'!$C$18:$M$18</c15:sqref>
                        </c15:formulaRef>
                      </c:ext>
                    </c:extLst>
                    <c:numCache>
                      <c:formatCode>#,##0</c:formatCode>
                      <c:ptCount val="11"/>
                      <c:pt idx="0">
                        <c:v>35390</c:v>
                      </c:pt>
                      <c:pt idx="1">
                        <c:v>36970</c:v>
                      </c:pt>
                      <c:pt idx="2">
                        <c:v>37820</c:v>
                      </c:pt>
                      <c:pt idx="3">
                        <c:v>38210</c:v>
                      </c:pt>
                      <c:pt idx="4">
                        <c:v>38990</c:v>
                      </c:pt>
                      <c:pt idx="5">
                        <c:v>39890</c:v>
                      </c:pt>
                      <c:pt idx="6">
                        <c:v>40920</c:v>
                      </c:pt>
                      <c:pt idx="7">
                        <c:v>41990</c:v>
                      </c:pt>
                      <c:pt idx="8">
                        <c:v>43600</c:v>
                      </c:pt>
                      <c:pt idx="9">
                        <c:v>44780</c:v>
                      </c:pt>
                      <c:pt idx="10">
                        <c:v>42110</c:v>
                      </c:pt>
                    </c:numCache>
                  </c:numRef>
                </c:val>
                <c:smooth val="0"/>
                <c:extLst xmlns:c15="http://schemas.microsoft.com/office/drawing/2012/chart">
                  <c:ext xmlns:c16="http://schemas.microsoft.com/office/drawing/2014/chart" uri="{C3380CC4-5D6E-409C-BE32-E72D297353CC}">
                    <c16:uniqueId val="{00000008-E03B-4625-AD67-FCB933559C14}"/>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'GDP Figure'!$A$19</c15:sqref>
                        </c15:formulaRef>
                      </c:ext>
                    </c:extLst>
                    <c:strCache>
                      <c:ptCount val="1"/>
                      <c:pt idx="0">
                        <c:v>Finland</c:v>
                      </c:pt>
                    </c:strCache>
                  </c:strRef>
                </c:tx>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Figure'!$C$19:$M$19</c15:sqref>
                        </c15:formulaRef>
                      </c:ext>
                    </c:extLst>
                    <c:numCache>
                      <c:formatCode>#,##0</c:formatCode>
                      <c:ptCount val="11"/>
                      <c:pt idx="0">
                        <c:v>35080</c:v>
                      </c:pt>
                      <c:pt idx="1">
                        <c:v>36750</c:v>
                      </c:pt>
                      <c:pt idx="2">
                        <c:v>37130</c:v>
                      </c:pt>
                      <c:pt idx="3">
                        <c:v>37570</c:v>
                      </c:pt>
                      <c:pt idx="4">
                        <c:v>37880</c:v>
                      </c:pt>
                      <c:pt idx="5">
                        <c:v>38570</c:v>
                      </c:pt>
                      <c:pt idx="6">
                        <c:v>39580</c:v>
                      </c:pt>
                      <c:pt idx="7">
                        <c:v>41080</c:v>
                      </c:pt>
                      <c:pt idx="8">
                        <c:v>42370</c:v>
                      </c:pt>
                      <c:pt idx="9">
                        <c:v>43510</c:v>
                      </c:pt>
                      <c:pt idx="10">
                        <c:v>42940</c:v>
                      </c:pt>
                    </c:numCache>
                  </c:numRef>
                </c:val>
                <c:smooth val="0"/>
                <c:extLst xmlns:c15="http://schemas.microsoft.com/office/drawing/2012/chart">
                  <c:ext xmlns:c16="http://schemas.microsoft.com/office/drawing/2014/chart" uri="{C3380CC4-5D6E-409C-BE32-E72D297353CC}">
                    <c16:uniqueId val="{00000009-E03B-4625-AD67-FCB933559C14}"/>
                  </c:ext>
                </c:extLst>
              </c15:ser>
            </c15:filteredLineSeries>
            <c15:filteredLineSeries>
              <c15:ser>
                <c:idx val="8"/>
                <c:order val="7"/>
                <c:tx>
                  <c:strRef>
                    <c:extLst xmlns:c15="http://schemas.microsoft.com/office/drawing/2012/chart">
                      <c:ext xmlns:c15="http://schemas.microsoft.com/office/drawing/2012/chart" uri="{02D57815-91ED-43cb-92C2-25804820EDAC}">
                        <c15:formulaRef>
                          <c15:sqref>'GDP Figure'!$A$21</c15:sqref>
                        </c15:formulaRef>
                      </c:ext>
                    </c:extLst>
                    <c:strCache>
                      <c:ptCount val="1"/>
                      <c:pt idx="0">
                        <c:v>Belgium</c:v>
                      </c:pt>
                    </c:strCache>
                  </c:strRef>
                </c:tx>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Figure'!$C$21:$M$21</c15:sqref>
                        </c15:formulaRef>
                      </c:ext>
                    </c:extLst>
                    <c:numCache>
                      <c:formatCode>#,##0</c:formatCode>
                      <c:ptCount val="11"/>
                      <c:pt idx="0">
                        <c:v>33330</c:v>
                      </c:pt>
                      <c:pt idx="1">
                        <c:v>34060</c:v>
                      </c:pt>
                      <c:pt idx="2">
                        <c:v>34770</c:v>
                      </c:pt>
                      <c:pt idx="3">
                        <c:v>35210</c:v>
                      </c:pt>
                      <c:pt idx="4">
                        <c:v>35950</c:v>
                      </c:pt>
                      <c:pt idx="5">
                        <c:v>36960</c:v>
                      </c:pt>
                      <c:pt idx="6">
                        <c:v>37960</c:v>
                      </c:pt>
                      <c:pt idx="7">
                        <c:v>39120</c:v>
                      </c:pt>
                      <c:pt idx="8">
                        <c:v>40290</c:v>
                      </c:pt>
                      <c:pt idx="9">
                        <c:v>41450</c:v>
                      </c:pt>
                      <c:pt idx="10">
                        <c:v>38970</c:v>
                      </c:pt>
                    </c:numCache>
                  </c:numRef>
                </c:val>
                <c:smooth val="0"/>
                <c:extLst xmlns:c15="http://schemas.microsoft.com/office/drawing/2012/chart">
                  <c:ext xmlns:c16="http://schemas.microsoft.com/office/drawing/2014/chart" uri="{C3380CC4-5D6E-409C-BE32-E72D297353CC}">
                    <c16:uniqueId val="{0000000A-E03B-4625-AD67-FCB933559C14}"/>
                  </c:ext>
                </c:extLst>
              </c15:ser>
            </c15:filteredLineSeries>
            <c15:filteredLineSeries>
              <c15:ser>
                <c:idx val="9"/>
                <c:order val="8"/>
                <c:tx>
                  <c:strRef>
                    <c:extLst xmlns:c15="http://schemas.microsoft.com/office/drawing/2012/chart">
                      <c:ext xmlns:c15="http://schemas.microsoft.com/office/drawing/2012/chart" uri="{02D57815-91ED-43cb-92C2-25804820EDAC}">
                        <c15:formulaRef>
                          <c15:sqref>'GDP Figure'!$A$22</c15:sqref>
                        </c15:formulaRef>
                      </c:ext>
                    </c:extLst>
                    <c:strCache>
                      <c:ptCount val="1"/>
                      <c:pt idx="0">
                        <c:v>France</c:v>
                      </c:pt>
                    </c:strCache>
                  </c:strRef>
                </c:tx>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Figure'!$C$22:$M$22</c15:sqref>
                        </c15:formulaRef>
                      </c:ext>
                    </c:extLst>
                    <c:numCache>
                      <c:formatCode>#,##0</c:formatCode>
                      <c:ptCount val="11"/>
                      <c:pt idx="0">
                        <c:v>30690</c:v>
                      </c:pt>
                      <c:pt idx="1">
                        <c:v>31510</c:v>
                      </c:pt>
                      <c:pt idx="2">
                        <c:v>31820</c:v>
                      </c:pt>
                      <c:pt idx="3">
                        <c:v>32080</c:v>
                      </c:pt>
                      <c:pt idx="4">
                        <c:v>32420</c:v>
                      </c:pt>
                      <c:pt idx="5">
                        <c:v>33020</c:v>
                      </c:pt>
                      <c:pt idx="6">
                        <c:v>33430</c:v>
                      </c:pt>
                      <c:pt idx="7">
                        <c:v>34250</c:v>
                      </c:pt>
                      <c:pt idx="8">
                        <c:v>35100</c:v>
                      </c:pt>
                      <c:pt idx="9">
                        <c:v>35960</c:v>
                      </c:pt>
                      <c:pt idx="10">
                        <c:v>33690</c:v>
                      </c:pt>
                    </c:numCache>
                  </c:numRef>
                </c:val>
                <c:smooth val="0"/>
                <c:extLst xmlns:c15="http://schemas.microsoft.com/office/drawing/2012/chart">
                  <c:ext xmlns:c16="http://schemas.microsoft.com/office/drawing/2014/chart" uri="{C3380CC4-5D6E-409C-BE32-E72D297353CC}">
                    <c16:uniqueId val="{0000000B-E03B-4625-AD67-FCB933559C14}"/>
                  </c:ext>
                </c:extLst>
              </c15:ser>
            </c15:filteredLineSeries>
            <c15:filteredLineSeries>
              <c15:ser>
                <c:idx val="11"/>
                <c:order val="10"/>
                <c:tx>
                  <c:strRef>
                    <c:extLst xmlns:c15="http://schemas.microsoft.com/office/drawing/2012/chart">
                      <c:ext xmlns:c15="http://schemas.microsoft.com/office/drawing/2012/chart" uri="{02D57815-91ED-43cb-92C2-25804820EDAC}">
                        <c15:formulaRef>
                          <c15:sqref>'GDP Figure'!$A$24</c15:sqref>
                        </c15:formulaRef>
                      </c:ext>
                    </c:extLst>
                    <c:strCache>
                      <c:ptCount val="1"/>
                      <c:pt idx="0">
                        <c:v>Italy</c:v>
                      </c:pt>
                    </c:strCache>
                  </c:strRef>
                </c:tx>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Figure'!$C$24:$M$24</c15:sqref>
                        </c15:formulaRef>
                      </c:ext>
                    </c:extLst>
                    <c:numCache>
                      <c:formatCode>#,##0</c:formatCode>
                      <c:ptCount val="11"/>
                      <c:pt idx="0">
                        <c:v>26930</c:v>
                      </c:pt>
                      <c:pt idx="1">
                        <c:v>27450</c:v>
                      </c:pt>
                      <c:pt idx="2">
                        <c:v>26920</c:v>
                      </c:pt>
                      <c:pt idx="3">
                        <c:v>26590</c:v>
                      </c:pt>
                      <c:pt idx="4">
                        <c:v>26770</c:v>
                      </c:pt>
                      <c:pt idx="5">
                        <c:v>27260</c:v>
                      </c:pt>
                      <c:pt idx="6">
                        <c:v>27970</c:v>
                      </c:pt>
                      <c:pt idx="7">
                        <c:v>28690</c:v>
                      </c:pt>
                      <c:pt idx="8">
                        <c:v>29300</c:v>
                      </c:pt>
                      <c:pt idx="9">
                        <c:v>29680</c:v>
                      </c:pt>
                      <c:pt idx="10">
                        <c:v>27500</c:v>
                      </c:pt>
                    </c:numCache>
                  </c:numRef>
                </c:val>
                <c:smooth val="0"/>
                <c:extLst xmlns:c15="http://schemas.microsoft.com/office/drawing/2012/chart">
                  <c:ext xmlns:c16="http://schemas.microsoft.com/office/drawing/2014/chart" uri="{C3380CC4-5D6E-409C-BE32-E72D297353CC}">
                    <c16:uniqueId val="{0000000C-E03B-4625-AD67-FCB933559C14}"/>
                  </c:ext>
                </c:extLst>
              </c15:ser>
            </c15:filteredLineSeries>
            <c15:filteredLineSeries>
              <c15:ser>
                <c:idx val="12"/>
                <c:order val="11"/>
                <c:tx>
                  <c:strRef>
                    <c:extLst xmlns:c15="http://schemas.microsoft.com/office/drawing/2012/chart">
                      <c:ext xmlns:c15="http://schemas.microsoft.com/office/drawing/2012/chart" uri="{02D57815-91ED-43cb-92C2-25804820EDAC}">
                        <c15:formulaRef>
                          <c15:sqref>'GDP Figure'!$A$25</c15:sqref>
                        </c15:formulaRef>
                      </c:ext>
                    </c:extLst>
                    <c:strCache>
                      <c:ptCount val="1"/>
                      <c:pt idx="0">
                        <c:v>Malta</c:v>
                      </c:pt>
                    </c:strCache>
                  </c:strRef>
                </c:tx>
                <c:spPr>
                  <a:ln w="28575" cap="rnd">
                    <a:solidFill>
                      <a:schemeClr val="accent1">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Figure'!$C$25:$M$25</c15:sqref>
                        </c15:formulaRef>
                      </c:ext>
                    </c:extLst>
                    <c:numCache>
                      <c:formatCode>#,##0</c:formatCode>
                      <c:ptCount val="11"/>
                      <c:pt idx="0">
                        <c:v>16440</c:v>
                      </c:pt>
                      <c:pt idx="1">
                        <c:v>16630</c:v>
                      </c:pt>
                      <c:pt idx="2">
                        <c:v>17530</c:v>
                      </c:pt>
                      <c:pt idx="3">
                        <c:v>18650</c:v>
                      </c:pt>
                      <c:pt idx="4">
                        <c:v>20120</c:v>
                      </c:pt>
                      <c:pt idx="5">
                        <c:v>22450</c:v>
                      </c:pt>
                      <c:pt idx="6">
                        <c:v>23240</c:v>
                      </c:pt>
                      <c:pt idx="7">
                        <c:v>24980</c:v>
                      </c:pt>
                      <c:pt idx="8">
                        <c:v>25940</c:v>
                      </c:pt>
                      <c:pt idx="9">
                        <c:v>26930</c:v>
                      </c:pt>
                      <c:pt idx="10">
                        <c:v>24870</c:v>
                      </c:pt>
                    </c:numCache>
                  </c:numRef>
                </c:val>
                <c:smooth val="0"/>
                <c:extLst xmlns:c15="http://schemas.microsoft.com/office/drawing/2012/chart">
                  <c:ext xmlns:c16="http://schemas.microsoft.com/office/drawing/2014/chart" uri="{C3380CC4-5D6E-409C-BE32-E72D297353CC}">
                    <c16:uniqueId val="{0000000D-E03B-4625-AD67-FCB933559C14}"/>
                  </c:ext>
                </c:extLst>
              </c15:ser>
            </c15:filteredLineSeries>
            <c15:filteredLineSeries>
              <c15:ser>
                <c:idx val="13"/>
                <c:order val="12"/>
                <c:tx>
                  <c:strRef>
                    <c:extLst xmlns:c15="http://schemas.microsoft.com/office/drawing/2012/chart">
                      <c:ext xmlns:c15="http://schemas.microsoft.com/office/drawing/2012/chart" uri="{02D57815-91ED-43cb-92C2-25804820EDAC}">
                        <c15:formulaRef>
                          <c15:sqref>'GDP Figure'!$A$26</c15:sqref>
                        </c15:formulaRef>
                      </c:ext>
                    </c:extLst>
                    <c:strCache>
                      <c:ptCount val="1"/>
                      <c:pt idx="0">
                        <c:v>Spain</c:v>
                      </c:pt>
                    </c:strCache>
                  </c:strRef>
                </c:tx>
                <c:spPr>
                  <a:ln w="28575" cap="rnd">
                    <a:solidFill>
                      <a:schemeClr val="accent2">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Figure'!$C$26:$M$26</c15:sqref>
                        </c15:formulaRef>
                      </c:ext>
                    </c:extLst>
                    <c:numCache>
                      <c:formatCode>#,##0</c:formatCode>
                      <c:ptCount val="11"/>
                      <c:pt idx="0">
                        <c:v>23040</c:v>
                      </c:pt>
                      <c:pt idx="1">
                        <c:v>22760</c:v>
                      </c:pt>
                      <c:pt idx="2">
                        <c:v>22050</c:v>
                      </c:pt>
                      <c:pt idx="3">
                        <c:v>21900</c:v>
                      </c:pt>
                      <c:pt idx="4">
                        <c:v>22220</c:v>
                      </c:pt>
                      <c:pt idx="5">
                        <c:v>23220</c:v>
                      </c:pt>
                      <c:pt idx="6">
                        <c:v>23980</c:v>
                      </c:pt>
                      <c:pt idx="7">
                        <c:v>24970</c:v>
                      </c:pt>
                      <c:pt idx="8">
                        <c:v>25770</c:v>
                      </c:pt>
                      <c:pt idx="9">
                        <c:v>26430</c:v>
                      </c:pt>
                      <c:pt idx="10">
                        <c:v>23650</c:v>
                      </c:pt>
                    </c:numCache>
                  </c:numRef>
                </c:val>
                <c:smooth val="0"/>
                <c:extLst xmlns:c15="http://schemas.microsoft.com/office/drawing/2012/chart">
                  <c:ext xmlns:c16="http://schemas.microsoft.com/office/drawing/2014/chart" uri="{C3380CC4-5D6E-409C-BE32-E72D297353CC}">
                    <c16:uniqueId val="{0000000E-E03B-4625-AD67-FCB933559C14}"/>
                  </c:ext>
                </c:extLst>
              </c15:ser>
            </c15:filteredLineSeries>
            <c15:filteredLineSeries>
              <c15:ser>
                <c:idx val="14"/>
                <c:order val="13"/>
                <c:tx>
                  <c:strRef>
                    <c:extLst xmlns:c15="http://schemas.microsoft.com/office/drawing/2012/chart">
                      <c:ext xmlns:c15="http://schemas.microsoft.com/office/drawing/2012/chart" uri="{02D57815-91ED-43cb-92C2-25804820EDAC}">
                        <c15:formulaRef>
                          <c15:sqref>'GDP Figure'!$A$27</c15:sqref>
                        </c15:formulaRef>
                      </c:ext>
                    </c:extLst>
                    <c:strCache>
                      <c:ptCount val="1"/>
                      <c:pt idx="0">
                        <c:v>Cyprus</c:v>
                      </c:pt>
                    </c:strCache>
                  </c:strRef>
                </c:tx>
                <c:spPr>
                  <a:ln w="28575" cap="rnd">
                    <a:solidFill>
                      <a:schemeClr val="accent3">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Figure'!$C$27:$M$27</c15:sqref>
                        </c15:formulaRef>
                      </c:ext>
                    </c:extLst>
                    <c:numCache>
                      <c:formatCode>#,##0</c:formatCode>
                      <c:ptCount val="11"/>
                      <c:pt idx="0">
                        <c:v>23400</c:v>
                      </c:pt>
                      <c:pt idx="1">
                        <c:v>23270</c:v>
                      </c:pt>
                      <c:pt idx="2">
                        <c:v>22500</c:v>
                      </c:pt>
                      <c:pt idx="3">
                        <c:v>20880</c:v>
                      </c:pt>
                      <c:pt idx="4">
                        <c:v>20450</c:v>
                      </c:pt>
                      <c:pt idx="5">
                        <c:v>21100</c:v>
                      </c:pt>
                      <c:pt idx="6">
                        <c:v>22230</c:v>
                      </c:pt>
                      <c:pt idx="7">
                        <c:v>23410</c:v>
                      </c:pt>
                      <c:pt idx="8">
                        <c:v>24630</c:v>
                      </c:pt>
                      <c:pt idx="9">
                        <c:v>25270</c:v>
                      </c:pt>
                      <c:pt idx="10">
                        <c:v>23580</c:v>
                      </c:pt>
                    </c:numCache>
                  </c:numRef>
                </c:val>
                <c:smooth val="0"/>
                <c:extLst xmlns:c15="http://schemas.microsoft.com/office/drawing/2012/chart">
                  <c:ext xmlns:c16="http://schemas.microsoft.com/office/drawing/2014/chart" uri="{C3380CC4-5D6E-409C-BE32-E72D297353CC}">
                    <c16:uniqueId val="{0000000F-E03B-4625-AD67-FCB933559C14}"/>
                  </c:ext>
                </c:extLst>
              </c15:ser>
            </c15:filteredLineSeries>
            <c15:filteredLineSeries>
              <c15:ser>
                <c:idx val="15"/>
                <c:order val="14"/>
                <c:tx>
                  <c:strRef>
                    <c:extLst xmlns:c15="http://schemas.microsoft.com/office/drawing/2012/chart">
                      <c:ext xmlns:c15="http://schemas.microsoft.com/office/drawing/2012/chart" uri="{02D57815-91ED-43cb-92C2-25804820EDAC}">
                        <c15:formulaRef>
                          <c15:sqref>'GDP Figure'!$A$28</c15:sqref>
                        </c15:formulaRef>
                      </c:ext>
                    </c:extLst>
                    <c:strCache>
                      <c:ptCount val="1"/>
                      <c:pt idx="0">
                        <c:v>Slovenia</c:v>
                      </c:pt>
                    </c:strCache>
                  </c:strRef>
                </c:tx>
                <c:spPr>
                  <a:ln w="28575" cap="rnd">
                    <a:solidFill>
                      <a:schemeClr val="accent4">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Figure'!$C$28:$M$28</c15:sqref>
                        </c15:formulaRef>
                      </c:ext>
                    </c:extLst>
                    <c:numCache>
                      <c:formatCode>#,##0</c:formatCode>
                      <c:ptCount val="11"/>
                      <c:pt idx="0">
                        <c:v>17750</c:v>
                      </c:pt>
                      <c:pt idx="1">
                        <c:v>18050</c:v>
                      </c:pt>
                      <c:pt idx="2">
                        <c:v>17630</c:v>
                      </c:pt>
                      <c:pt idx="3">
                        <c:v>17700</c:v>
                      </c:pt>
                      <c:pt idx="4">
                        <c:v>18250</c:v>
                      </c:pt>
                      <c:pt idx="5">
                        <c:v>18830</c:v>
                      </c:pt>
                      <c:pt idx="6">
                        <c:v>19590</c:v>
                      </c:pt>
                      <c:pt idx="7">
                        <c:v>20820</c:v>
                      </c:pt>
                      <c:pt idx="8">
                        <c:v>22130</c:v>
                      </c:pt>
                      <c:pt idx="9">
                        <c:v>23170</c:v>
                      </c:pt>
                      <c:pt idx="10">
                        <c:v>22010</c:v>
                      </c:pt>
                    </c:numCache>
                  </c:numRef>
                </c:val>
                <c:smooth val="0"/>
                <c:extLst xmlns:c15="http://schemas.microsoft.com/office/drawing/2012/chart">
                  <c:ext xmlns:c16="http://schemas.microsoft.com/office/drawing/2014/chart" uri="{C3380CC4-5D6E-409C-BE32-E72D297353CC}">
                    <c16:uniqueId val="{00000010-E03B-4625-AD67-FCB933559C14}"/>
                  </c:ext>
                </c:extLst>
              </c15:ser>
            </c15:filteredLineSeries>
            <c15:filteredLineSeries>
              <c15:ser>
                <c:idx val="16"/>
                <c:order val="15"/>
                <c:tx>
                  <c:strRef>
                    <c:extLst xmlns:c15="http://schemas.microsoft.com/office/drawing/2012/chart">
                      <c:ext xmlns:c15="http://schemas.microsoft.com/office/drawing/2012/chart" uri="{02D57815-91ED-43cb-92C2-25804820EDAC}">
                        <c15:formulaRef>
                          <c15:sqref>'GDP Figure'!$A$29</c15:sqref>
                        </c15:formulaRef>
                      </c:ext>
                    </c:extLst>
                    <c:strCache>
                      <c:ptCount val="1"/>
                      <c:pt idx="0">
                        <c:v>Estonia</c:v>
                      </c:pt>
                    </c:strCache>
                  </c:strRef>
                </c:tx>
                <c:spPr>
                  <a:ln w="28575" cap="rnd">
                    <a:solidFill>
                      <a:schemeClr val="accent5">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Figure'!$C$29:$M$29</c15:sqref>
                        </c15:formulaRef>
                      </c:ext>
                    </c:extLst>
                    <c:numCache>
                      <c:formatCode>#,##0</c:formatCode>
                      <c:ptCount val="11"/>
                      <c:pt idx="0">
                        <c:v>11150</c:v>
                      </c:pt>
                      <c:pt idx="1">
                        <c:v>12660</c:v>
                      </c:pt>
                      <c:pt idx="2">
                        <c:v>13620</c:v>
                      </c:pt>
                      <c:pt idx="3">
                        <c:v>14420</c:v>
                      </c:pt>
                      <c:pt idx="4">
                        <c:v>15340</c:v>
                      </c:pt>
                      <c:pt idx="5">
                        <c:v>15820</c:v>
                      </c:pt>
                      <c:pt idx="6">
                        <c:v>16670</c:v>
                      </c:pt>
                      <c:pt idx="7">
                        <c:v>18130</c:v>
                      </c:pt>
                      <c:pt idx="8">
                        <c:v>19660</c:v>
                      </c:pt>
                      <c:pt idx="9">
                        <c:v>21220</c:v>
                      </c:pt>
                      <c:pt idx="10">
                        <c:v>20440</c:v>
                      </c:pt>
                    </c:numCache>
                  </c:numRef>
                </c:val>
                <c:smooth val="0"/>
                <c:extLst xmlns:c15="http://schemas.microsoft.com/office/drawing/2012/chart">
                  <c:ext xmlns:c16="http://schemas.microsoft.com/office/drawing/2014/chart" uri="{C3380CC4-5D6E-409C-BE32-E72D297353CC}">
                    <c16:uniqueId val="{00000011-E03B-4625-AD67-FCB933559C14}"/>
                  </c:ext>
                </c:extLst>
              </c15:ser>
            </c15:filteredLineSeries>
            <c15:filteredLineSeries>
              <c15:ser>
                <c:idx val="17"/>
                <c:order val="16"/>
                <c:tx>
                  <c:strRef>
                    <c:extLst xmlns:c15="http://schemas.microsoft.com/office/drawing/2012/chart">
                      <c:ext xmlns:c15="http://schemas.microsoft.com/office/drawing/2012/chart" uri="{02D57815-91ED-43cb-92C2-25804820EDAC}">
                        <c15:formulaRef>
                          <c15:sqref>'GDP Figure'!$A$30</c15:sqref>
                        </c15:formulaRef>
                      </c:ext>
                    </c:extLst>
                    <c:strCache>
                      <c:ptCount val="1"/>
                      <c:pt idx="0">
                        <c:v>Czechia</c:v>
                      </c:pt>
                    </c:strCache>
                  </c:strRef>
                </c:tx>
                <c:spPr>
                  <a:ln w="28575" cap="rnd">
                    <a:solidFill>
                      <a:schemeClr val="accent6">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Figure'!$C$30:$M$30</c15:sqref>
                        </c15:formulaRef>
                      </c:ext>
                    </c:extLst>
                    <c:numCache>
                      <c:formatCode>#,##0</c:formatCode>
                      <c:ptCount val="11"/>
                      <c:pt idx="0">
                        <c:v>15020</c:v>
                      </c:pt>
                      <c:pt idx="1">
                        <c:v>15740</c:v>
                      </c:pt>
                      <c:pt idx="2">
                        <c:v>15470</c:v>
                      </c:pt>
                      <c:pt idx="3">
                        <c:v>15170</c:v>
                      </c:pt>
                      <c:pt idx="4">
                        <c:v>15000</c:v>
                      </c:pt>
                      <c:pt idx="5">
                        <c:v>16080</c:v>
                      </c:pt>
                      <c:pt idx="6">
                        <c:v>16790</c:v>
                      </c:pt>
                      <c:pt idx="7">
                        <c:v>18330</c:v>
                      </c:pt>
                      <c:pt idx="8">
                        <c:v>19850</c:v>
                      </c:pt>
                      <c:pt idx="9">
                        <c:v>20990</c:v>
                      </c:pt>
                      <c:pt idx="10">
                        <c:v>19970</c:v>
                      </c:pt>
                    </c:numCache>
                  </c:numRef>
                </c:val>
                <c:smooth val="0"/>
                <c:extLst xmlns:c15="http://schemas.microsoft.com/office/drawing/2012/chart">
                  <c:ext xmlns:c16="http://schemas.microsoft.com/office/drawing/2014/chart" uri="{C3380CC4-5D6E-409C-BE32-E72D297353CC}">
                    <c16:uniqueId val="{00000012-E03B-4625-AD67-FCB933559C14}"/>
                  </c:ext>
                </c:extLst>
              </c15:ser>
            </c15:filteredLineSeries>
            <c15:filteredLineSeries>
              <c15:ser>
                <c:idx val="18"/>
                <c:order val="17"/>
                <c:tx>
                  <c:strRef>
                    <c:extLst xmlns:c15="http://schemas.microsoft.com/office/drawing/2012/chart">
                      <c:ext xmlns:c15="http://schemas.microsoft.com/office/drawing/2012/chart" uri="{02D57815-91ED-43cb-92C2-25804820EDAC}">
                        <c15:formulaRef>
                          <c15:sqref>'GDP Figure'!$A$31</c15:sqref>
                        </c15:formulaRef>
                      </c:ext>
                    </c:extLst>
                    <c:strCache>
                      <c:ptCount val="1"/>
                      <c:pt idx="0">
                        <c:v>Portugal</c:v>
                      </c:pt>
                    </c:strCache>
                  </c:strRef>
                </c:tx>
                <c:spPr>
                  <a:ln w="28575" cap="rnd">
                    <a:solidFill>
                      <a:schemeClr val="accent1">
                        <a:lumMod val="8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Figure'!$C$31:$M$31</c15:sqref>
                        </c15:formulaRef>
                      </c:ext>
                    </c:extLst>
                    <c:numCache>
                      <c:formatCode>#,##0</c:formatCode>
                      <c:ptCount val="11"/>
                      <c:pt idx="0">
                        <c:v>16990</c:v>
                      </c:pt>
                      <c:pt idx="1">
                        <c:v>16680</c:v>
                      </c:pt>
                      <c:pt idx="2">
                        <c:v>16010</c:v>
                      </c:pt>
                      <c:pt idx="3">
                        <c:v>16300</c:v>
                      </c:pt>
                      <c:pt idx="4">
                        <c:v>16640</c:v>
                      </c:pt>
                      <c:pt idx="5">
                        <c:v>17350</c:v>
                      </c:pt>
                      <c:pt idx="6">
                        <c:v>18060</c:v>
                      </c:pt>
                      <c:pt idx="7">
                        <c:v>19020</c:v>
                      </c:pt>
                      <c:pt idx="8">
                        <c:v>19950</c:v>
                      </c:pt>
                      <c:pt idx="9">
                        <c:v>20800</c:v>
                      </c:pt>
                      <c:pt idx="10">
                        <c:v>19640</c:v>
                      </c:pt>
                    </c:numCache>
                  </c:numRef>
                </c:val>
                <c:smooth val="0"/>
                <c:extLst xmlns:c15="http://schemas.microsoft.com/office/drawing/2012/chart">
                  <c:ext xmlns:c16="http://schemas.microsoft.com/office/drawing/2014/chart" uri="{C3380CC4-5D6E-409C-BE32-E72D297353CC}">
                    <c16:uniqueId val="{00000013-E03B-4625-AD67-FCB933559C14}"/>
                  </c:ext>
                </c:extLst>
              </c15:ser>
            </c15:filteredLineSeries>
            <c15:filteredLineSeries>
              <c15:ser>
                <c:idx val="19"/>
                <c:order val="18"/>
                <c:tx>
                  <c:strRef>
                    <c:extLst xmlns:c15="http://schemas.microsoft.com/office/drawing/2012/chart">
                      <c:ext xmlns:c15="http://schemas.microsoft.com/office/drawing/2012/chart" uri="{02D57815-91ED-43cb-92C2-25804820EDAC}">
                        <c15:formulaRef>
                          <c15:sqref>'GDP Figure'!$A$32</c15:sqref>
                        </c15:formulaRef>
                      </c:ext>
                    </c:extLst>
                    <c:strCache>
                      <c:ptCount val="1"/>
                      <c:pt idx="0">
                        <c:v>Lithuania</c:v>
                      </c:pt>
                    </c:strCache>
                  </c:strRef>
                </c:tx>
                <c:spPr>
                  <a:ln w="28575" cap="rnd">
                    <a:solidFill>
                      <a:schemeClr val="accent2">
                        <a:lumMod val="8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Figure'!$C$32:$M$32</c15:sqref>
                        </c15:formulaRef>
                      </c:ext>
                    </c:extLst>
                    <c:numCache>
                      <c:formatCode>#,##0</c:formatCode>
                      <c:ptCount val="11"/>
                      <c:pt idx="0">
                        <c:v>9050</c:v>
                      </c:pt>
                      <c:pt idx="1">
                        <c:v>10340</c:v>
                      </c:pt>
                      <c:pt idx="2">
                        <c:v>11180</c:v>
                      </c:pt>
                      <c:pt idx="3">
                        <c:v>11850</c:v>
                      </c:pt>
                      <c:pt idx="4">
                        <c:v>12480</c:v>
                      </c:pt>
                      <c:pt idx="5">
                        <c:v>12860</c:v>
                      </c:pt>
                      <c:pt idx="6">
                        <c:v>13560</c:v>
                      </c:pt>
                      <c:pt idx="7">
                        <c:v>14950</c:v>
                      </c:pt>
                      <c:pt idx="8">
                        <c:v>16240</c:v>
                      </c:pt>
                      <c:pt idx="9">
                        <c:v>17460</c:v>
                      </c:pt>
                      <c:pt idx="10">
                        <c:v>17460</c:v>
                      </c:pt>
                    </c:numCache>
                  </c:numRef>
                </c:val>
                <c:smooth val="0"/>
                <c:extLst xmlns:c15="http://schemas.microsoft.com/office/drawing/2012/chart">
                  <c:ext xmlns:c16="http://schemas.microsoft.com/office/drawing/2014/chart" uri="{C3380CC4-5D6E-409C-BE32-E72D297353CC}">
                    <c16:uniqueId val="{00000014-E03B-4625-AD67-FCB933559C14}"/>
                  </c:ext>
                </c:extLst>
              </c15:ser>
            </c15:filteredLineSeries>
            <c15:filteredLineSeries>
              <c15:ser>
                <c:idx val="20"/>
                <c:order val="19"/>
                <c:tx>
                  <c:strRef>
                    <c:extLst xmlns:c15="http://schemas.microsoft.com/office/drawing/2012/chart">
                      <c:ext xmlns:c15="http://schemas.microsoft.com/office/drawing/2012/chart" uri="{02D57815-91ED-43cb-92C2-25804820EDAC}">
                        <c15:formulaRef>
                          <c15:sqref>'GDP Figure'!$A$33</c15:sqref>
                        </c15:formulaRef>
                      </c:ext>
                    </c:extLst>
                    <c:strCache>
                      <c:ptCount val="1"/>
                      <c:pt idx="0">
                        <c:v>Slovakia</c:v>
                      </c:pt>
                    </c:strCache>
                  </c:strRef>
                </c:tx>
                <c:spPr>
                  <a:ln w="28575" cap="rnd">
                    <a:solidFill>
                      <a:schemeClr val="accent3">
                        <a:lumMod val="8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Figure'!$C$33:$M$33</c15:sqref>
                        </c15:formulaRef>
                      </c:ext>
                    </c:extLst>
                    <c:numCache>
                      <c:formatCode>#,##0</c:formatCode>
                      <c:ptCount val="11"/>
                      <c:pt idx="0">
                        <c:v>12560</c:v>
                      </c:pt>
                      <c:pt idx="1">
                        <c:v>13210</c:v>
                      </c:pt>
                      <c:pt idx="2">
                        <c:v>13610</c:v>
                      </c:pt>
                      <c:pt idx="3">
                        <c:v>13750</c:v>
                      </c:pt>
                      <c:pt idx="4">
                        <c:v>14080</c:v>
                      </c:pt>
                      <c:pt idx="5">
                        <c:v>14710</c:v>
                      </c:pt>
                      <c:pt idx="6">
                        <c:v>14920</c:v>
                      </c:pt>
                      <c:pt idx="7">
                        <c:v>15540</c:v>
                      </c:pt>
                      <c:pt idx="8">
                        <c:v>16440</c:v>
                      </c:pt>
                      <c:pt idx="9">
                        <c:v>17210</c:v>
                      </c:pt>
                      <c:pt idx="10">
                        <c:v>16680</c:v>
                      </c:pt>
                    </c:numCache>
                  </c:numRef>
                </c:val>
                <c:smooth val="0"/>
                <c:extLst xmlns:c15="http://schemas.microsoft.com/office/drawing/2012/chart">
                  <c:ext xmlns:c16="http://schemas.microsoft.com/office/drawing/2014/chart" uri="{C3380CC4-5D6E-409C-BE32-E72D297353CC}">
                    <c16:uniqueId val="{00000015-E03B-4625-AD67-FCB933559C14}"/>
                  </c:ext>
                </c:extLst>
              </c15:ser>
            </c15:filteredLineSeries>
            <c15:filteredLineSeries>
              <c15:ser>
                <c:idx val="21"/>
                <c:order val="20"/>
                <c:tx>
                  <c:strRef>
                    <c:extLst xmlns:c15="http://schemas.microsoft.com/office/drawing/2012/chart">
                      <c:ext xmlns:c15="http://schemas.microsoft.com/office/drawing/2012/chart" uri="{02D57815-91ED-43cb-92C2-25804820EDAC}">
                        <c15:formulaRef>
                          <c15:sqref>'GDP Figure'!$A$34</c15:sqref>
                        </c15:formulaRef>
                      </c:ext>
                    </c:extLst>
                    <c:strCache>
                      <c:ptCount val="1"/>
                      <c:pt idx="0">
                        <c:v>Greece</c:v>
                      </c:pt>
                    </c:strCache>
                  </c:strRef>
                </c:tx>
                <c:spPr>
                  <a:ln w="28575" cap="rnd">
                    <a:solidFill>
                      <a:schemeClr val="accent4">
                        <a:lumMod val="8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Figure'!$C$34:$M$34</c15:sqref>
                        </c15:formulaRef>
                      </c:ext>
                    </c:extLst>
                    <c:numCache>
                      <c:formatCode>#,##0</c:formatCode>
                      <c:ptCount val="11"/>
                      <c:pt idx="0">
                        <c:v>20150</c:v>
                      </c:pt>
                      <c:pt idx="1">
                        <c:v>18310</c:v>
                      </c:pt>
                      <c:pt idx="2">
                        <c:v>17060</c:v>
                      </c:pt>
                      <c:pt idx="3">
                        <c:v>16380</c:v>
                      </c:pt>
                      <c:pt idx="4">
                        <c:v>16280</c:v>
                      </c:pt>
                      <c:pt idx="5">
                        <c:v>16270</c:v>
                      </c:pt>
                      <c:pt idx="6">
                        <c:v>16170</c:v>
                      </c:pt>
                      <c:pt idx="7">
                        <c:v>16470</c:v>
                      </c:pt>
                      <c:pt idx="8">
                        <c:v>16750</c:v>
                      </c:pt>
                      <c:pt idx="9">
                        <c:v>17110</c:v>
                      </c:pt>
                      <c:pt idx="10">
                        <c:v>15490</c:v>
                      </c:pt>
                    </c:numCache>
                  </c:numRef>
                </c:val>
                <c:smooth val="0"/>
                <c:extLst xmlns:c15="http://schemas.microsoft.com/office/drawing/2012/chart">
                  <c:ext xmlns:c16="http://schemas.microsoft.com/office/drawing/2014/chart" uri="{C3380CC4-5D6E-409C-BE32-E72D297353CC}">
                    <c16:uniqueId val="{00000016-E03B-4625-AD67-FCB933559C14}"/>
                  </c:ext>
                </c:extLst>
              </c15:ser>
            </c15:filteredLineSeries>
            <c15:filteredLineSeries>
              <c15:ser>
                <c:idx val="22"/>
                <c:order val="21"/>
                <c:tx>
                  <c:strRef>
                    <c:extLst xmlns:c15="http://schemas.microsoft.com/office/drawing/2012/chart">
                      <c:ext xmlns:c15="http://schemas.microsoft.com/office/drawing/2012/chart" uri="{02D57815-91ED-43cb-92C2-25804820EDAC}">
                        <c15:formulaRef>
                          <c15:sqref>'GDP Figure'!$A$35</c15:sqref>
                        </c15:formulaRef>
                      </c:ext>
                    </c:extLst>
                    <c:strCache>
                      <c:ptCount val="1"/>
                      <c:pt idx="0">
                        <c:v>Latvia</c:v>
                      </c:pt>
                    </c:strCache>
                  </c:strRef>
                </c:tx>
                <c:spPr>
                  <a:ln w="28575" cap="rnd">
                    <a:solidFill>
                      <a:schemeClr val="accent5">
                        <a:lumMod val="8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Figure'!$C$35:$M$35</c15:sqref>
                        </c15:formulaRef>
                      </c:ext>
                    </c:extLst>
                    <c:numCache>
                      <c:formatCode>#,##0</c:formatCode>
                      <c:ptCount val="11"/>
                      <c:pt idx="0">
                        <c:v>8520</c:v>
                      </c:pt>
                      <c:pt idx="1">
                        <c:v>9870</c:v>
                      </c:pt>
                      <c:pt idx="2">
                        <c:v>10930</c:v>
                      </c:pt>
                      <c:pt idx="3">
                        <c:v>11410</c:v>
                      </c:pt>
                      <c:pt idx="4">
                        <c:v>11840</c:v>
                      </c:pt>
                      <c:pt idx="5">
                        <c:v>12420</c:v>
                      </c:pt>
                      <c:pt idx="6">
                        <c:v>12940</c:v>
                      </c:pt>
                      <c:pt idx="7">
                        <c:v>13890</c:v>
                      </c:pt>
                      <c:pt idx="8">
                        <c:v>15130</c:v>
                      </c:pt>
                      <c:pt idx="9">
                        <c:v>15900</c:v>
                      </c:pt>
                      <c:pt idx="10">
                        <c:v>15430</c:v>
                      </c:pt>
                    </c:numCache>
                  </c:numRef>
                </c:val>
                <c:smooth val="0"/>
                <c:extLst xmlns:c15="http://schemas.microsoft.com/office/drawing/2012/chart">
                  <c:ext xmlns:c16="http://schemas.microsoft.com/office/drawing/2014/chart" uri="{C3380CC4-5D6E-409C-BE32-E72D297353CC}">
                    <c16:uniqueId val="{00000017-E03B-4625-AD67-FCB933559C14}"/>
                  </c:ext>
                </c:extLst>
              </c15:ser>
            </c15:filteredLineSeries>
            <c15:filteredLineSeries>
              <c15:ser>
                <c:idx val="23"/>
                <c:order val="22"/>
                <c:tx>
                  <c:strRef>
                    <c:extLst xmlns:c15="http://schemas.microsoft.com/office/drawing/2012/chart">
                      <c:ext xmlns:c15="http://schemas.microsoft.com/office/drawing/2012/chart" uri="{02D57815-91ED-43cb-92C2-25804820EDAC}">
                        <c15:formulaRef>
                          <c15:sqref>'GDP Figure'!$A$36</c15:sqref>
                        </c15:formulaRef>
                      </c:ext>
                    </c:extLst>
                    <c:strCache>
                      <c:ptCount val="1"/>
                      <c:pt idx="0">
                        <c:v>Hungary</c:v>
                      </c:pt>
                    </c:strCache>
                  </c:strRef>
                </c:tx>
                <c:spPr>
                  <a:ln w="28575" cap="rnd">
                    <a:solidFill>
                      <a:schemeClr val="accent6">
                        <a:lumMod val="8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Figure'!$C$36:$M$36</c15:sqref>
                        </c15:formulaRef>
                      </c:ext>
                    </c:extLst>
                    <c:numCache>
                      <c:formatCode>#,##0</c:formatCode>
                      <c:ptCount val="11"/>
                      <c:pt idx="0">
                        <c:v>9960</c:v>
                      </c:pt>
                      <c:pt idx="1">
                        <c:v>10230</c:v>
                      </c:pt>
                      <c:pt idx="2">
                        <c:v>10080</c:v>
                      </c:pt>
                      <c:pt idx="3">
                        <c:v>10310</c:v>
                      </c:pt>
                      <c:pt idx="4">
                        <c:v>10750</c:v>
                      </c:pt>
                      <c:pt idx="5">
                        <c:v>11450</c:v>
                      </c:pt>
                      <c:pt idx="6">
                        <c:v>11830</c:v>
                      </c:pt>
                      <c:pt idx="7">
                        <c:v>12960</c:v>
                      </c:pt>
                      <c:pt idx="8">
                        <c:v>13910</c:v>
                      </c:pt>
                      <c:pt idx="9">
                        <c:v>14950</c:v>
                      </c:pt>
                      <c:pt idx="10">
                        <c:v>13900</c:v>
                      </c:pt>
                    </c:numCache>
                  </c:numRef>
                </c:val>
                <c:smooth val="0"/>
                <c:extLst xmlns:c15="http://schemas.microsoft.com/office/drawing/2012/chart">
                  <c:ext xmlns:c16="http://schemas.microsoft.com/office/drawing/2014/chart" uri="{C3380CC4-5D6E-409C-BE32-E72D297353CC}">
                    <c16:uniqueId val="{00000018-E03B-4625-AD67-FCB933559C14}"/>
                  </c:ext>
                </c:extLst>
              </c15:ser>
            </c15:filteredLineSeries>
            <c15:filteredLineSeries>
              <c15:ser>
                <c:idx val="24"/>
                <c:order val="23"/>
                <c:tx>
                  <c:strRef>
                    <c:extLst xmlns:c15="http://schemas.microsoft.com/office/drawing/2012/chart">
                      <c:ext xmlns:c15="http://schemas.microsoft.com/office/drawing/2012/chart" uri="{02D57815-91ED-43cb-92C2-25804820EDAC}">
                        <c15:formulaRef>
                          <c15:sqref>'GDP Figure'!$A$37</c15:sqref>
                        </c15:formulaRef>
                      </c:ext>
                    </c:extLst>
                    <c:strCache>
                      <c:ptCount val="1"/>
                      <c:pt idx="0">
                        <c:v>Poland</c:v>
                      </c:pt>
                    </c:strCache>
                  </c:strRef>
                </c:tx>
                <c:spPr>
                  <a:ln w="28575" cap="rnd">
                    <a:solidFill>
                      <a:schemeClr val="accent1">
                        <a:lumMod val="60000"/>
                        <a:lumOff val="4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Figure'!$C$37:$M$37</c15:sqref>
                        </c15:formulaRef>
                      </c:ext>
                    </c:extLst>
                    <c:numCache>
                      <c:formatCode>#,##0</c:formatCode>
                      <c:ptCount val="11"/>
                      <c:pt idx="0">
                        <c:v>9400</c:v>
                      </c:pt>
                      <c:pt idx="1">
                        <c:v>9860</c:v>
                      </c:pt>
                      <c:pt idx="2">
                        <c:v>10070</c:v>
                      </c:pt>
                      <c:pt idx="3">
                        <c:v>10190</c:v>
                      </c:pt>
                      <c:pt idx="4">
                        <c:v>10630</c:v>
                      </c:pt>
                      <c:pt idx="5">
                        <c:v>11190</c:v>
                      </c:pt>
                      <c:pt idx="6">
                        <c:v>11110</c:v>
                      </c:pt>
                      <c:pt idx="7">
                        <c:v>12170</c:v>
                      </c:pt>
                      <c:pt idx="8">
                        <c:v>12960</c:v>
                      </c:pt>
                      <c:pt idx="9">
                        <c:v>13870</c:v>
                      </c:pt>
                      <c:pt idx="10">
                        <c:v>13600</c:v>
                      </c:pt>
                    </c:numCache>
                  </c:numRef>
                </c:val>
                <c:smooth val="0"/>
                <c:extLst xmlns:c15="http://schemas.microsoft.com/office/drawing/2012/chart">
                  <c:ext xmlns:c16="http://schemas.microsoft.com/office/drawing/2014/chart" uri="{C3380CC4-5D6E-409C-BE32-E72D297353CC}">
                    <c16:uniqueId val="{00000019-E03B-4625-AD67-FCB933559C14}"/>
                  </c:ext>
                </c:extLst>
              </c15:ser>
            </c15:filteredLineSeries>
            <c15:filteredLineSeries>
              <c15:ser>
                <c:idx val="25"/>
                <c:order val="24"/>
                <c:tx>
                  <c:strRef>
                    <c:extLst xmlns:c15="http://schemas.microsoft.com/office/drawing/2012/chart">
                      <c:ext xmlns:c15="http://schemas.microsoft.com/office/drawing/2012/chart" uri="{02D57815-91ED-43cb-92C2-25804820EDAC}">
                        <c15:formulaRef>
                          <c15:sqref>'GDP Figure'!$A$38</c15:sqref>
                        </c15:formulaRef>
                      </c:ext>
                    </c:extLst>
                    <c:strCache>
                      <c:ptCount val="1"/>
                      <c:pt idx="0">
                        <c:v>Croatia</c:v>
                      </c:pt>
                    </c:strCache>
                  </c:strRef>
                </c:tx>
                <c:spPr>
                  <a:ln w="28575" cap="rnd">
                    <a:solidFill>
                      <a:schemeClr val="accent2">
                        <a:lumMod val="60000"/>
                        <a:lumOff val="4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Figure'!$C$38:$M$38</c15:sqref>
                        </c15:formulaRef>
                      </c:ext>
                    </c:extLst>
                    <c:numCache>
                      <c:formatCode>#,##0</c:formatCode>
                      <c:ptCount val="11"/>
                      <c:pt idx="0">
                        <c:v>10520</c:v>
                      </c:pt>
                      <c:pt idx="1">
                        <c:v>10490</c:v>
                      </c:pt>
                      <c:pt idx="2">
                        <c:v>10310</c:v>
                      </c:pt>
                      <c:pt idx="3">
                        <c:v>10300</c:v>
                      </c:pt>
                      <c:pt idx="4">
                        <c:v>10250</c:v>
                      </c:pt>
                      <c:pt idx="5">
                        <c:v>10600</c:v>
                      </c:pt>
                      <c:pt idx="6">
                        <c:v>11170</c:v>
                      </c:pt>
                      <c:pt idx="7">
                        <c:v>11920</c:v>
                      </c:pt>
                      <c:pt idx="8">
                        <c:v>12700</c:v>
                      </c:pt>
                      <c:pt idx="9">
                        <c:v>13340</c:v>
                      </c:pt>
                      <c:pt idx="10">
                        <c:v>12130</c:v>
                      </c:pt>
                    </c:numCache>
                  </c:numRef>
                </c:val>
                <c:smooth val="0"/>
                <c:extLst xmlns:c15="http://schemas.microsoft.com/office/drawing/2012/chart">
                  <c:ext xmlns:c16="http://schemas.microsoft.com/office/drawing/2014/chart" uri="{C3380CC4-5D6E-409C-BE32-E72D297353CC}">
                    <c16:uniqueId val="{0000001A-E03B-4625-AD67-FCB933559C14}"/>
                  </c:ext>
                </c:extLst>
              </c15:ser>
            </c15:filteredLineSeries>
            <c15:filteredLineSeries>
              <c15:ser>
                <c:idx val="27"/>
                <c:order val="25"/>
                <c:tx>
                  <c:strRef>
                    <c:extLst xmlns:c15="http://schemas.microsoft.com/office/drawing/2012/chart">
                      <c:ext xmlns:c15="http://schemas.microsoft.com/office/drawing/2012/chart" uri="{02D57815-91ED-43cb-92C2-25804820EDAC}">
                        <c15:formulaRef>
                          <c15:sqref>'GDP Figure'!$A$40</c15:sqref>
                        </c15:formulaRef>
                      </c:ext>
                    </c:extLst>
                    <c:strCache>
                      <c:ptCount val="1"/>
                      <c:pt idx="0">
                        <c:v>Bulgaria</c:v>
                      </c:pt>
                    </c:strCache>
                  </c:strRef>
                </c:tx>
                <c:spPr>
                  <a:ln w="28575" cap="rnd">
                    <a:solidFill>
                      <a:schemeClr val="accent4">
                        <a:lumMod val="60000"/>
                        <a:lumOff val="4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'GDP Figure'!$C$11:$M$12</c15:sqref>
                        </c15:formulaRef>
                      </c:ext>
                    </c:extLst>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extLst xmlns:c15="http://schemas.microsoft.com/office/drawing/2012/chart">
                      <c:ext xmlns:c15="http://schemas.microsoft.com/office/drawing/2012/chart" uri="{02D57815-91ED-43cb-92C2-25804820EDAC}">
                        <c15:formulaRef>
                          <c15:sqref>'GDP Figure'!$C$40:$M$40</c15:sqref>
                        </c15:formulaRef>
                      </c:ext>
                    </c:extLst>
                    <c:numCache>
                      <c:formatCode>#,##0</c:formatCode>
                      <c:ptCount val="11"/>
                      <c:pt idx="0">
                        <c:v>5050</c:v>
                      </c:pt>
                      <c:pt idx="1">
                        <c:v>5620</c:v>
                      </c:pt>
                      <c:pt idx="2">
                        <c:v>5760</c:v>
                      </c:pt>
                      <c:pt idx="3">
                        <c:v>5770</c:v>
                      </c:pt>
                      <c:pt idx="4">
                        <c:v>5940</c:v>
                      </c:pt>
                      <c:pt idx="5">
                        <c:v>6370</c:v>
                      </c:pt>
                      <c:pt idx="6">
                        <c:v>6820</c:v>
                      </c:pt>
                      <c:pt idx="7">
                        <c:v>7400</c:v>
                      </c:pt>
                      <c:pt idx="8">
                        <c:v>7990</c:v>
                      </c:pt>
                      <c:pt idx="9">
                        <c:v>8780</c:v>
                      </c:pt>
                      <c:pt idx="10">
                        <c:v>8750</c:v>
                      </c:pt>
                    </c:numCache>
                  </c:numRef>
                </c:val>
                <c:smooth val="0"/>
                <c:extLst xmlns:c15="http://schemas.microsoft.com/office/drawing/2012/chart">
                  <c:ext xmlns:c16="http://schemas.microsoft.com/office/drawing/2014/chart" uri="{C3380CC4-5D6E-409C-BE32-E72D297353CC}">
                    <c16:uniqueId val="{0000001B-E03B-4625-AD67-FCB933559C14}"/>
                  </c:ext>
                </c:extLst>
              </c15:ser>
            </c15:filteredLineSeries>
          </c:ext>
        </c:extLst>
      </c:lineChart>
      <c:catAx>
        <c:axId val="767289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767286608"/>
        <c:crosses val="autoZero"/>
        <c:auto val="1"/>
        <c:lblAlgn val="ctr"/>
        <c:lblOffset val="100"/>
        <c:noMultiLvlLbl val="0"/>
      </c:catAx>
      <c:valAx>
        <c:axId val="76728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de-DE"/>
                  <a:t>Euros</a:t>
                </a:r>
              </a:p>
            </c:rich>
          </c:tx>
          <c:layout>
            <c:manualLayout>
              <c:xMode val="edge"/>
              <c:yMode val="edge"/>
              <c:x val="0"/>
              <c:y val="7.7478503354705939E-4"/>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767289560"/>
        <c:crosses val="autoZero"/>
        <c:crossBetween val="between"/>
      </c:valAx>
      <c:spPr>
        <a:noFill/>
        <a:ln>
          <a:noFill/>
        </a:ln>
        <a:effectLst/>
      </c:spPr>
    </c:plotArea>
    <c:legend>
      <c:legendPos val="b"/>
      <c:layout>
        <c:manualLayout>
          <c:xMode val="edge"/>
          <c:yMode val="edge"/>
          <c:x val="0.11102656560453306"/>
          <c:y val="0.86576388304789753"/>
          <c:w val="0.8120031725006337"/>
          <c:h val="0.131491976023739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0463806795703"/>
          <c:y val="0.12037037037037036"/>
          <c:w val="0.84121319444444442"/>
          <c:h val="0.6382483960338291"/>
        </c:manualLayout>
      </c:layout>
      <c:lineChart>
        <c:grouping val="standard"/>
        <c:varyColors val="0"/>
        <c:ser>
          <c:idx val="0"/>
          <c:order val="0"/>
          <c:tx>
            <c:strRef>
              <c:f>Sheet2!$A$14</c:f>
              <c:strCache>
                <c:ptCount val="1"/>
                <c:pt idx="0">
                  <c:v>EU-27</c:v>
                </c:pt>
              </c:strCache>
            </c:strRef>
          </c:tx>
          <c:spPr>
            <a:ln w="22225" cap="rnd">
              <a:solidFill>
                <a:srgbClr val="FFE600"/>
              </a:solidFill>
              <a:round/>
            </a:ln>
            <a:effectLst/>
          </c:spPr>
          <c:marker>
            <c:symbol val="none"/>
          </c:marker>
          <c:cat>
            <c:numRef>
              <c:f>Sheet2!$B$13:$DQ$13</c:f>
              <c:numCache>
                <c:formatCode>[$-809]mmm\ yyyy</c:formatCode>
                <c:ptCount val="120"/>
                <c:pt idx="0">
                  <c:v>40544</c:v>
                </c:pt>
                <c:pt idx="1">
                  <c:v>40575</c:v>
                </c:pt>
                <c:pt idx="2">
                  <c:v>40603</c:v>
                </c:pt>
                <c:pt idx="3">
                  <c:v>40634</c:v>
                </c:pt>
                <c:pt idx="4">
                  <c:v>40664</c:v>
                </c:pt>
                <c:pt idx="5">
                  <c:v>40695</c:v>
                </c:pt>
                <c:pt idx="6">
                  <c:v>40725</c:v>
                </c:pt>
                <c:pt idx="7">
                  <c:v>40756</c:v>
                </c:pt>
                <c:pt idx="8">
                  <c:v>40787</c:v>
                </c:pt>
                <c:pt idx="9">
                  <c:v>40817</c:v>
                </c:pt>
                <c:pt idx="10">
                  <c:v>40848</c:v>
                </c:pt>
                <c:pt idx="11">
                  <c:v>40878</c:v>
                </c:pt>
                <c:pt idx="12">
                  <c:v>40909</c:v>
                </c:pt>
                <c:pt idx="13">
                  <c:v>40940</c:v>
                </c:pt>
                <c:pt idx="14">
                  <c:v>40969</c:v>
                </c:pt>
                <c:pt idx="15">
                  <c:v>41000</c:v>
                </c:pt>
                <c:pt idx="16">
                  <c:v>41030</c:v>
                </c:pt>
                <c:pt idx="17">
                  <c:v>41061</c:v>
                </c:pt>
                <c:pt idx="18">
                  <c:v>41091</c:v>
                </c:pt>
                <c:pt idx="19">
                  <c:v>41122</c:v>
                </c:pt>
                <c:pt idx="20">
                  <c:v>41153</c:v>
                </c:pt>
                <c:pt idx="21">
                  <c:v>41183</c:v>
                </c:pt>
                <c:pt idx="22">
                  <c:v>41214</c:v>
                </c:pt>
                <c:pt idx="23">
                  <c:v>41244</c:v>
                </c:pt>
                <c:pt idx="24">
                  <c:v>41275</c:v>
                </c:pt>
                <c:pt idx="25">
                  <c:v>41306</c:v>
                </c:pt>
                <c:pt idx="26">
                  <c:v>41334</c:v>
                </c:pt>
                <c:pt idx="27">
                  <c:v>41365</c:v>
                </c:pt>
                <c:pt idx="28">
                  <c:v>41395</c:v>
                </c:pt>
                <c:pt idx="29">
                  <c:v>41426</c:v>
                </c:pt>
                <c:pt idx="30">
                  <c:v>41456</c:v>
                </c:pt>
                <c:pt idx="31">
                  <c:v>41487</c:v>
                </c:pt>
                <c:pt idx="32">
                  <c:v>41518</c:v>
                </c:pt>
                <c:pt idx="33">
                  <c:v>41548</c:v>
                </c:pt>
                <c:pt idx="34">
                  <c:v>41579</c:v>
                </c:pt>
                <c:pt idx="35">
                  <c:v>41609</c:v>
                </c:pt>
                <c:pt idx="36">
                  <c:v>41640</c:v>
                </c:pt>
                <c:pt idx="37">
                  <c:v>41671</c:v>
                </c:pt>
                <c:pt idx="38">
                  <c:v>41699</c:v>
                </c:pt>
                <c:pt idx="39">
                  <c:v>41730</c:v>
                </c:pt>
                <c:pt idx="40">
                  <c:v>41760</c:v>
                </c:pt>
                <c:pt idx="41">
                  <c:v>41791</c:v>
                </c:pt>
                <c:pt idx="42">
                  <c:v>41821</c:v>
                </c:pt>
                <c:pt idx="43">
                  <c:v>41852</c:v>
                </c:pt>
                <c:pt idx="44">
                  <c:v>41883</c:v>
                </c:pt>
                <c:pt idx="45">
                  <c:v>41913</c:v>
                </c:pt>
                <c:pt idx="46">
                  <c:v>41944</c:v>
                </c:pt>
                <c:pt idx="47">
                  <c:v>41974</c:v>
                </c:pt>
                <c:pt idx="48">
                  <c:v>42005</c:v>
                </c:pt>
                <c:pt idx="49">
                  <c:v>42036</c:v>
                </c:pt>
                <c:pt idx="50">
                  <c:v>42064</c:v>
                </c:pt>
                <c:pt idx="51">
                  <c:v>42095</c:v>
                </c:pt>
                <c:pt idx="52">
                  <c:v>42125</c:v>
                </c:pt>
                <c:pt idx="53">
                  <c:v>42156</c:v>
                </c:pt>
                <c:pt idx="54">
                  <c:v>42186</c:v>
                </c:pt>
                <c:pt idx="55">
                  <c:v>42217</c:v>
                </c:pt>
                <c:pt idx="56">
                  <c:v>42248</c:v>
                </c:pt>
                <c:pt idx="57">
                  <c:v>42278</c:v>
                </c:pt>
                <c:pt idx="58">
                  <c:v>42309</c:v>
                </c:pt>
                <c:pt idx="59">
                  <c:v>42339</c:v>
                </c:pt>
                <c:pt idx="60">
                  <c:v>42370</c:v>
                </c:pt>
                <c:pt idx="61">
                  <c:v>42401</c:v>
                </c:pt>
                <c:pt idx="62">
                  <c:v>42430</c:v>
                </c:pt>
                <c:pt idx="63">
                  <c:v>42461</c:v>
                </c:pt>
                <c:pt idx="64">
                  <c:v>42491</c:v>
                </c:pt>
                <c:pt idx="65">
                  <c:v>42522</c:v>
                </c:pt>
                <c:pt idx="66">
                  <c:v>42552</c:v>
                </c:pt>
                <c:pt idx="67">
                  <c:v>42583</c:v>
                </c:pt>
                <c:pt idx="68">
                  <c:v>42614</c:v>
                </c:pt>
                <c:pt idx="69">
                  <c:v>42644</c:v>
                </c:pt>
                <c:pt idx="70">
                  <c:v>42675</c:v>
                </c:pt>
                <c:pt idx="71">
                  <c:v>42705</c:v>
                </c:pt>
                <c:pt idx="72">
                  <c:v>42736</c:v>
                </c:pt>
                <c:pt idx="73">
                  <c:v>42767</c:v>
                </c:pt>
                <c:pt idx="74">
                  <c:v>42795</c:v>
                </c:pt>
                <c:pt idx="75">
                  <c:v>42826</c:v>
                </c:pt>
                <c:pt idx="76">
                  <c:v>42856</c:v>
                </c:pt>
                <c:pt idx="77">
                  <c:v>42887</c:v>
                </c:pt>
                <c:pt idx="78">
                  <c:v>42917</c:v>
                </c:pt>
                <c:pt idx="79">
                  <c:v>42948</c:v>
                </c:pt>
                <c:pt idx="80">
                  <c:v>42979</c:v>
                </c:pt>
                <c:pt idx="81">
                  <c:v>43009</c:v>
                </c:pt>
                <c:pt idx="82">
                  <c:v>43040</c:v>
                </c:pt>
                <c:pt idx="83">
                  <c:v>43070</c:v>
                </c:pt>
                <c:pt idx="84">
                  <c:v>43101</c:v>
                </c:pt>
                <c:pt idx="85">
                  <c:v>43132</c:v>
                </c:pt>
                <c:pt idx="86">
                  <c:v>43160</c:v>
                </c:pt>
                <c:pt idx="87">
                  <c:v>43191</c:v>
                </c:pt>
                <c:pt idx="88">
                  <c:v>43221</c:v>
                </c:pt>
                <c:pt idx="89">
                  <c:v>43252</c:v>
                </c:pt>
                <c:pt idx="90">
                  <c:v>43282</c:v>
                </c:pt>
                <c:pt idx="91">
                  <c:v>43313</c:v>
                </c:pt>
                <c:pt idx="92">
                  <c:v>43344</c:v>
                </c:pt>
                <c:pt idx="93">
                  <c:v>43374</c:v>
                </c:pt>
                <c:pt idx="94">
                  <c:v>43405</c:v>
                </c:pt>
                <c:pt idx="95">
                  <c:v>43435</c:v>
                </c:pt>
                <c:pt idx="96">
                  <c:v>43466</c:v>
                </c:pt>
                <c:pt idx="97">
                  <c:v>43497</c:v>
                </c:pt>
                <c:pt idx="98">
                  <c:v>43525</c:v>
                </c:pt>
                <c:pt idx="99">
                  <c:v>43556</c:v>
                </c:pt>
                <c:pt idx="100">
                  <c:v>43586</c:v>
                </c:pt>
                <c:pt idx="101">
                  <c:v>43617</c:v>
                </c:pt>
                <c:pt idx="102">
                  <c:v>43647</c:v>
                </c:pt>
                <c:pt idx="103">
                  <c:v>43678</c:v>
                </c:pt>
                <c:pt idx="104">
                  <c:v>43709</c:v>
                </c:pt>
                <c:pt idx="105">
                  <c:v>43739</c:v>
                </c:pt>
                <c:pt idx="106">
                  <c:v>43770</c:v>
                </c:pt>
                <c:pt idx="107">
                  <c:v>43800</c:v>
                </c:pt>
                <c:pt idx="108">
                  <c:v>43831</c:v>
                </c:pt>
                <c:pt idx="109">
                  <c:v>43862</c:v>
                </c:pt>
                <c:pt idx="110">
                  <c:v>43891</c:v>
                </c:pt>
                <c:pt idx="111">
                  <c:v>43922</c:v>
                </c:pt>
                <c:pt idx="112">
                  <c:v>43952</c:v>
                </c:pt>
                <c:pt idx="113">
                  <c:v>43983</c:v>
                </c:pt>
                <c:pt idx="114">
                  <c:v>44013</c:v>
                </c:pt>
                <c:pt idx="115">
                  <c:v>44044</c:v>
                </c:pt>
                <c:pt idx="116">
                  <c:v>44075</c:v>
                </c:pt>
                <c:pt idx="117">
                  <c:v>44105</c:v>
                </c:pt>
                <c:pt idx="118">
                  <c:v>44136</c:v>
                </c:pt>
                <c:pt idx="119">
                  <c:v>44166</c:v>
                </c:pt>
              </c:numCache>
            </c:numRef>
          </c:cat>
          <c:val>
            <c:numRef>
              <c:f>Sheet2!$B$14:$DQ$14</c:f>
              <c:numCache>
                <c:formatCode>#,##0</c:formatCode>
                <c:ptCount val="120"/>
                <c:pt idx="0">
                  <c:v>44178570</c:v>
                </c:pt>
                <c:pt idx="1">
                  <c:v>45004852</c:v>
                </c:pt>
                <c:pt idx="2">
                  <c:v>54224391</c:v>
                </c:pt>
                <c:pt idx="3">
                  <c:v>65013785</c:v>
                </c:pt>
                <c:pt idx="4">
                  <c:v>80186986</c:v>
                </c:pt>
                <c:pt idx="5">
                  <c:v>114123554</c:v>
                </c:pt>
                <c:pt idx="6">
                  <c:v>162081166</c:v>
                </c:pt>
                <c:pt idx="7">
                  <c:v>163176889</c:v>
                </c:pt>
                <c:pt idx="8">
                  <c:v>111049092</c:v>
                </c:pt>
                <c:pt idx="9">
                  <c:v>72192881</c:v>
                </c:pt>
                <c:pt idx="10">
                  <c:v>39101370</c:v>
                </c:pt>
                <c:pt idx="11">
                  <c:v>40871964</c:v>
                </c:pt>
                <c:pt idx="12">
                  <c:v>46194244</c:v>
                </c:pt>
                <c:pt idx="13">
                  <c:v>48263065</c:v>
                </c:pt>
                <c:pt idx="14">
                  <c:v>54070569</c:v>
                </c:pt>
                <c:pt idx="15">
                  <c:v>64475197</c:v>
                </c:pt>
                <c:pt idx="16">
                  <c:v>85090934</c:v>
                </c:pt>
                <c:pt idx="17">
                  <c:v>112845959</c:v>
                </c:pt>
                <c:pt idx="18">
                  <c:v>173397245</c:v>
                </c:pt>
                <c:pt idx="19">
                  <c:v>172802869</c:v>
                </c:pt>
                <c:pt idx="20">
                  <c:v>115173867</c:v>
                </c:pt>
                <c:pt idx="21">
                  <c:v>72702867</c:v>
                </c:pt>
                <c:pt idx="22">
                  <c:v>40043995</c:v>
                </c:pt>
                <c:pt idx="23">
                  <c:v>42614248</c:v>
                </c:pt>
                <c:pt idx="24">
                  <c:v>46051553</c:v>
                </c:pt>
                <c:pt idx="25">
                  <c:v>49225905</c:v>
                </c:pt>
                <c:pt idx="26">
                  <c:v>59493311</c:v>
                </c:pt>
                <c:pt idx="27">
                  <c:v>60209486</c:v>
                </c:pt>
                <c:pt idx="28">
                  <c:v>95626607</c:v>
                </c:pt>
                <c:pt idx="29">
                  <c:v>116921327</c:v>
                </c:pt>
                <c:pt idx="30">
                  <c:v>179575725</c:v>
                </c:pt>
                <c:pt idx="31">
                  <c:v>182929384</c:v>
                </c:pt>
                <c:pt idx="32">
                  <c:v>119732856</c:v>
                </c:pt>
                <c:pt idx="33">
                  <c:v>77390132</c:v>
                </c:pt>
                <c:pt idx="34">
                  <c:v>42108184</c:v>
                </c:pt>
                <c:pt idx="35">
                  <c:v>45511719</c:v>
                </c:pt>
                <c:pt idx="36">
                  <c:v>48089220</c:v>
                </c:pt>
                <c:pt idx="37">
                  <c:v>49211586</c:v>
                </c:pt>
                <c:pt idx="38">
                  <c:v>58099071</c:v>
                </c:pt>
                <c:pt idx="39">
                  <c:v>69968802</c:v>
                </c:pt>
                <c:pt idx="40">
                  <c:v>92521783</c:v>
                </c:pt>
                <c:pt idx="41">
                  <c:v>126968092</c:v>
                </c:pt>
                <c:pt idx="42">
                  <c:v>177585588</c:v>
                </c:pt>
                <c:pt idx="43">
                  <c:v>190626476</c:v>
                </c:pt>
                <c:pt idx="44">
                  <c:v>124510045</c:v>
                </c:pt>
                <c:pt idx="45">
                  <c:v>81229355</c:v>
                </c:pt>
                <c:pt idx="46">
                  <c:v>43358151</c:v>
                </c:pt>
                <c:pt idx="47">
                  <c:v>47329661</c:v>
                </c:pt>
                <c:pt idx="48">
                  <c:v>48778053</c:v>
                </c:pt>
                <c:pt idx="49">
                  <c:v>53266878</c:v>
                </c:pt>
                <c:pt idx="50">
                  <c:v>58553386</c:v>
                </c:pt>
                <c:pt idx="51">
                  <c:v>71031668</c:v>
                </c:pt>
                <c:pt idx="52">
                  <c:v>100869436</c:v>
                </c:pt>
                <c:pt idx="53">
                  <c:v>126924346</c:v>
                </c:pt>
                <c:pt idx="54">
                  <c:v>190095194</c:v>
                </c:pt>
                <c:pt idx="55">
                  <c:v>196787070</c:v>
                </c:pt>
                <c:pt idx="56">
                  <c:v>130296625</c:v>
                </c:pt>
                <c:pt idx="57">
                  <c:v>86786822</c:v>
                </c:pt>
                <c:pt idx="58">
                  <c:v>45179628</c:v>
                </c:pt>
                <c:pt idx="59">
                  <c:v>47815647</c:v>
                </c:pt>
                <c:pt idx="60">
                  <c:v>50307415</c:v>
                </c:pt>
                <c:pt idx="61">
                  <c:v>56807991</c:v>
                </c:pt>
                <c:pt idx="62">
                  <c:v>68771587</c:v>
                </c:pt>
                <c:pt idx="63">
                  <c:v>69385097</c:v>
                </c:pt>
                <c:pt idx="64">
                  <c:v>107528884</c:v>
                </c:pt>
                <c:pt idx="65">
                  <c:v>129557332</c:v>
                </c:pt>
                <c:pt idx="66">
                  <c:v>198045162</c:v>
                </c:pt>
                <c:pt idx="67">
                  <c:v>204523098</c:v>
                </c:pt>
                <c:pt idx="68">
                  <c:v>137197017</c:v>
                </c:pt>
                <c:pt idx="69">
                  <c:v>92147726</c:v>
                </c:pt>
                <c:pt idx="70">
                  <c:v>48521522</c:v>
                </c:pt>
                <c:pt idx="71">
                  <c:v>51025285</c:v>
                </c:pt>
                <c:pt idx="72">
                  <c:v>54625585</c:v>
                </c:pt>
                <c:pt idx="73">
                  <c:v>58473653</c:v>
                </c:pt>
                <c:pt idx="74">
                  <c:v>65985290</c:v>
                </c:pt>
                <c:pt idx="75">
                  <c:v>87501593</c:v>
                </c:pt>
                <c:pt idx="76">
                  <c:v>106968008</c:v>
                </c:pt>
                <c:pt idx="77">
                  <c:v>149506517</c:v>
                </c:pt>
                <c:pt idx="78">
                  <c:v>209479592</c:v>
                </c:pt>
                <c:pt idx="79">
                  <c:v>213199878</c:v>
                </c:pt>
                <c:pt idx="80">
                  <c:v>144317120</c:v>
                </c:pt>
                <c:pt idx="81">
                  <c:v>97143683</c:v>
                </c:pt>
                <c:pt idx="82">
                  <c:v>51926504</c:v>
                </c:pt>
                <c:pt idx="83">
                  <c:v>54267703</c:v>
                </c:pt>
                <c:pt idx="84">
                  <c:v>57644438</c:v>
                </c:pt>
                <c:pt idx="85">
                  <c:v>62172376</c:v>
                </c:pt>
                <c:pt idx="86">
                  <c:v>74143458</c:v>
                </c:pt>
                <c:pt idx="87">
                  <c:v>83339808</c:v>
                </c:pt>
                <c:pt idx="88">
                  <c:v>120702214</c:v>
                </c:pt>
                <c:pt idx="89">
                  <c:v>146992939</c:v>
                </c:pt>
                <c:pt idx="90">
                  <c:v>213874840</c:v>
                </c:pt>
                <c:pt idx="91">
                  <c:v>214379506</c:v>
                </c:pt>
                <c:pt idx="92">
                  <c:v>145404950</c:v>
                </c:pt>
                <c:pt idx="93">
                  <c:v>99711650</c:v>
                </c:pt>
                <c:pt idx="94">
                  <c:v>53852268</c:v>
                </c:pt>
                <c:pt idx="95">
                  <c:v>56893375</c:v>
                </c:pt>
                <c:pt idx="96">
                  <c:v>57812266</c:v>
                </c:pt>
                <c:pt idx="97">
                  <c:v>61245587</c:v>
                </c:pt>
                <c:pt idx="98">
                  <c:v>71708007</c:v>
                </c:pt>
                <c:pt idx="99">
                  <c:v>92776499</c:v>
                </c:pt>
                <c:pt idx="100">
                  <c:v>114352113</c:v>
                </c:pt>
                <c:pt idx="101">
                  <c:v>160497149</c:v>
                </c:pt>
                <c:pt idx="102">
                  <c:v>217479509</c:v>
                </c:pt>
                <c:pt idx="103">
                  <c:v>219864872</c:v>
                </c:pt>
                <c:pt idx="104">
                  <c:v>149427445</c:v>
                </c:pt>
                <c:pt idx="105">
                  <c:v>103294486</c:v>
                </c:pt>
                <c:pt idx="106">
                  <c:v>55082645</c:v>
                </c:pt>
                <c:pt idx="107">
                  <c:v>59449664</c:v>
                </c:pt>
                <c:pt idx="108">
                  <c:v>60572374</c:v>
                </c:pt>
                <c:pt idx="109">
                  <c:v>64527675</c:v>
                </c:pt>
                <c:pt idx="110">
                  <c:v>24342445</c:v>
                </c:pt>
                <c:pt idx="111">
                  <c:v>2031765</c:v>
                </c:pt>
                <c:pt idx="112">
                  <c:v>3946380</c:v>
                </c:pt>
                <c:pt idx="113">
                  <c:v>19009121</c:v>
                </c:pt>
                <c:pt idx="114">
                  <c:v>77645201</c:v>
                </c:pt>
                <c:pt idx="115">
                  <c:v>94433038</c:v>
                </c:pt>
                <c:pt idx="116">
                  <c:v>52105447</c:v>
                </c:pt>
                <c:pt idx="117">
                  <c:v>25474370</c:v>
                </c:pt>
                <c:pt idx="118">
                  <c:v>7721398</c:v>
                </c:pt>
                <c:pt idx="119">
                  <c:v>7183695</c:v>
                </c:pt>
              </c:numCache>
            </c:numRef>
          </c:val>
          <c:smooth val="0"/>
          <c:extLst>
            <c:ext xmlns:c16="http://schemas.microsoft.com/office/drawing/2014/chart" uri="{C3380CC4-5D6E-409C-BE32-E72D297353CC}">
              <c16:uniqueId val="{00000000-F285-4A66-B444-79603D93E58B}"/>
            </c:ext>
          </c:extLst>
        </c:ser>
        <c:dLbls>
          <c:showLegendKey val="0"/>
          <c:showVal val="0"/>
          <c:showCatName val="0"/>
          <c:showSerName val="0"/>
          <c:showPercent val="0"/>
          <c:showBubbleSize val="0"/>
        </c:dLbls>
        <c:smooth val="0"/>
        <c:axId val="865732224"/>
        <c:axId val="865728616"/>
      </c:lineChart>
      <c:dateAx>
        <c:axId val="865732224"/>
        <c:scaling>
          <c:orientation val="minMax"/>
        </c:scaling>
        <c:delete val="0"/>
        <c:axPos val="b"/>
        <c:numFmt formatCode="[$-809]mmm\ yy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865728616"/>
        <c:crosses val="autoZero"/>
        <c:auto val="0"/>
        <c:lblOffset val="100"/>
        <c:baseTimeUnit val="months"/>
        <c:majorUnit val="6"/>
        <c:majorTimeUnit val="months"/>
      </c:dateAx>
      <c:valAx>
        <c:axId val="865728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de-DE"/>
                  <a:t>Nights spent</a:t>
                </a:r>
                <a:r>
                  <a:rPr lang="de-DE" baseline="0"/>
                  <a:t> </a:t>
                </a:r>
                <a:endParaRPr lang="de-DE"/>
              </a:p>
            </c:rich>
          </c:tx>
          <c:layout>
            <c:manualLayout>
              <c:xMode val="edge"/>
              <c:yMode val="edge"/>
              <c:x val="0"/>
              <c:y val="0"/>
            </c:manualLayout>
          </c:layout>
          <c:overlay val="0"/>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865732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Verdana" panose="020B0604030504040204" pitchFamily="34" charset="0"/>
          <a:ea typeface="Verdana" panose="020B060403050404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646464"/>
            </a:solidFill>
          </c:spPr>
          <c:dPt>
            <c:idx val="0"/>
            <c:bubble3D val="0"/>
            <c:spPr>
              <a:solidFill>
                <a:srgbClr val="C0C0C0"/>
              </a:solidFill>
              <a:ln w="19050">
                <a:solidFill>
                  <a:schemeClr val="lt1"/>
                </a:solidFill>
              </a:ln>
              <a:effectLst/>
            </c:spPr>
            <c:extLst>
              <c:ext xmlns:c16="http://schemas.microsoft.com/office/drawing/2014/chart" uri="{C3380CC4-5D6E-409C-BE32-E72D297353CC}">
                <c16:uniqueId val="{00000001-7BED-4E01-891A-246941AA71D7}"/>
              </c:ext>
            </c:extLst>
          </c:dPt>
          <c:dPt>
            <c:idx val="1"/>
            <c:bubble3D val="0"/>
            <c:spPr>
              <a:solidFill>
                <a:srgbClr val="646464"/>
              </a:solidFill>
              <a:ln w="19050">
                <a:solidFill>
                  <a:schemeClr val="lt1"/>
                </a:solidFill>
              </a:ln>
              <a:effectLst/>
            </c:spPr>
            <c:extLst>
              <c:ext xmlns:c16="http://schemas.microsoft.com/office/drawing/2014/chart" uri="{C3380CC4-5D6E-409C-BE32-E72D297353CC}">
                <c16:uniqueId val="{00000003-7BED-4E01-891A-246941AA71D7}"/>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7BED-4E01-891A-246941AA71D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'Exchange of information'!$C$7:$C$8</c:f>
              <c:strCache>
                <c:ptCount val="2"/>
                <c:pt idx="0">
                  <c:v>Countries with available information on SPOC staff</c:v>
                </c:pt>
                <c:pt idx="1">
                  <c:v>Countries without available information on SPOC staff</c:v>
                </c:pt>
              </c:strCache>
            </c:strRef>
          </c:cat>
          <c:val>
            <c:numRef>
              <c:f>'Exchange of information'!$E$7:$E$8</c:f>
              <c:numCache>
                <c:formatCode>0%</c:formatCode>
                <c:ptCount val="2"/>
                <c:pt idx="0">
                  <c:v>0.41935483870967744</c:v>
                </c:pt>
                <c:pt idx="1">
                  <c:v>0.58064516129032262</c:v>
                </c:pt>
              </c:numCache>
            </c:numRef>
          </c:val>
          <c:extLst>
            <c:ext xmlns:c16="http://schemas.microsoft.com/office/drawing/2014/chart" uri="{C3380CC4-5D6E-409C-BE32-E72D297353CC}">
              <c16:uniqueId val="{00000004-7BED-4E01-891A-246941AA71D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72917433121354"/>
          <c:y val="5.1144060040270917E-2"/>
          <c:w val="0.85955983602249431"/>
          <c:h val="0.55317437834435002"/>
        </c:manualLayout>
      </c:layout>
      <c:barChart>
        <c:barDir val="col"/>
        <c:grouping val="clustered"/>
        <c:varyColors val="0"/>
        <c:ser>
          <c:idx val="0"/>
          <c:order val="0"/>
          <c:spPr>
            <a:solidFill>
              <a:srgbClr val="646464"/>
            </a:solidFill>
            <a:ln w="19050">
              <a:solidFill>
                <a:schemeClr val="lt1"/>
              </a:solidFill>
            </a:ln>
            <a:effectLst/>
          </c:spPr>
          <c:invertIfNegative val="0"/>
          <c:dPt>
            <c:idx val="0"/>
            <c:invertIfNegative val="0"/>
            <c:bubble3D val="0"/>
            <c:spPr>
              <a:solidFill>
                <a:srgbClr val="C0C0C0"/>
              </a:solidFill>
              <a:ln w="19050">
                <a:solidFill>
                  <a:schemeClr val="lt1"/>
                </a:solidFill>
              </a:ln>
              <a:effectLst/>
            </c:spPr>
            <c:extLst>
              <c:ext xmlns:c16="http://schemas.microsoft.com/office/drawing/2014/chart" uri="{C3380CC4-5D6E-409C-BE32-E72D297353CC}">
                <c16:uniqueId val="{00000001-132D-43A8-9ABB-B17E3F49AD48}"/>
              </c:ext>
            </c:extLst>
          </c:dPt>
          <c:dPt>
            <c:idx val="2"/>
            <c:invertIfNegative val="0"/>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132D-43A8-9ABB-B17E3F49AD48}"/>
              </c:ext>
            </c:extLst>
          </c:dPt>
          <c:dPt>
            <c:idx val="3"/>
            <c:invertIfNegative val="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5-132D-43A8-9ABB-B17E3F49AD48}"/>
              </c:ext>
            </c:extLst>
          </c:dPt>
          <c:dLbls>
            <c:dLbl>
              <c:idx val="1"/>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6-132D-43A8-9ABB-B17E3F49AD48}"/>
                </c:ext>
              </c:extLst>
            </c:dLbl>
            <c:dLbl>
              <c:idx val="2"/>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132D-43A8-9ABB-B17E3F49AD48}"/>
                </c:ext>
              </c:extLst>
            </c:dLbl>
            <c:dLbl>
              <c:idx val="3"/>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5-132D-43A8-9ABB-B17E3F49AD48}"/>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'Exchange of information'!$C$22:$C$25</c:f>
              <c:strCache>
                <c:ptCount val="4"/>
                <c:pt idx="0">
                  <c:v>Countries with no transposition</c:v>
                </c:pt>
                <c:pt idx="1">
                  <c:v>Countries with limited operational implementation</c:v>
                </c:pt>
                <c:pt idx="2">
                  <c:v>Countries with limited use of forms</c:v>
                </c:pt>
                <c:pt idx="3">
                  <c:v>Countries without available information</c:v>
                </c:pt>
              </c:strCache>
            </c:strRef>
          </c:cat>
          <c:val>
            <c:numRef>
              <c:f>'Exchange of information'!$D$22:$D$25</c:f>
              <c:numCache>
                <c:formatCode>General</c:formatCode>
                <c:ptCount val="4"/>
                <c:pt idx="0">
                  <c:v>1</c:v>
                </c:pt>
                <c:pt idx="1">
                  <c:v>15</c:v>
                </c:pt>
                <c:pt idx="2">
                  <c:v>10</c:v>
                </c:pt>
                <c:pt idx="3">
                  <c:v>5</c:v>
                </c:pt>
              </c:numCache>
            </c:numRef>
          </c:val>
          <c:extLst>
            <c:ext xmlns:c16="http://schemas.microsoft.com/office/drawing/2014/chart" uri="{C3380CC4-5D6E-409C-BE32-E72D297353CC}">
              <c16:uniqueId val="{00000007-132D-43A8-9ABB-B17E3F49AD48}"/>
            </c:ext>
          </c:extLst>
        </c:ser>
        <c:dLbls>
          <c:showLegendKey val="0"/>
          <c:showVal val="0"/>
          <c:showCatName val="0"/>
          <c:showSerName val="0"/>
          <c:showPercent val="0"/>
          <c:showBubbleSize val="0"/>
        </c:dLbls>
        <c:gapWidth val="100"/>
        <c:axId val="918745448"/>
        <c:axId val="918752008"/>
      </c:barChart>
      <c:catAx>
        <c:axId val="918745448"/>
        <c:scaling>
          <c:orientation val="minMax"/>
        </c:scaling>
        <c:delete val="1"/>
        <c:axPos val="b"/>
        <c:numFmt formatCode="General" sourceLinked="1"/>
        <c:majorTickMark val="out"/>
        <c:minorTickMark val="none"/>
        <c:tickLblPos val="nextTo"/>
        <c:crossAx val="918752008"/>
        <c:crosses val="autoZero"/>
        <c:auto val="1"/>
        <c:lblAlgn val="ctr"/>
        <c:lblOffset val="100"/>
        <c:noMultiLvlLbl val="0"/>
      </c:catAx>
      <c:valAx>
        <c:axId val="91875200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91874544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646464"/>
            </a:solidFill>
          </c:spPr>
          <c:dPt>
            <c:idx val="0"/>
            <c:bubble3D val="0"/>
            <c:spPr>
              <a:solidFill>
                <a:srgbClr val="C0C0C0"/>
              </a:solidFill>
              <a:ln w="19050">
                <a:solidFill>
                  <a:schemeClr val="lt1"/>
                </a:solidFill>
              </a:ln>
              <a:effectLst/>
            </c:spPr>
            <c:extLst>
              <c:ext xmlns:c16="http://schemas.microsoft.com/office/drawing/2014/chart" uri="{C3380CC4-5D6E-409C-BE32-E72D297353CC}">
                <c16:uniqueId val="{00000001-5ADF-44F0-A274-6FC1F8C929AF}"/>
              </c:ext>
            </c:extLst>
          </c:dPt>
          <c:dPt>
            <c:idx val="1"/>
            <c:bubble3D val="0"/>
            <c:spPr>
              <a:solidFill>
                <a:srgbClr val="646464"/>
              </a:solidFill>
              <a:ln w="19050">
                <a:solidFill>
                  <a:schemeClr val="lt1"/>
                </a:solidFill>
              </a:ln>
              <a:effectLst/>
            </c:spPr>
            <c:extLst>
              <c:ext xmlns:c16="http://schemas.microsoft.com/office/drawing/2014/chart" uri="{C3380CC4-5D6E-409C-BE32-E72D297353CC}">
                <c16:uniqueId val="{00000003-5ADF-44F0-A274-6FC1F8C929AF}"/>
              </c:ext>
            </c:extLst>
          </c:dPt>
          <c:dPt>
            <c:idx val="2"/>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5-5ADF-44F0-A274-6FC1F8C929AF}"/>
              </c:ext>
            </c:extLst>
          </c:dPt>
          <c:dPt>
            <c:idx val="3"/>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7-5ADF-44F0-A274-6FC1F8C929AF}"/>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DF-44F0-A274-6FC1F8C929AF}"/>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DF-44F0-A274-6FC1F8C929AF}"/>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DF-44F0-A274-6FC1F8C929AF}"/>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ADF-44F0-A274-6FC1F8C929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extLst>
          </c:dLbls>
          <c:cat>
            <c:strRef>
              <c:f>'Exchange of information'!$C$22:$C$25</c:f>
              <c:strCache>
                <c:ptCount val="4"/>
                <c:pt idx="0">
                  <c:v>Countries with no transposition</c:v>
                </c:pt>
                <c:pt idx="1">
                  <c:v>Countries with limited operational implementation</c:v>
                </c:pt>
                <c:pt idx="2">
                  <c:v>Countries with limited use of forms</c:v>
                </c:pt>
                <c:pt idx="3">
                  <c:v>Countries without available information</c:v>
                </c:pt>
              </c:strCache>
            </c:strRef>
          </c:cat>
          <c:val>
            <c:numRef>
              <c:f>'Exchange of information'!$E$22:$E$25</c:f>
              <c:numCache>
                <c:formatCode>0%</c:formatCode>
                <c:ptCount val="4"/>
                <c:pt idx="0">
                  <c:v>3.2258064516129031E-2</c:v>
                </c:pt>
                <c:pt idx="1">
                  <c:v>0.4838709677419355</c:v>
                </c:pt>
                <c:pt idx="2">
                  <c:v>0.32258064516129031</c:v>
                </c:pt>
                <c:pt idx="3">
                  <c:v>0.16129032258064516</c:v>
                </c:pt>
              </c:numCache>
            </c:numRef>
          </c:val>
          <c:extLst>
            <c:ext xmlns:c16="http://schemas.microsoft.com/office/drawing/2014/chart" uri="{C3380CC4-5D6E-409C-BE32-E72D297353CC}">
              <c16:uniqueId val="{00000008-5ADF-44F0-A274-6FC1F8C929A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C0C0"/>
            </a:solidFill>
            <a:ln w="19050">
              <a:solidFill>
                <a:schemeClr val="lt1"/>
              </a:solidFill>
            </a:ln>
            <a:effectLst/>
          </c:spPr>
          <c:invertIfNegative val="0"/>
          <c:dPt>
            <c:idx val="1"/>
            <c:invertIfNegative val="0"/>
            <c:bubble3D val="0"/>
            <c:spPr>
              <a:solidFill>
                <a:srgbClr val="646464"/>
              </a:solidFill>
              <a:ln w="19050">
                <a:solidFill>
                  <a:schemeClr val="lt1"/>
                </a:solidFill>
              </a:ln>
              <a:effectLst/>
            </c:spPr>
            <c:extLst>
              <c:ext xmlns:c16="http://schemas.microsoft.com/office/drawing/2014/chart" uri="{C3380CC4-5D6E-409C-BE32-E72D297353CC}">
                <c16:uniqueId val="{00000001-3184-4D67-A771-9A67D4F95A6C}"/>
              </c:ext>
            </c:extLst>
          </c:dPt>
          <c:dPt>
            <c:idx val="2"/>
            <c:invertIfNegative val="0"/>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3184-4D67-A771-9A67D4F95A6C}"/>
              </c:ext>
            </c:extLst>
          </c:dPt>
          <c:dPt>
            <c:idx val="3"/>
            <c:invertIfNegative val="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5-3184-4D67-A771-9A67D4F95A6C}"/>
              </c:ext>
            </c:extLst>
          </c:dPt>
          <c:dLbls>
            <c:dLbl>
              <c:idx val="1"/>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3184-4D67-A771-9A67D4F95A6C}"/>
                </c:ext>
              </c:extLst>
            </c:dLbl>
            <c:dLbl>
              <c:idx val="2"/>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3184-4D67-A771-9A67D4F95A6C}"/>
                </c:ext>
              </c:extLst>
            </c:dLbl>
            <c:dLbl>
              <c:idx val="3"/>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5-3184-4D67-A771-9A67D4F95A6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'Exchange of information'!$C$35:$C$38</c:f>
              <c:strCache>
                <c:ptCount val="4"/>
                <c:pt idx="0">
                  <c:v>SIENA as preferred channel</c:v>
                </c:pt>
                <c:pt idx="1">
                  <c:v>I-24/7 as preferred channel</c:v>
                </c:pt>
                <c:pt idx="2">
                  <c:v>Indifferent usage of channels</c:v>
                </c:pt>
                <c:pt idx="3">
                  <c:v>Countries without available information</c:v>
                </c:pt>
              </c:strCache>
            </c:strRef>
          </c:cat>
          <c:val>
            <c:numRef>
              <c:f>'Exchange of information'!$D$35:$D$38</c:f>
              <c:numCache>
                <c:formatCode>General</c:formatCode>
                <c:ptCount val="4"/>
                <c:pt idx="0">
                  <c:v>5</c:v>
                </c:pt>
                <c:pt idx="1">
                  <c:v>4</c:v>
                </c:pt>
                <c:pt idx="2">
                  <c:v>17</c:v>
                </c:pt>
                <c:pt idx="3">
                  <c:v>5</c:v>
                </c:pt>
              </c:numCache>
            </c:numRef>
          </c:val>
          <c:extLst>
            <c:ext xmlns:c16="http://schemas.microsoft.com/office/drawing/2014/chart" uri="{C3380CC4-5D6E-409C-BE32-E72D297353CC}">
              <c16:uniqueId val="{00000006-3184-4D67-A771-9A67D4F95A6C}"/>
            </c:ext>
          </c:extLst>
        </c:ser>
        <c:dLbls>
          <c:showLegendKey val="0"/>
          <c:showVal val="0"/>
          <c:showCatName val="0"/>
          <c:showSerName val="0"/>
          <c:showPercent val="0"/>
          <c:showBubbleSize val="0"/>
        </c:dLbls>
        <c:gapWidth val="100"/>
        <c:axId val="918745448"/>
        <c:axId val="918752008"/>
      </c:barChart>
      <c:catAx>
        <c:axId val="918745448"/>
        <c:scaling>
          <c:orientation val="minMax"/>
        </c:scaling>
        <c:delete val="1"/>
        <c:axPos val="b"/>
        <c:numFmt formatCode="General" sourceLinked="1"/>
        <c:majorTickMark val="out"/>
        <c:minorTickMark val="none"/>
        <c:tickLblPos val="nextTo"/>
        <c:crossAx val="918752008"/>
        <c:crosses val="autoZero"/>
        <c:auto val="1"/>
        <c:lblAlgn val="ctr"/>
        <c:lblOffset val="100"/>
        <c:noMultiLvlLbl val="0"/>
      </c:catAx>
      <c:valAx>
        <c:axId val="91875200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91874544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646464"/>
            </a:solidFill>
          </c:spPr>
          <c:dPt>
            <c:idx val="0"/>
            <c:bubble3D val="0"/>
            <c:spPr>
              <a:solidFill>
                <a:srgbClr val="C0C0C0"/>
              </a:solidFill>
              <a:ln w="19050">
                <a:solidFill>
                  <a:schemeClr val="lt1"/>
                </a:solidFill>
              </a:ln>
              <a:effectLst/>
            </c:spPr>
            <c:extLst>
              <c:ext xmlns:c16="http://schemas.microsoft.com/office/drawing/2014/chart" uri="{C3380CC4-5D6E-409C-BE32-E72D297353CC}">
                <c16:uniqueId val="{00000001-0C87-4936-90FA-D48CFFD12B9C}"/>
              </c:ext>
            </c:extLst>
          </c:dPt>
          <c:dPt>
            <c:idx val="1"/>
            <c:bubble3D val="0"/>
            <c:spPr>
              <a:solidFill>
                <a:srgbClr val="646464"/>
              </a:solidFill>
              <a:ln w="19050">
                <a:solidFill>
                  <a:schemeClr val="lt1"/>
                </a:solidFill>
              </a:ln>
              <a:effectLst/>
            </c:spPr>
            <c:extLst>
              <c:ext xmlns:c16="http://schemas.microsoft.com/office/drawing/2014/chart" uri="{C3380CC4-5D6E-409C-BE32-E72D297353CC}">
                <c16:uniqueId val="{00000003-0C87-4936-90FA-D48CFFD12B9C}"/>
              </c:ext>
            </c:extLst>
          </c:dPt>
          <c:dPt>
            <c:idx val="2"/>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5-0C87-4936-90FA-D48CFFD12B9C}"/>
              </c:ext>
            </c:extLst>
          </c:dPt>
          <c:dPt>
            <c:idx val="3"/>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7-0C87-4936-90FA-D48CFFD12B9C}"/>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0C87-4936-90FA-D48CFFD12B9C}"/>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5-0C87-4936-90FA-D48CFFD12B9C}"/>
                </c:ext>
              </c:extLst>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7-0C87-4936-90FA-D48CFFD12B9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'Exchange of information'!$C$35:$C$38</c:f>
              <c:strCache>
                <c:ptCount val="4"/>
                <c:pt idx="0">
                  <c:v>SIENA as preferred channel</c:v>
                </c:pt>
                <c:pt idx="1">
                  <c:v>I-24/7 as preferred channel</c:v>
                </c:pt>
                <c:pt idx="2">
                  <c:v>Indifferent usage of channels</c:v>
                </c:pt>
                <c:pt idx="3">
                  <c:v>Countries without available information</c:v>
                </c:pt>
              </c:strCache>
            </c:strRef>
          </c:cat>
          <c:val>
            <c:numRef>
              <c:f>'Exchange of information'!$E$35:$E$38</c:f>
              <c:numCache>
                <c:formatCode>0%</c:formatCode>
                <c:ptCount val="4"/>
                <c:pt idx="0">
                  <c:v>0.16129032258064516</c:v>
                </c:pt>
                <c:pt idx="1">
                  <c:v>0.12903225806451613</c:v>
                </c:pt>
                <c:pt idx="2">
                  <c:v>0.54838709677419351</c:v>
                </c:pt>
                <c:pt idx="3">
                  <c:v>0.16129032258064516</c:v>
                </c:pt>
              </c:numCache>
            </c:numRef>
          </c:val>
          <c:extLst>
            <c:ext xmlns:c16="http://schemas.microsoft.com/office/drawing/2014/chart" uri="{C3380CC4-5D6E-409C-BE32-E72D297353CC}">
              <c16:uniqueId val="{00000008-0C87-4936-90FA-D48CFFD12B9C}"/>
            </c:ext>
          </c:extLst>
        </c:ser>
        <c:dLbls>
          <c:dLblPos val="ctr"/>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822c759-7f2f-410b-b0a6-59a10afa4539">EN</EC_Collab_DocumentLanguage>
    <EC_Collab_Status xmlns="c822c759-7f2f-410b-b0a6-59a10afa4539">Not Started</EC_Collab_Status>
    <EC_Collab_Reference xmlns="c822c759-7f2f-410b-b0a6-59a10afa45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B4A1A7827F8CD546B7C4F1FFB7AD6665" ma:contentTypeVersion="0" ma:contentTypeDescription="Create a new document in this library." ma:contentTypeScope="" ma:versionID="8322454b09cb3c1b0596d12240a994a2">
  <xsd:schema xmlns:xsd="http://www.w3.org/2001/XMLSchema" xmlns:xs="http://www.w3.org/2001/XMLSchema" xmlns:p="http://schemas.microsoft.com/office/2006/metadata/properties" xmlns:ns2="http://schemas.microsoft.com/sharepoint/v3/fields" xmlns:ns3="c822c759-7f2f-410b-b0a6-59a10afa4539" targetNamespace="http://schemas.microsoft.com/office/2006/metadata/properties" ma:root="true" ma:fieldsID="956e3f3f64e337db9b836c2031adb257" ns2:_="" ns3:_="">
    <xsd:import namespace="http://schemas.microsoft.com/sharepoint/v3/fields"/>
    <xsd:import namespace="c822c759-7f2f-410b-b0a6-59a10afa453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22c759-7f2f-410b-b0a6-59a10afa45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6BD2-0B90-487A-A92A-7FF05FE60ADF}">
  <ds:schemaRefs>
    <ds:schemaRef ds:uri="http://schemas.microsoft.com/office/2006/documentManagement/types"/>
    <ds:schemaRef ds:uri="c822c759-7f2f-410b-b0a6-59a10afa453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890F392-1B62-47AB-A948-FCD6A1E64378}">
  <ds:schemaRefs>
    <ds:schemaRef ds:uri="http://schemas.microsoft.com/sharepoint/v3/contenttype/forms"/>
  </ds:schemaRefs>
</ds:datastoreItem>
</file>

<file path=customXml/itemProps3.xml><?xml version="1.0" encoding="utf-8"?>
<ds:datastoreItem xmlns:ds="http://schemas.openxmlformats.org/officeDocument/2006/customXml" ds:itemID="{C914036C-3DF6-405F-9C2B-7AB14682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22c759-7f2f-410b-b0a6-59a10afa4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A3EA9-A40A-43FE-B5F1-2C911950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80580</Words>
  <Characters>454475</Characters>
  <Application>Microsoft Office Word</Application>
  <DocSecurity>0</DocSecurity>
  <Lines>19759</Lines>
  <Paragraphs>6080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dcterms:created xsi:type="dcterms:W3CDTF">2021-11-30T17:04:00Z</dcterms:created>
  <dcterms:modified xsi:type="dcterms:W3CDTF">2021-12-06T19:27:00Z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CP-026</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ContentTypeId">
    <vt:lpwstr>0x010100258AA79CEB83498886A3A0868112325000B4A1A7827F8CD546B7C4F1FFB7AD6665</vt:lpwstr>
  </property>
  <property fmtid="{D5CDD505-2E9C-101B-9397-08002B2CF9AE}" pid="10" name="_LW_INVALIDATED__LW_INVALIDATED__LW_INVALIDATED__LW_INVALIDATED__LW_INVALIDATED_ContentTypeId">
    <vt:lpwstr>0x010100258AA79CEB83498886A3A0868112325000B4A1A7827F8CD546B7C4F1FFB7AD6665</vt:lpwstr>
  </property>
</Properties>
</file>